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D8DF3" w14:textId="77777777" w:rsidR="00EB031D" w:rsidRDefault="00EB031D" w:rsidP="007029DB">
      <w:pPr>
        <w:jc w:val="center"/>
        <w:rPr>
          <w:rFonts w:cs="Times New Roman"/>
          <w:b/>
          <w:szCs w:val="20"/>
          <w:lang w:val="en-GB"/>
        </w:rPr>
      </w:pPr>
      <w:r w:rsidRPr="009D6B78">
        <w:rPr>
          <w:rFonts w:cs="Times New Roman"/>
          <w:b/>
          <w:szCs w:val="20"/>
          <w:lang w:val="en-GB"/>
        </w:rPr>
        <w:t>LIDC 20</w:t>
      </w:r>
      <w:r w:rsidR="00AD3A00">
        <w:rPr>
          <w:rFonts w:cs="Times New Roman"/>
          <w:b/>
          <w:szCs w:val="20"/>
          <w:lang w:val="en-GB"/>
        </w:rPr>
        <w:t>2</w:t>
      </w:r>
      <w:r w:rsidR="00D80081">
        <w:rPr>
          <w:rFonts w:cs="Times New Roman"/>
          <w:b/>
          <w:szCs w:val="20"/>
          <w:lang w:val="en-GB"/>
        </w:rPr>
        <w:t>5</w:t>
      </w:r>
    </w:p>
    <w:p w14:paraId="452B7613" w14:textId="77777777" w:rsidR="0039631A" w:rsidRPr="009D6B78" w:rsidRDefault="0039631A" w:rsidP="008C104C">
      <w:pPr>
        <w:rPr>
          <w:rFonts w:cs="Times New Roman"/>
          <w:b/>
          <w:szCs w:val="20"/>
          <w:lang w:val="en-GB"/>
        </w:rPr>
      </w:pPr>
      <w:r>
        <w:rPr>
          <w:rFonts w:cs="Times New Roman"/>
          <w:b/>
          <w:szCs w:val="20"/>
          <w:lang w:val="en-GB"/>
        </w:rPr>
        <w:t xml:space="preserve">NATIONAL REPORT - </w:t>
      </w:r>
      <w:r w:rsidRPr="009D6B78">
        <w:rPr>
          <w:rFonts w:cs="Times New Roman"/>
          <w:b/>
          <w:szCs w:val="20"/>
          <w:lang w:val="en-GB"/>
        </w:rPr>
        <w:t>SWEDEN</w:t>
      </w:r>
    </w:p>
    <w:p w14:paraId="2F5D85BA" w14:textId="77777777" w:rsidR="00E46C00" w:rsidRPr="00E46C00" w:rsidRDefault="0039631A" w:rsidP="008C104C">
      <w:pPr>
        <w:rPr>
          <w:rFonts w:cs="Times New Roman"/>
          <w:b/>
          <w:szCs w:val="20"/>
          <w:lang w:val="en-US"/>
        </w:rPr>
      </w:pPr>
      <w:r>
        <w:rPr>
          <w:rFonts w:cs="Times New Roman"/>
          <w:b/>
          <w:szCs w:val="20"/>
          <w:lang w:val="en-GB"/>
        </w:rPr>
        <w:t xml:space="preserve">Question B - </w:t>
      </w:r>
      <w:r w:rsidR="00E46C00" w:rsidRPr="00E46C00">
        <w:rPr>
          <w:rFonts w:cs="Times New Roman"/>
          <w:b/>
          <w:i/>
          <w:iCs/>
          <w:szCs w:val="20"/>
          <w:lang w:val="en-GB"/>
        </w:rPr>
        <w:t>What responsibility or obligations should online platforms have when it comes to eliminating infringements by their users, especially in the areas of</w:t>
      </w:r>
      <w:r w:rsidR="00E46C00" w:rsidRPr="00E46C00">
        <w:rPr>
          <w:rFonts w:cs="Times New Roman"/>
          <w:b/>
          <w:bCs/>
          <w:i/>
          <w:iCs/>
          <w:szCs w:val="20"/>
          <w:lang w:val="en-GB"/>
        </w:rPr>
        <w:t xml:space="preserve"> IP</w:t>
      </w:r>
      <w:r w:rsidR="00E46C00" w:rsidRPr="00E46C00">
        <w:rPr>
          <w:rFonts w:cs="Times New Roman"/>
          <w:b/>
          <w:i/>
          <w:iCs/>
          <w:szCs w:val="20"/>
          <w:lang w:val="en-GB"/>
        </w:rPr>
        <w:t xml:space="preserve"> and </w:t>
      </w:r>
      <w:r w:rsidR="00E46C00" w:rsidRPr="00E46C00">
        <w:rPr>
          <w:rFonts w:cs="Times New Roman"/>
          <w:b/>
          <w:bCs/>
          <w:i/>
          <w:iCs/>
          <w:szCs w:val="20"/>
          <w:lang w:val="en-GB"/>
        </w:rPr>
        <w:t>unfair competition</w:t>
      </w:r>
      <w:r w:rsidR="00E46C00" w:rsidRPr="00E46C00">
        <w:rPr>
          <w:rFonts w:cs="Times New Roman"/>
          <w:b/>
          <w:i/>
          <w:iCs/>
          <w:szCs w:val="20"/>
          <w:lang w:val="en-GB"/>
        </w:rPr>
        <w:t>?</w:t>
      </w:r>
    </w:p>
    <w:p w14:paraId="7B7AAA1F" w14:textId="77777777" w:rsidR="004731A6" w:rsidRPr="00AE2318" w:rsidRDefault="00D80081" w:rsidP="007029DB">
      <w:pPr>
        <w:rPr>
          <w:rFonts w:cs="Times New Roman"/>
          <w:i/>
          <w:iCs/>
          <w:color w:val="000000" w:themeColor="text1"/>
          <w:szCs w:val="20"/>
          <w:lang w:val="en-GB"/>
        </w:rPr>
      </w:pPr>
      <w:r>
        <w:rPr>
          <w:rFonts w:cs="Times New Roman"/>
          <w:i/>
          <w:iCs/>
          <w:color w:val="000000" w:themeColor="text1"/>
          <w:szCs w:val="20"/>
          <w:lang w:val="en-GB"/>
        </w:rPr>
        <w:t>Clara Englund</w:t>
      </w:r>
      <w:r w:rsidR="004731A6" w:rsidRPr="00AE2318">
        <w:rPr>
          <w:rFonts w:cs="Times New Roman"/>
          <w:i/>
          <w:iCs/>
          <w:color w:val="000000" w:themeColor="text1"/>
          <w:szCs w:val="20"/>
          <w:lang w:val="en-GB"/>
        </w:rPr>
        <w:tab/>
      </w:r>
      <w:r w:rsidR="004731A6" w:rsidRPr="00AE2318">
        <w:rPr>
          <w:rFonts w:cs="Times New Roman"/>
          <w:i/>
          <w:iCs/>
          <w:color w:val="000000" w:themeColor="text1"/>
          <w:szCs w:val="20"/>
          <w:lang w:val="en-GB"/>
        </w:rPr>
        <w:tab/>
      </w:r>
      <w:r w:rsidR="004731A6" w:rsidRPr="00AE2318">
        <w:rPr>
          <w:rFonts w:cs="Times New Roman"/>
          <w:i/>
          <w:iCs/>
          <w:color w:val="000000" w:themeColor="text1"/>
          <w:szCs w:val="20"/>
          <w:lang w:val="en-GB"/>
        </w:rPr>
        <w:tab/>
      </w:r>
      <w:r w:rsidR="00825F68" w:rsidRPr="00AE2318">
        <w:rPr>
          <w:rFonts w:cs="Times New Roman"/>
          <w:i/>
          <w:iCs/>
          <w:color w:val="000000" w:themeColor="text1"/>
          <w:szCs w:val="20"/>
          <w:lang w:val="en-GB"/>
        </w:rPr>
        <w:br/>
        <w:t>Advokatfirman MarLaw, Stockholm</w:t>
      </w:r>
      <w:r w:rsidR="004731A6" w:rsidRPr="00AE2318">
        <w:rPr>
          <w:rFonts w:cs="Times New Roman"/>
          <w:i/>
          <w:iCs/>
          <w:color w:val="000000" w:themeColor="text1"/>
          <w:szCs w:val="20"/>
          <w:lang w:val="en-GB"/>
        </w:rPr>
        <w:tab/>
      </w:r>
      <w:r w:rsidR="004731A6" w:rsidRPr="00AE2318">
        <w:rPr>
          <w:rFonts w:cs="Times New Roman"/>
          <w:i/>
          <w:iCs/>
          <w:color w:val="000000" w:themeColor="text1"/>
          <w:szCs w:val="20"/>
          <w:lang w:val="en-GB"/>
        </w:rPr>
        <w:tab/>
      </w:r>
      <w:r w:rsidR="004731A6" w:rsidRPr="00AE2318">
        <w:rPr>
          <w:rFonts w:cs="Times New Roman"/>
          <w:i/>
          <w:iCs/>
          <w:color w:val="000000" w:themeColor="text1"/>
          <w:szCs w:val="20"/>
          <w:lang w:val="en-GB"/>
        </w:rPr>
        <w:tab/>
      </w:r>
      <w:r w:rsidR="00825F68" w:rsidRPr="00AE2318">
        <w:rPr>
          <w:rFonts w:cs="Times New Roman"/>
          <w:i/>
          <w:iCs/>
          <w:color w:val="000000" w:themeColor="text1"/>
          <w:szCs w:val="20"/>
          <w:lang w:val="en-GB"/>
        </w:rPr>
        <w:br/>
      </w:r>
      <w:r w:rsidR="007037FE" w:rsidRPr="00AE2318">
        <w:rPr>
          <w:rFonts w:cs="Times New Roman"/>
          <w:i/>
          <w:iCs/>
          <w:color w:val="000000" w:themeColor="text1"/>
          <w:szCs w:val="20"/>
          <w:lang w:val="en-GB"/>
        </w:rPr>
        <w:t>E</w:t>
      </w:r>
      <w:r w:rsidR="00825F68" w:rsidRPr="00AE2318">
        <w:rPr>
          <w:rFonts w:cs="Times New Roman"/>
          <w:i/>
          <w:iCs/>
          <w:color w:val="000000" w:themeColor="text1"/>
          <w:szCs w:val="20"/>
          <w:lang w:val="en-GB"/>
        </w:rPr>
        <w:t xml:space="preserve">mail: </w:t>
      </w:r>
      <w:hyperlink r:id="rId8" w:history="1">
        <w:r w:rsidRPr="00452653">
          <w:rPr>
            <w:rStyle w:val="Hyperlnk"/>
            <w:rFonts w:cs="Times New Roman"/>
            <w:i/>
            <w:iCs/>
            <w:szCs w:val="20"/>
            <w:lang w:val="en-GB"/>
          </w:rPr>
          <w:t>clara.englund@marlaw.se</w:t>
        </w:r>
      </w:hyperlink>
      <w:r>
        <w:rPr>
          <w:rStyle w:val="Hyperlnk"/>
          <w:rFonts w:cs="Times New Roman"/>
          <w:i/>
          <w:iCs/>
          <w:szCs w:val="20"/>
          <w:lang w:val="en-GB"/>
        </w:rPr>
        <w:t xml:space="preserve"> </w:t>
      </w:r>
      <w:r w:rsidR="0039631A" w:rsidRPr="00AE2318">
        <w:rPr>
          <w:rStyle w:val="Hyperlnk"/>
          <w:rFonts w:cs="Times New Roman"/>
          <w:i/>
          <w:iCs/>
          <w:color w:val="000000" w:themeColor="text1"/>
          <w:szCs w:val="20"/>
          <w:u w:val="none"/>
          <w:lang w:val="en-GB"/>
        </w:rPr>
        <w:t xml:space="preserve"> </w:t>
      </w:r>
      <w:r w:rsidR="00825F68" w:rsidRPr="00AE2318">
        <w:rPr>
          <w:rFonts w:cs="Times New Roman"/>
          <w:i/>
          <w:iCs/>
          <w:color w:val="000000" w:themeColor="text1"/>
          <w:szCs w:val="20"/>
          <w:lang w:val="en-GB"/>
        </w:rPr>
        <w:t xml:space="preserve"> </w:t>
      </w:r>
    </w:p>
    <w:p w14:paraId="2BDD7182" w14:textId="46EE28A3" w:rsidR="00FD234B" w:rsidRDefault="00E923BA" w:rsidP="002F146E">
      <w:pPr>
        <w:pStyle w:val="Rubrik1"/>
        <w:numPr>
          <w:ilvl w:val="0"/>
          <w:numId w:val="7"/>
        </w:numPr>
        <w:rPr>
          <w:lang w:val="en-US"/>
        </w:rPr>
      </w:pPr>
      <w:r w:rsidRPr="0039631A">
        <w:rPr>
          <w:lang w:val="en-US"/>
        </w:rPr>
        <w:t xml:space="preserve">Introduction </w:t>
      </w:r>
    </w:p>
    <w:p w14:paraId="5438CA31" w14:textId="64EA613E" w:rsidR="00D13DBE" w:rsidRDefault="00E010BE" w:rsidP="00E010BE">
      <w:pPr>
        <w:jc w:val="both"/>
        <w:rPr>
          <w:lang w:val="en-US"/>
        </w:rPr>
      </w:pPr>
      <w:r>
        <w:rPr>
          <w:lang w:val="en-US"/>
        </w:rPr>
        <w:t xml:space="preserve">In Sweden, </w:t>
      </w:r>
      <w:r w:rsidR="00D25E1A">
        <w:rPr>
          <w:lang w:val="en-US"/>
        </w:rPr>
        <w:t xml:space="preserve">responsibilities </w:t>
      </w:r>
      <w:r>
        <w:rPr>
          <w:lang w:val="en-US"/>
        </w:rPr>
        <w:t xml:space="preserve">and </w:t>
      </w:r>
      <w:r w:rsidR="00D25E1A">
        <w:rPr>
          <w:lang w:val="en-US"/>
        </w:rPr>
        <w:t xml:space="preserve">liabilities </w:t>
      </w:r>
      <w:r>
        <w:rPr>
          <w:lang w:val="en-US"/>
        </w:rPr>
        <w:t xml:space="preserve">of online platforms, especially in the regards to copyright infringement, have been discussed since the 1990’s and the technological boom. Responsibilities of online platform providers is mainly regulated in sector specific regulations such as the Swedish Copyright Act but also in the </w:t>
      </w:r>
      <w:r w:rsidR="00F8324C" w:rsidRPr="00F8324C">
        <w:rPr>
          <w:lang w:val="en-US"/>
        </w:rPr>
        <w:t>Act on Responsibility for Electronic Bulletin Board</w:t>
      </w:r>
      <w:r w:rsidR="00F8324C">
        <w:rPr>
          <w:lang w:val="en-US"/>
        </w:rPr>
        <w:t>s</w:t>
      </w:r>
      <w:r w:rsidR="00C96C93" w:rsidRPr="00F8324C">
        <w:rPr>
          <w:lang w:val="en-US"/>
        </w:rPr>
        <w:t xml:space="preserve">. </w:t>
      </w:r>
      <w:r w:rsidR="00C96C93">
        <w:rPr>
          <w:lang w:val="en-US"/>
        </w:rPr>
        <w:t xml:space="preserve">The later act was </w:t>
      </w:r>
      <w:r w:rsidR="00C02B9B">
        <w:rPr>
          <w:lang w:val="en-US"/>
        </w:rPr>
        <w:t>introduc</w:t>
      </w:r>
      <w:r w:rsidR="00F0017C">
        <w:rPr>
          <w:lang w:val="en-US"/>
        </w:rPr>
        <w:t xml:space="preserve">ed </w:t>
      </w:r>
      <w:r w:rsidR="00F8324C">
        <w:rPr>
          <w:lang w:val="en-US"/>
        </w:rPr>
        <w:t xml:space="preserve">due to </w:t>
      </w:r>
      <w:r w:rsidR="00F0017C">
        <w:rPr>
          <w:lang w:val="en-US"/>
        </w:rPr>
        <w:t xml:space="preserve">dealing with the difficulties of </w:t>
      </w:r>
      <w:r w:rsidR="00D25E1A">
        <w:rPr>
          <w:lang w:val="en-US"/>
        </w:rPr>
        <w:t xml:space="preserve">so-called bulletin board systems, including </w:t>
      </w:r>
      <w:r w:rsidR="00F0017C">
        <w:rPr>
          <w:lang w:val="en-US"/>
        </w:rPr>
        <w:t>online platforms</w:t>
      </w:r>
      <w:r w:rsidR="00D25E1A">
        <w:rPr>
          <w:lang w:val="en-US"/>
        </w:rPr>
        <w:t xml:space="preserve">, </w:t>
      </w:r>
      <w:r w:rsidR="00F0017C">
        <w:rPr>
          <w:lang w:val="en-US"/>
        </w:rPr>
        <w:t xml:space="preserve">not taking any measures </w:t>
      </w:r>
      <w:r w:rsidR="00D25E1A">
        <w:rPr>
          <w:lang w:val="en-US"/>
        </w:rPr>
        <w:t xml:space="preserve">to prevent the spread of unlawful content. Platform providers that took no measures </w:t>
      </w:r>
      <w:r w:rsidR="00F0017C">
        <w:rPr>
          <w:lang w:val="en-US"/>
        </w:rPr>
        <w:t xml:space="preserve">were deemed to be less liable than the platforms that in fact took more measures. </w:t>
      </w:r>
      <w:r w:rsidR="00D25E1A">
        <w:rPr>
          <w:lang w:val="en-US"/>
        </w:rPr>
        <w:t>So called ‘Good Samaritan’ clauses aim to provide platform providers legal certainty when they check their platforms for infringements or otherwise unlawful content. National laws in Sweden ha</w:t>
      </w:r>
      <w:r w:rsidR="00C9122E">
        <w:rPr>
          <w:lang w:val="en-US"/>
        </w:rPr>
        <w:t>ve</w:t>
      </w:r>
      <w:r w:rsidR="00D25E1A">
        <w:rPr>
          <w:lang w:val="en-US"/>
        </w:rPr>
        <w:t xml:space="preserve"> recently be</w:t>
      </w:r>
      <w:r w:rsidR="0066702B">
        <w:rPr>
          <w:lang w:val="en-US"/>
        </w:rPr>
        <w:t>en</w:t>
      </w:r>
      <w:r w:rsidR="00D25E1A">
        <w:rPr>
          <w:lang w:val="en-US"/>
        </w:rPr>
        <w:t xml:space="preserve"> adjusted to </w:t>
      </w:r>
      <w:r w:rsidR="00E81C72" w:rsidRPr="00E81C72">
        <w:rPr>
          <w:lang w:val="en"/>
        </w:rPr>
        <w:t xml:space="preserve">Regulation (EU) 2022/2065 of the European Parliament and of the Council of 19 October 2022 on the internal market for digital services </w:t>
      </w:r>
      <w:r w:rsidR="00E81C72">
        <w:rPr>
          <w:lang w:val="en"/>
        </w:rPr>
        <w:t>(‘</w:t>
      </w:r>
      <w:r w:rsidR="00D25E1A">
        <w:rPr>
          <w:lang w:val="en-US"/>
        </w:rPr>
        <w:t>The Digital Services Act</w:t>
      </w:r>
      <w:r w:rsidR="00E81C72">
        <w:rPr>
          <w:lang w:val="en-US"/>
        </w:rPr>
        <w:t>’ or ‘DSA’)</w:t>
      </w:r>
      <w:r w:rsidR="0066702B">
        <w:rPr>
          <w:lang w:val="en-US"/>
        </w:rPr>
        <w:t>, an</w:t>
      </w:r>
      <w:r w:rsidR="00F8324C">
        <w:rPr>
          <w:lang w:val="en-US"/>
        </w:rPr>
        <w:t xml:space="preserve"> </w:t>
      </w:r>
      <w:r w:rsidR="0066702B">
        <w:rPr>
          <w:lang w:val="en-US"/>
        </w:rPr>
        <w:t xml:space="preserve">EU initiative that together with the Digital Markets Act aims to </w:t>
      </w:r>
      <w:r w:rsidR="0066702B" w:rsidRPr="0066702B">
        <w:rPr>
          <w:lang w:val="en-US"/>
        </w:rPr>
        <w:t>create a safer digital space where the fundamental rights of users are protected and to establish a level playing field for businesses.</w:t>
      </w:r>
      <w:r w:rsidR="00CF571A">
        <w:rPr>
          <w:rStyle w:val="Fotnotsreferens"/>
          <w:lang w:val="en-US"/>
        </w:rPr>
        <w:footnoteReference w:id="1"/>
      </w:r>
    </w:p>
    <w:p w14:paraId="6B49D8E7" w14:textId="3F1E58B7" w:rsidR="009D43C9" w:rsidRPr="0066702B" w:rsidRDefault="009D43C9" w:rsidP="00E010BE">
      <w:pPr>
        <w:jc w:val="both"/>
        <w:rPr>
          <w:lang w:val="en-US"/>
        </w:rPr>
      </w:pPr>
      <w:r>
        <w:rPr>
          <w:lang w:val="en-US"/>
        </w:rPr>
        <w:t>Different approaches have been taken to determine the extent of</w:t>
      </w:r>
      <w:r w:rsidR="008C04C4">
        <w:rPr>
          <w:lang w:val="en-US"/>
        </w:rPr>
        <w:t xml:space="preserve"> online</w:t>
      </w:r>
      <w:r>
        <w:rPr>
          <w:lang w:val="en-US"/>
        </w:rPr>
        <w:t xml:space="preserve"> platform providers responsibilities and obligations to eliminate IP-infringements</w:t>
      </w:r>
      <w:r w:rsidR="008954B9">
        <w:rPr>
          <w:lang w:val="en-US"/>
        </w:rPr>
        <w:t xml:space="preserve">, where considerations have been taken to efficiently identify and take down unlawful content but at the same time weighing these measures against principles of fair competition and fundamental rights such as freedom of expression. Example of such newly introduced measures </w:t>
      </w:r>
      <w:r w:rsidR="00F8324C">
        <w:rPr>
          <w:lang w:val="en-US"/>
        </w:rPr>
        <w:t>is</w:t>
      </w:r>
      <w:r w:rsidR="008954B9">
        <w:rPr>
          <w:lang w:val="en-US"/>
        </w:rPr>
        <w:t xml:space="preserve"> so called ‘Trusted Flaggers’ that will report unlawful content to online platforms. The historical aspects, case law and measures introduced to address the issues </w:t>
      </w:r>
      <w:r w:rsidR="00072BA0">
        <w:rPr>
          <w:lang w:val="en-US"/>
        </w:rPr>
        <w:t xml:space="preserve">of defining what online platforms responsibilities </w:t>
      </w:r>
      <w:r w:rsidR="00791E7D">
        <w:rPr>
          <w:lang w:val="en-US"/>
        </w:rPr>
        <w:t>should be, will be</w:t>
      </w:r>
      <w:r w:rsidR="008954B9">
        <w:rPr>
          <w:lang w:val="en-US"/>
        </w:rPr>
        <w:t xml:space="preserve"> elaborated below. </w:t>
      </w:r>
    </w:p>
    <w:p w14:paraId="68982179" w14:textId="7845DF69" w:rsidR="007B02B9" w:rsidRDefault="00EC0FC7" w:rsidP="007B02B9">
      <w:pPr>
        <w:pStyle w:val="Rubrik1"/>
        <w:rPr>
          <w:lang w:val="en-US"/>
        </w:rPr>
      </w:pPr>
      <w:r w:rsidRPr="008C104C">
        <w:rPr>
          <w:lang w:val="en-US"/>
        </w:rPr>
        <w:t xml:space="preserve">2. </w:t>
      </w:r>
      <w:r w:rsidR="007B02B9" w:rsidRPr="007B02B9">
        <w:rPr>
          <w:lang w:val="en-US"/>
        </w:rPr>
        <w:t xml:space="preserve">International and National Legislation </w:t>
      </w:r>
      <w:r w:rsidR="00F8324C">
        <w:rPr>
          <w:lang w:val="en-US"/>
        </w:rPr>
        <w:t xml:space="preserve">on Online Platforms </w:t>
      </w:r>
      <w:r w:rsidR="007B02B9" w:rsidRPr="007B02B9">
        <w:rPr>
          <w:lang w:val="en-US"/>
        </w:rPr>
        <w:t xml:space="preserve"> </w:t>
      </w:r>
    </w:p>
    <w:p w14:paraId="602F1495" w14:textId="4321B0B1" w:rsidR="007B02B9" w:rsidRDefault="007B02B9" w:rsidP="007B02B9">
      <w:pPr>
        <w:pStyle w:val="Rubrik2"/>
        <w:rPr>
          <w:lang w:val="en-US"/>
        </w:rPr>
      </w:pPr>
      <w:r>
        <w:rPr>
          <w:lang w:val="en-US"/>
        </w:rPr>
        <w:t xml:space="preserve">2.1 International legal provisions </w:t>
      </w:r>
    </w:p>
    <w:p w14:paraId="181B0B5D" w14:textId="5A4A237D" w:rsidR="008B2DA6" w:rsidRPr="008B2DA6" w:rsidRDefault="008B2DA6" w:rsidP="008B2DA6">
      <w:pPr>
        <w:jc w:val="both"/>
        <w:rPr>
          <w:lang w:val="en-US"/>
        </w:rPr>
      </w:pPr>
      <w:r>
        <w:rPr>
          <w:lang w:val="en-US"/>
        </w:rPr>
        <w:t>As a member of the European Union (</w:t>
      </w:r>
      <w:r w:rsidR="0094001D">
        <w:rPr>
          <w:lang w:val="en-US"/>
        </w:rPr>
        <w:t>‘</w:t>
      </w:r>
      <w:r>
        <w:rPr>
          <w:lang w:val="en-US"/>
        </w:rPr>
        <w:t>EU</w:t>
      </w:r>
      <w:r w:rsidR="0094001D">
        <w:rPr>
          <w:lang w:val="en-US"/>
        </w:rPr>
        <w:t>’</w:t>
      </w:r>
      <w:r>
        <w:rPr>
          <w:lang w:val="en-US"/>
        </w:rPr>
        <w:t>), Swedish n</w:t>
      </w:r>
      <w:r w:rsidRPr="0081055C">
        <w:rPr>
          <w:lang w:val="en-US"/>
        </w:rPr>
        <w:t>ational legislations</w:t>
      </w:r>
      <w:r>
        <w:rPr>
          <w:lang w:val="en-US"/>
        </w:rPr>
        <w:t>, especially in the areas of digital services,</w:t>
      </w:r>
      <w:r w:rsidRPr="0081055C">
        <w:rPr>
          <w:lang w:val="en-US"/>
        </w:rPr>
        <w:t xml:space="preserve"> </w:t>
      </w:r>
      <w:r w:rsidR="00942610">
        <w:rPr>
          <w:lang w:val="en-US"/>
        </w:rPr>
        <w:t>are</w:t>
      </w:r>
      <w:r w:rsidRPr="0081055C">
        <w:rPr>
          <w:lang w:val="en-US"/>
        </w:rPr>
        <w:t xml:space="preserve"> highly affected by EU</w:t>
      </w:r>
      <w:r w:rsidR="0094001D">
        <w:rPr>
          <w:lang w:val="en-US"/>
        </w:rPr>
        <w:t xml:space="preserve"> </w:t>
      </w:r>
      <w:r w:rsidRPr="0081055C">
        <w:rPr>
          <w:lang w:val="en-US"/>
        </w:rPr>
        <w:t>law</w:t>
      </w:r>
      <w:r>
        <w:rPr>
          <w:lang w:val="en-US"/>
        </w:rPr>
        <w:t>. EU</w:t>
      </w:r>
      <w:r w:rsidR="0094001D">
        <w:rPr>
          <w:lang w:val="en-US"/>
        </w:rPr>
        <w:t xml:space="preserve"> </w:t>
      </w:r>
      <w:r>
        <w:rPr>
          <w:lang w:val="en-US"/>
        </w:rPr>
        <w:t xml:space="preserve">regulations such as the Digital Services Act, has a </w:t>
      </w:r>
      <w:r w:rsidRPr="0069030B">
        <w:rPr>
          <w:lang w:val="en-US"/>
        </w:rPr>
        <w:t>general application</w:t>
      </w:r>
      <w:r>
        <w:rPr>
          <w:lang w:val="en-US"/>
        </w:rPr>
        <w:t xml:space="preserve"> and is </w:t>
      </w:r>
      <w:r w:rsidRPr="0069030B">
        <w:rPr>
          <w:lang w:val="en-US"/>
        </w:rPr>
        <w:t>binding in its entirety and directly applicable in all Member States</w:t>
      </w:r>
      <w:r>
        <w:rPr>
          <w:rStyle w:val="Fotnotsreferens"/>
          <w:lang w:val="en-US"/>
        </w:rPr>
        <w:footnoteReference w:id="2"/>
      </w:r>
      <w:r>
        <w:rPr>
          <w:lang w:val="en-US"/>
        </w:rPr>
        <w:t>, unlike directives that are</w:t>
      </w:r>
      <w:r w:rsidRPr="00DE3E93">
        <w:rPr>
          <w:lang w:val="en-US"/>
        </w:rPr>
        <w:t xml:space="preserve"> binding, as to the result to be achieved, upon each Member State to which it is addressed, but shall leave to the national authorities </w:t>
      </w:r>
      <w:r>
        <w:rPr>
          <w:lang w:val="en-US"/>
        </w:rPr>
        <w:t xml:space="preserve">for implementations in consideration of own choices and methods. In the speed of technical developments, national legislation that have been introduced to tackle </w:t>
      </w:r>
      <w:r w:rsidR="00917F76">
        <w:rPr>
          <w:lang w:val="en-US"/>
        </w:rPr>
        <w:t xml:space="preserve">unlawful </w:t>
      </w:r>
      <w:r>
        <w:rPr>
          <w:lang w:val="en-US"/>
        </w:rPr>
        <w:t xml:space="preserve">contents on online platforms have been </w:t>
      </w:r>
      <w:proofErr w:type="spellStart"/>
      <w:r>
        <w:rPr>
          <w:lang w:val="en-US"/>
        </w:rPr>
        <w:t>critici</w:t>
      </w:r>
      <w:r w:rsidR="00F8324C">
        <w:rPr>
          <w:lang w:val="en-US"/>
        </w:rPr>
        <w:t>s</w:t>
      </w:r>
      <w:r>
        <w:rPr>
          <w:lang w:val="en-US"/>
        </w:rPr>
        <w:t>ed</w:t>
      </w:r>
      <w:proofErr w:type="spellEnd"/>
      <w:r>
        <w:rPr>
          <w:lang w:val="en-US"/>
        </w:rPr>
        <w:t xml:space="preserve"> to be obsolete, giving rise to interpretation difficulties and non-sufficiently tackling the issue they were first created to address. </w:t>
      </w:r>
    </w:p>
    <w:p w14:paraId="10C22D08" w14:textId="77777777" w:rsidR="0076009B" w:rsidRDefault="007B02B9" w:rsidP="007B02B9">
      <w:pPr>
        <w:jc w:val="both"/>
        <w:rPr>
          <w:lang w:val="en-US"/>
        </w:rPr>
      </w:pPr>
      <w:r>
        <w:rPr>
          <w:lang w:val="en-US"/>
        </w:rPr>
        <w:t>In t</w:t>
      </w:r>
      <w:r w:rsidRPr="002931EC">
        <w:rPr>
          <w:lang w:val="en-US"/>
        </w:rPr>
        <w:t xml:space="preserve">he non-legislative resolution </w:t>
      </w:r>
      <w:r>
        <w:rPr>
          <w:lang w:val="en-US"/>
        </w:rPr>
        <w:t xml:space="preserve">from the European Commission </w:t>
      </w:r>
      <w:r w:rsidRPr="002931EC">
        <w:rPr>
          <w:lang w:val="en-US"/>
        </w:rPr>
        <w:t>on the ‘Digital Services Act and fundamental rights issues posed’</w:t>
      </w:r>
      <w:r>
        <w:rPr>
          <w:lang w:val="en-US"/>
        </w:rPr>
        <w:t xml:space="preserve">, the Commission </w:t>
      </w:r>
      <w:r w:rsidRPr="002931EC">
        <w:rPr>
          <w:lang w:val="en-US"/>
        </w:rPr>
        <w:t xml:space="preserve">highlights the need for legal clarity for platforms and users, and respect for fundamental rights given the rapid development of technology. It calls for </w:t>
      </w:r>
      <w:proofErr w:type="spellStart"/>
      <w:r w:rsidRPr="002931EC">
        <w:rPr>
          <w:lang w:val="en-US"/>
        </w:rPr>
        <w:t>harmonised</w:t>
      </w:r>
      <w:proofErr w:type="spellEnd"/>
      <w:r w:rsidRPr="002931EC">
        <w:rPr>
          <w:lang w:val="en-US"/>
        </w:rPr>
        <w:t xml:space="preserve"> rules for addressing illegal content online and for liability exemptions and content moderation. </w:t>
      </w:r>
      <w:r>
        <w:rPr>
          <w:lang w:val="en-US"/>
        </w:rPr>
        <w:t xml:space="preserve">As a result, the Commission proposed the Digital Services Act (hereinafter referred to as ‘DSA’) in December 2020. </w:t>
      </w:r>
      <w:r w:rsidRPr="0038021A">
        <w:rPr>
          <w:lang w:val="en-US"/>
        </w:rPr>
        <w:t xml:space="preserve">As of 17 February 2024, the DSA rules apply to all platforms. </w:t>
      </w:r>
      <w:r>
        <w:rPr>
          <w:lang w:val="en-US"/>
        </w:rPr>
        <w:t>The act builds on and complements the e-commerce directive. The Act keeps the core principles and responsibilities stated therein, such as liability</w:t>
      </w:r>
      <w:r w:rsidRPr="00153C05">
        <w:rPr>
          <w:lang w:val="en-US"/>
        </w:rPr>
        <w:t xml:space="preserve"> regime</w:t>
      </w:r>
      <w:r>
        <w:rPr>
          <w:lang w:val="en-US"/>
        </w:rPr>
        <w:t xml:space="preserve"> and </w:t>
      </w:r>
      <w:r w:rsidRPr="00153C05">
        <w:rPr>
          <w:lang w:val="en-US"/>
        </w:rPr>
        <w:t>the prohibition of general monitoring</w:t>
      </w:r>
      <w:r>
        <w:rPr>
          <w:lang w:val="en-US"/>
        </w:rPr>
        <w:t xml:space="preserve">. </w:t>
      </w:r>
    </w:p>
    <w:p w14:paraId="3C4A4ADE" w14:textId="40CE03DA" w:rsidR="00610098" w:rsidRPr="00980125" w:rsidRDefault="0076009B" w:rsidP="00281A7A">
      <w:pPr>
        <w:jc w:val="both"/>
        <w:rPr>
          <w:lang w:val="en-US"/>
        </w:rPr>
      </w:pPr>
      <w:r>
        <w:rPr>
          <w:lang w:val="en-US"/>
        </w:rPr>
        <w:lastRenderedPageBreak/>
        <w:t>To</w:t>
      </w:r>
      <w:r w:rsidR="00917F76">
        <w:rPr>
          <w:lang w:val="en-US"/>
        </w:rPr>
        <w:t xml:space="preserve"> provid</w:t>
      </w:r>
      <w:r>
        <w:rPr>
          <w:lang w:val="en-US"/>
        </w:rPr>
        <w:t xml:space="preserve">e </w:t>
      </w:r>
      <w:r w:rsidR="00917F76">
        <w:rPr>
          <w:lang w:val="en-US"/>
        </w:rPr>
        <w:t xml:space="preserve">further legal </w:t>
      </w:r>
      <w:r>
        <w:rPr>
          <w:lang w:val="en-US"/>
        </w:rPr>
        <w:t>certainty</w:t>
      </w:r>
      <w:r w:rsidR="00917F76">
        <w:rPr>
          <w:lang w:val="en-US"/>
        </w:rPr>
        <w:t xml:space="preserve"> for online platforms, t</w:t>
      </w:r>
      <w:r w:rsidR="007B02B9">
        <w:rPr>
          <w:lang w:val="en-US"/>
        </w:rPr>
        <w:t xml:space="preserve">he </w:t>
      </w:r>
      <w:r w:rsidR="00917F76">
        <w:rPr>
          <w:lang w:val="en-US"/>
        </w:rPr>
        <w:t xml:space="preserve">EU proposed an additional article clarifying </w:t>
      </w:r>
      <w:r w:rsidR="007B02B9" w:rsidRPr="0038021A">
        <w:rPr>
          <w:lang w:val="en-US"/>
        </w:rPr>
        <w:t xml:space="preserve">that the liability exemptions should not be disapplied when providers of intermediary services carry out voluntary own-initiative investigations or comply with the law (Article </w:t>
      </w:r>
      <w:r w:rsidR="008B2DA6">
        <w:rPr>
          <w:lang w:val="en-US"/>
        </w:rPr>
        <w:t>8</w:t>
      </w:r>
      <w:r w:rsidR="007B02B9" w:rsidRPr="0038021A">
        <w:rPr>
          <w:lang w:val="en-US"/>
        </w:rPr>
        <w:t>)</w:t>
      </w:r>
      <w:r w:rsidR="007B02B9">
        <w:rPr>
          <w:lang w:val="en-US"/>
        </w:rPr>
        <w:t xml:space="preserve">. Article </w:t>
      </w:r>
      <w:r w:rsidR="008B2DA6">
        <w:rPr>
          <w:lang w:val="en-US"/>
        </w:rPr>
        <w:t>8</w:t>
      </w:r>
      <w:r w:rsidR="007B02B9">
        <w:rPr>
          <w:lang w:val="en-US"/>
        </w:rPr>
        <w:t xml:space="preserve"> on </w:t>
      </w:r>
      <w:r w:rsidR="007B02B9" w:rsidRPr="00C33862">
        <w:rPr>
          <w:lang w:val="en-US"/>
        </w:rPr>
        <w:t>Voluntary own-initiative investigations and legal compliance</w:t>
      </w:r>
      <w:r w:rsidR="007B02B9">
        <w:rPr>
          <w:lang w:val="en-US"/>
        </w:rPr>
        <w:t xml:space="preserve"> could be called a ‘Good Samaritan</w:t>
      </w:r>
      <w:r w:rsidR="008B2DA6">
        <w:rPr>
          <w:lang w:val="en-US"/>
        </w:rPr>
        <w:t>’</w:t>
      </w:r>
      <w:r w:rsidR="007B02B9">
        <w:rPr>
          <w:lang w:val="en-US"/>
        </w:rPr>
        <w:t xml:space="preserve"> clause. </w:t>
      </w:r>
    </w:p>
    <w:p w14:paraId="5D63FEB4" w14:textId="22356D27" w:rsidR="007B02B9" w:rsidRPr="007B02B9" w:rsidRDefault="007B02B9" w:rsidP="007B02B9">
      <w:pPr>
        <w:rPr>
          <w:i/>
          <w:lang w:val="en-US"/>
        </w:rPr>
      </w:pPr>
      <w:r w:rsidRPr="007B02B9">
        <w:rPr>
          <w:i/>
          <w:lang w:val="en-US"/>
        </w:rPr>
        <w:t>2.</w:t>
      </w:r>
      <w:r>
        <w:rPr>
          <w:i/>
          <w:lang w:val="en-US"/>
        </w:rPr>
        <w:t xml:space="preserve">2 </w:t>
      </w:r>
      <w:r w:rsidRPr="007B02B9">
        <w:rPr>
          <w:i/>
          <w:lang w:val="en-US"/>
        </w:rPr>
        <w:t xml:space="preserve">Definition </w:t>
      </w:r>
      <w:r>
        <w:rPr>
          <w:i/>
          <w:lang w:val="en-US"/>
        </w:rPr>
        <w:t xml:space="preserve">of Online </w:t>
      </w:r>
      <w:r w:rsidR="00B939DF">
        <w:rPr>
          <w:i/>
          <w:lang w:val="en-US"/>
        </w:rPr>
        <w:t>P</w:t>
      </w:r>
      <w:r>
        <w:rPr>
          <w:i/>
          <w:lang w:val="en-US"/>
        </w:rPr>
        <w:t xml:space="preserve">latforms </w:t>
      </w:r>
    </w:p>
    <w:p w14:paraId="3ADBD625" w14:textId="757431DF" w:rsidR="006305DD" w:rsidRPr="00856866" w:rsidRDefault="006305DD" w:rsidP="00856866">
      <w:pPr>
        <w:jc w:val="both"/>
        <w:rPr>
          <w:lang w:val="en-US"/>
        </w:rPr>
      </w:pPr>
      <w:r w:rsidRPr="00856866">
        <w:rPr>
          <w:lang w:val="en-US"/>
        </w:rPr>
        <w:t xml:space="preserve">Online platforms </w:t>
      </w:r>
      <w:r w:rsidR="00015ADD">
        <w:rPr>
          <w:lang w:val="en-US"/>
        </w:rPr>
        <w:t xml:space="preserve">cover </w:t>
      </w:r>
      <w:r w:rsidR="00856866" w:rsidRPr="00856866">
        <w:rPr>
          <w:lang w:val="en-US"/>
        </w:rPr>
        <w:t xml:space="preserve">a </w:t>
      </w:r>
      <w:r w:rsidR="00015ADD" w:rsidRPr="00856866">
        <w:rPr>
          <w:lang w:val="en-US"/>
        </w:rPr>
        <w:t>broad spectrum of businesses</w:t>
      </w:r>
      <w:r w:rsidR="00856866" w:rsidRPr="00856866">
        <w:rPr>
          <w:lang w:val="en-US"/>
        </w:rPr>
        <w:t xml:space="preserve"> such as online marketplaces, social media, creative content outlets, app stores, price comparison websites, platforms for the collaborative economy as well as search engines.</w:t>
      </w:r>
      <w:r w:rsidR="00856866">
        <w:rPr>
          <w:rStyle w:val="Fotnotsreferens"/>
          <w:lang w:val="en-US"/>
        </w:rPr>
        <w:footnoteReference w:id="3"/>
      </w:r>
      <w:r w:rsidR="00015ADD">
        <w:rPr>
          <w:lang w:val="en-US"/>
        </w:rPr>
        <w:t xml:space="preserve"> From a legal perspective, online platforms are defined in sector specific regulations and what is considered online platforms may differ between different sectors. The different definitions in EU</w:t>
      </w:r>
      <w:r w:rsidR="0032173C">
        <w:rPr>
          <w:lang w:val="en-US"/>
        </w:rPr>
        <w:t xml:space="preserve"> </w:t>
      </w:r>
      <w:r w:rsidR="00392A3C">
        <w:rPr>
          <w:lang w:val="en-US"/>
        </w:rPr>
        <w:t>L</w:t>
      </w:r>
      <w:r w:rsidR="00015ADD">
        <w:rPr>
          <w:lang w:val="en-US"/>
        </w:rPr>
        <w:t xml:space="preserve">aw and Swedish </w:t>
      </w:r>
      <w:r w:rsidR="00392A3C">
        <w:rPr>
          <w:lang w:val="en-US"/>
        </w:rPr>
        <w:t>n</w:t>
      </w:r>
      <w:r w:rsidR="00015ADD">
        <w:rPr>
          <w:lang w:val="en-US"/>
        </w:rPr>
        <w:t xml:space="preserve">ational law will be addressed below. </w:t>
      </w:r>
    </w:p>
    <w:p w14:paraId="5293B393" w14:textId="4B82825F" w:rsidR="00DC6B1B" w:rsidRDefault="00CF425B" w:rsidP="00E12392">
      <w:pPr>
        <w:jc w:val="both"/>
        <w:rPr>
          <w:lang w:val="en-US"/>
        </w:rPr>
      </w:pPr>
      <w:r>
        <w:rPr>
          <w:lang w:val="en-US"/>
        </w:rPr>
        <w:t xml:space="preserve">The </w:t>
      </w:r>
      <w:r w:rsidR="008B2DA6">
        <w:rPr>
          <w:lang w:val="en-US"/>
        </w:rPr>
        <w:t>DSA</w:t>
      </w:r>
      <w:r>
        <w:rPr>
          <w:lang w:val="en-US"/>
        </w:rPr>
        <w:t xml:space="preserve"> aims to regulate information society services. Article 3 </w:t>
      </w:r>
      <w:r w:rsidR="00062CA2">
        <w:rPr>
          <w:lang w:val="en-US"/>
        </w:rPr>
        <w:t xml:space="preserve">of the </w:t>
      </w:r>
      <w:r w:rsidR="008B2DA6">
        <w:rPr>
          <w:lang w:val="en-US"/>
        </w:rPr>
        <w:t xml:space="preserve">DSA </w:t>
      </w:r>
      <w:r>
        <w:rPr>
          <w:lang w:val="en-US"/>
        </w:rPr>
        <w:t>refe</w:t>
      </w:r>
      <w:r w:rsidR="00E12392">
        <w:rPr>
          <w:lang w:val="en-US"/>
        </w:rPr>
        <w:t xml:space="preserve">rences to the definition of information services in </w:t>
      </w:r>
      <w:r w:rsidR="00E12392" w:rsidRPr="00E12392">
        <w:rPr>
          <w:lang w:val="en-US"/>
        </w:rPr>
        <w:t>Article 1(1), point (b), of Directive (EU) 2015/1535</w:t>
      </w:r>
      <w:r w:rsidR="00E12392">
        <w:rPr>
          <w:rStyle w:val="Fotnotsreferens"/>
          <w:lang w:val="en-US"/>
        </w:rPr>
        <w:footnoteReference w:id="4"/>
      </w:r>
      <w:r w:rsidR="00E12392">
        <w:rPr>
          <w:lang w:val="en-US"/>
        </w:rPr>
        <w:t xml:space="preserve">. The terms ‘Service’ is defined as </w:t>
      </w:r>
      <w:r w:rsidR="008B2DA6">
        <w:rPr>
          <w:lang w:val="en-US"/>
        </w:rPr>
        <w:lastRenderedPageBreak/>
        <w:t>‘</w:t>
      </w:r>
      <w:r w:rsidR="00E12392" w:rsidRPr="00E12392">
        <w:rPr>
          <w:i/>
          <w:iCs/>
          <w:lang w:val="en-US"/>
        </w:rPr>
        <w:t>any Information Society services, that is to say, any services normally provided for renumeration, at a distance, by electronic means and the individual request of a recipient of services</w:t>
      </w:r>
      <w:r w:rsidR="00E12392">
        <w:rPr>
          <w:lang w:val="en-US"/>
        </w:rPr>
        <w:t>.</w:t>
      </w:r>
      <w:r w:rsidR="008B2DA6">
        <w:rPr>
          <w:lang w:val="en-US"/>
        </w:rPr>
        <w:t xml:space="preserve">’ </w:t>
      </w:r>
      <w:r w:rsidR="00E12392">
        <w:rPr>
          <w:lang w:val="en-US"/>
        </w:rPr>
        <w:t>Further definitions within this definition are:</w:t>
      </w:r>
    </w:p>
    <w:p w14:paraId="075CDEE1" w14:textId="77777777" w:rsidR="00E12392" w:rsidRDefault="00E12392" w:rsidP="00D03453">
      <w:pPr>
        <w:pStyle w:val="Liststycke"/>
        <w:numPr>
          <w:ilvl w:val="0"/>
          <w:numId w:val="2"/>
        </w:numPr>
        <w:jc w:val="both"/>
        <w:rPr>
          <w:lang w:val="en-US"/>
        </w:rPr>
      </w:pPr>
      <w:r>
        <w:rPr>
          <w:lang w:val="en-US"/>
        </w:rPr>
        <w:t>‘at a distance</w:t>
      </w:r>
      <w:r w:rsidR="00C75AB7">
        <w:rPr>
          <w:lang w:val="en-US"/>
        </w:rPr>
        <w:t>’</w:t>
      </w:r>
      <w:r>
        <w:rPr>
          <w:lang w:val="en-US"/>
        </w:rPr>
        <w:t xml:space="preserve"> means that the service is provided without the parties being simultaneously present;</w:t>
      </w:r>
    </w:p>
    <w:p w14:paraId="10DF145D" w14:textId="77777777" w:rsidR="00E12392" w:rsidRDefault="00C75AB7" w:rsidP="00D03453">
      <w:pPr>
        <w:pStyle w:val="Liststycke"/>
        <w:numPr>
          <w:ilvl w:val="0"/>
          <w:numId w:val="2"/>
        </w:numPr>
        <w:jc w:val="both"/>
        <w:rPr>
          <w:lang w:val="en-US"/>
        </w:rPr>
      </w:pPr>
      <w:r>
        <w:rPr>
          <w:lang w:val="en-US"/>
        </w:rPr>
        <w:t>‘</w:t>
      </w:r>
      <w:r w:rsidR="00E12392">
        <w:rPr>
          <w:lang w:val="en-US"/>
        </w:rPr>
        <w:t>by electronic means</w:t>
      </w:r>
      <w:r>
        <w:rPr>
          <w:lang w:val="en-US"/>
        </w:rPr>
        <w:t>’</w:t>
      </w:r>
      <w:r w:rsidR="00E12392">
        <w:rPr>
          <w:lang w:val="en-US"/>
        </w:rPr>
        <w:t xml:space="preserve"> means that the service is sent initially and received at its destination by means of electronic equipment for the processing (including digital compression) and storage of data, and entirely transmitted, conveyed and received by wire, by radio, by optical means or by other electromagnetic means;</w:t>
      </w:r>
    </w:p>
    <w:p w14:paraId="591CF738" w14:textId="77777777" w:rsidR="00E12392" w:rsidRDefault="00C75AB7" w:rsidP="00D03453">
      <w:pPr>
        <w:pStyle w:val="Liststycke"/>
        <w:numPr>
          <w:ilvl w:val="0"/>
          <w:numId w:val="2"/>
        </w:numPr>
        <w:jc w:val="both"/>
        <w:rPr>
          <w:lang w:val="en-US"/>
        </w:rPr>
      </w:pPr>
      <w:r>
        <w:rPr>
          <w:lang w:val="en-US"/>
        </w:rPr>
        <w:t>‘</w:t>
      </w:r>
      <w:r w:rsidR="00E12392">
        <w:rPr>
          <w:lang w:val="en-US"/>
        </w:rPr>
        <w:t>at the individual request of a recipient of services</w:t>
      </w:r>
      <w:r>
        <w:rPr>
          <w:lang w:val="en-US"/>
        </w:rPr>
        <w:t>’</w:t>
      </w:r>
      <w:r w:rsidR="00E12392">
        <w:rPr>
          <w:lang w:val="en-US"/>
        </w:rPr>
        <w:t xml:space="preserve"> means that the service is provided through the transmission of data on individual request. </w:t>
      </w:r>
    </w:p>
    <w:p w14:paraId="47450B77" w14:textId="77777777" w:rsidR="00E12392" w:rsidRDefault="0086785F" w:rsidP="00E12392">
      <w:pPr>
        <w:jc w:val="both"/>
        <w:rPr>
          <w:lang w:val="en-US"/>
        </w:rPr>
      </w:pPr>
      <w:r w:rsidRPr="0086785F">
        <w:rPr>
          <w:lang w:val="en-US"/>
        </w:rPr>
        <w:t xml:space="preserve">The DSA specifically applies to </w:t>
      </w:r>
      <w:r w:rsidR="006E2EEC" w:rsidRPr="0086785F">
        <w:rPr>
          <w:lang w:val="en-US"/>
        </w:rPr>
        <w:t>intermediary services</w:t>
      </w:r>
      <w:r w:rsidRPr="0086785F">
        <w:rPr>
          <w:lang w:val="en-US"/>
        </w:rPr>
        <w:t xml:space="preserve">. </w:t>
      </w:r>
      <w:r>
        <w:rPr>
          <w:lang w:val="en-US"/>
        </w:rPr>
        <w:t xml:space="preserve">Intermediary entails the following services: </w:t>
      </w:r>
    </w:p>
    <w:p w14:paraId="3ED5B231" w14:textId="77777777" w:rsidR="0086785F" w:rsidRDefault="0086785F" w:rsidP="00D03453">
      <w:pPr>
        <w:pStyle w:val="Liststycke"/>
        <w:numPr>
          <w:ilvl w:val="0"/>
          <w:numId w:val="3"/>
        </w:numPr>
        <w:jc w:val="both"/>
        <w:rPr>
          <w:lang w:val="en-US"/>
        </w:rPr>
      </w:pPr>
      <w:r w:rsidRPr="0086785F">
        <w:rPr>
          <w:lang w:val="en-US"/>
        </w:rPr>
        <w:t xml:space="preserve">a ‘mere conduit’ service, consisting of the </w:t>
      </w:r>
      <w:r w:rsidRPr="00DF1905">
        <w:rPr>
          <w:lang w:val="en-US"/>
        </w:rPr>
        <w:t>transmission</w:t>
      </w:r>
      <w:r w:rsidRPr="0086785F">
        <w:rPr>
          <w:lang w:val="en-US"/>
        </w:rPr>
        <w:t xml:space="preserve"> in a communication network of information provided by a recipient of the service, or the provision of access to a communication network; </w:t>
      </w:r>
    </w:p>
    <w:p w14:paraId="2721D31A" w14:textId="77777777" w:rsidR="0086785F" w:rsidRDefault="0086785F" w:rsidP="00D03453">
      <w:pPr>
        <w:pStyle w:val="Liststycke"/>
        <w:numPr>
          <w:ilvl w:val="0"/>
          <w:numId w:val="3"/>
        </w:numPr>
        <w:jc w:val="both"/>
        <w:rPr>
          <w:lang w:val="en-US"/>
        </w:rPr>
      </w:pPr>
      <w:r w:rsidRPr="0086785F">
        <w:rPr>
          <w:lang w:val="en-US"/>
        </w:rPr>
        <w:t xml:space="preserve">a ‘caching’ service, consisting of the transmission in a communication network of information provided by a recipient of the service, involving the automatic, intermediate and </w:t>
      </w:r>
      <w:r w:rsidRPr="008B2DA6">
        <w:rPr>
          <w:lang w:val="en-US"/>
        </w:rPr>
        <w:t>temporary storage</w:t>
      </w:r>
      <w:r w:rsidRPr="0086785F">
        <w:rPr>
          <w:lang w:val="en-US"/>
        </w:rPr>
        <w:t xml:space="preserve"> of that information, performed for the sole purpose of making more efficient the information's onward transmission to other recipients upon their request; </w:t>
      </w:r>
    </w:p>
    <w:p w14:paraId="57AC42FE" w14:textId="77777777" w:rsidR="0086785F" w:rsidRDefault="0086785F" w:rsidP="00D03453">
      <w:pPr>
        <w:pStyle w:val="Liststycke"/>
        <w:numPr>
          <w:ilvl w:val="0"/>
          <w:numId w:val="3"/>
        </w:numPr>
        <w:jc w:val="both"/>
        <w:rPr>
          <w:lang w:val="en-US"/>
        </w:rPr>
      </w:pPr>
      <w:r w:rsidRPr="0086785F">
        <w:rPr>
          <w:lang w:val="en-US"/>
        </w:rPr>
        <w:t xml:space="preserve">‘hosting’ service, consisting of the </w:t>
      </w:r>
      <w:r w:rsidRPr="00DF1905">
        <w:rPr>
          <w:lang w:val="en-US"/>
        </w:rPr>
        <w:t xml:space="preserve">storage of information provided by, and at the request of, a recipient of the service. </w:t>
      </w:r>
    </w:p>
    <w:p w14:paraId="70BA4E3D" w14:textId="0B9609E3" w:rsidR="003E7CF9" w:rsidRPr="005B4CB4" w:rsidRDefault="003E7CF9" w:rsidP="003E7CF9">
      <w:pPr>
        <w:jc w:val="both"/>
        <w:rPr>
          <w:lang w:val="en-US"/>
        </w:rPr>
      </w:pPr>
      <w:r>
        <w:rPr>
          <w:lang w:val="en-US"/>
        </w:rPr>
        <w:t xml:space="preserve">In recital 13 of the DSA, online platforms are described as </w:t>
      </w:r>
      <w:r w:rsidR="005B4CB4">
        <w:rPr>
          <w:lang w:val="en-US"/>
        </w:rPr>
        <w:t xml:space="preserve">hosting services that not only stores information provided by the recipients of the service, but also disseminate that information to the public at the request of the recipient of the service. </w:t>
      </w:r>
      <w:r>
        <w:rPr>
          <w:lang w:val="en-US"/>
        </w:rPr>
        <w:t xml:space="preserve"> </w:t>
      </w:r>
      <w:r w:rsidR="005B4CB4">
        <w:rPr>
          <w:lang w:val="en-US"/>
        </w:rPr>
        <w:t>T</w:t>
      </w:r>
      <w:r w:rsidRPr="003E7CF9">
        <w:rPr>
          <w:lang w:val="en-US"/>
        </w:rPr>
        <w:t xml:space="preserve">o avoid imposing overly broad obligations, providers of hosting services should not be considered as online platforms where the dissemination to the public is merely a minor and purely ancillary feature that is intrinsically linked to another service, or a minor functionality of the principal service, and that feature or functionality cannot, for objective technical reasons, be used without that other or principal service, and the integration of that feature or functionality is not a means to circumvent the applicability of the rules of this Regulation applicable to online platforms. </w:t>
      </w:r>
      <w:r w:rsidRPr="005B4CB4">
        <w:rPr>
          <w:lang w:val="en-US"/>
        </w:rPr>
        <w:t>For example, the comments section in an online newspaper could constitute such a feature, where it is clear that it is ancillary to the main service represented by the publication of news under the editorial responsibility of the publisher. In contrast, the storage of comments in a social network should be considered an online platform service where it is clear that it is not a minor feature of the service offered, even if it is ancillary to publishing the posts of recipients of the service. For the purposes of th</w:t>
      </w:r>
      <w:r w:rsidR="00327F1B">
        <w:rPr>
          <w:lang w:val="en-US"/>
        </w:rPr>
        <w:t>e DSA</w:t>
      </w:r>
      <w:r w:rsidRPr="005B4CB4">
        <w:rPr>
          <w:lang w:val="en-US"/>
        </w:rPr>
        <w:t xml:space="preserve">, cloud computing or web-hosting services should not </w:t>
      </w:r>
      <w:r w:rsidR="00E35F77" w:rsidRPr="005B4CB4">
        <w:rPr>
          <w:lang w:val="en-US"/>
        </w:rPr>
        <w:t>be</w:t>
      </w:r>
      <w:r w:rsidRPr="005B4CB4">
        <w:rPr>
          <w:lang w:val="en-US"/>
        </w:rPr>
        <w:t xml:space="preserve"> </w:t>
      </w:r>
      <w:r w:rsidR="00463E78">
        <w:rPr>
          <w:lang w:val="en-US"/>
        </w:rPr>
        <w:t xml:space="preserve">considered </w:t>
      </w:r>
      <w:r w:rsidRPr="005B4CB4">
        <w:rPr>
          <w:lang w:val="en-US"/>
        </w:rPr>
        <w:t>an online platform where dissemination of specific information to the public constitutes a minor and ancillary feature or a minor functionality of such services.</w:t>
      </w:r>
    </w:p>
    <w:p w14:paraId="49634C21" w14:textId="525F9C59" w:rsidR="00D13DBE" w:rsidRDefault="00D13DBE" w:rsidP="00D13DBE">
      <w:pPr>
        <w:jc w:val="both"/>
        <w:rPr>
          <w:lang w:val="en-US"/>
        </w:rPr>
      </w:pPr>
      <w:r>
        <w:rPr>
          <w:lang w:val="en-US"/>
        </w:rPr>
        <w:t>Directive</w:t>
      </w:r>
      <w:r w:rsidRPr="00D13DBE">
        <w:rPr>
          <w:lang w:val="en-US"/>
        </w:rPr>
        <w:t xml:space="preserve"> (EU) 2019/790 on copyright and related rights in the Digital Single Market and amending Directives 96/9/EC and 2001/29/EC (</w:t>
      </w:r>
      <w:r>
        <w:rPr>
          <w:lang w:val="en-US"/>
        </w:rPr>
        <w:t>‘DSM</w:t>
      </w:r>
      <w:r w:rsidR="002C63E2">
        <w:rPr>
          <w:lang w:val="en-US"/>
        </w:rPr>
        <w:t xml:space="preserve"> </w:t>
      </w:r>
      <w:r>
        <w:rPr>
          <w:lang w:val="en-US"/>
        </w:rPr>
        <w:t xml:space="preserve">directive’), targets inter alia </w:t>
      </w:r>
      <w:r w:rsidRPr="00D13DBE">
        <w:rPr>
          <w:lang w:val="en-US"/>
        </w:rPr>
        <w:t>‘online content-sharing service provider’</w:t>
      </w:r>
      <w:r>
        <w:rPr>
          <w:lang w:val="en-US"/>
        </w:rPr>
        <w:t xml:space="preserve"> which are defined as </w:t>
      </w:r>
      <w:r w:rsidRPr="00D13DBE">
        <w:rPr>
          <w:lang w:val="en-US"/>
        </w:rPr>
        <w:t xml:space="preserve">a provider of an information society service of which the main or one of the main purposes is to store and give the public access to a large amount of copyright-protected works or other protected subject matter uploaded by its users, which it </w:t>
      </w:r>
      <w:proofErr w:type="spellStart"/>
      <w:r w:rsidRPr="00D13DBE">
        <w:rPr>
          <w:lang w:val="en-US"/>
        </w:rPr>
        <w:t>organises</w:t>
      </w:r>
      <w:proofErr w:type="spellEnd"/>
      <w:r w:rsidRPr="00D13DBE">
        <w:rPr>
          <w:lang w:val="en-US"/>
        </w:rPr>
        <w:t xml:space="preserve"> and promotes for profit-making purposes.</w:t>
      </w:r>
      <w:r>
        <w:rPr>
          <w:lang w:val="en-US"/>
        </w:rPr>
        <w:t xml:space="preserve"> </w:t>
      </w:r>
    </w:p>
    <w:p w14:paraId="1AB65539" w14:textId="72A87CDE" w:rsidR="00D13DBE" w:rsidRPr="003E7CF9" w:rsidRDefault="003E7CF9" w:rsidP="00D13DBE">
      <w:pPr>
        <w:jc w:val="both"/>
        <w:rPr>
          <w:lang w:val="en-US"/>
        </w:rPr>
      </w:pPr>
      <w:r>
        <w:rPr>
          <w:lang w:val="en-US"/>
        </w:rPr>
        <w:t xml:space="preserve">In the preparatory works to the Sweden’s implementation of the DSA, it is stated that hosting services usually includes online platforms and that online platforms are included in the definition of intermediary services. </w:t>
      </w:r>
      <w:r w:rsidRPr="003E7CF9">
        <w:rPr>
          <w:lang w:val="en-US"/>
        </w:rPr>
        <w:t xml:space="preserve">It is </w:t>
      </w:r>
      <w:r w:rsidR="00342692" w:rsidRPr="003E7CF9">
        <w:rPr>
          <w:lang w:val="en-US"/>
        </w:rPr>
        <w:t>stated that</w:t>
      </w:r>
      <w:r w:rsidRPr="003E7CF9">
        <w:rPr>
          <w:lang w:val="en-US"/>
        </w:rPr>
        <w:t xml:space="preserve"> an intermediary service can for example be an infrastructure for third party content, message</w:t>
      </w:r>
      <w:r w:rsidR="00342692">
        <w:rPr>
          <w:lang w:val="en-US"/>
        </w:rPr>
        <w:t>s</w:t>
      </w:r>
      <w:r w:rsidRPr="003E7CF9">
        <w:rPr>
          <w:lang w:val="en-US"/>
        </w:rPr>
        <w:t>, uploaded video or bl</w:t>
      </w:r>
      <w:r>
        <w:rPr>
          <w:lang w:val="en-US"/>
        </w:rPr>
        <w:t>o</w:t>
      </w:r>
      <w:r w:rsidRPr="003E7CF9">
        <w:rPr>
          <w:lang w:val="en-US"/>
        </w:rPr>
        <w:t>g po</w:t>
      </w:r>
      <w:r>
        <w:rPr>
          <w:lang w:val="en-US"/>
        </w:rPr>
        <w:t>st.</w:t>
      </w:r>
      <w:r>
        <w:rPr>
          <w:rStyle w:val="Fotnotsreferens"/>
          <w:lang w:val="en-US"/>
        </w:rPr>
        <w:footnoteReference w:id="5"/>
      </w:r>
      <w:r w:rsidR="00383BFF" w:rsidRPr="00383BFF">
        <w:rPr>
          <w:lang w:val="en-US"/>
        </w:rPr>
        <w:t xml:space="preserve"> According to Swedish legislators, online platforms are mainly defined as a type of </w:t>
      </w:r>
      <w:r w:rsidR="00383BFF" w:rsidRPr="00383BFF">
        <w:rPr>
          <w:i/>
          <w:iCs/>
          <w:lang w:val="en-US"/>
        </w:rPr>
        <w:t>hosting</w:t>
      </w:r>
      <w:r w:rsidR="00383BFF" w:rsidRPr="00383BFF">
        <w:rPr>
          <w:lang w:val="en-US"/>
        </w:rPr>
        <w:t xml:space="preserve"> service with a commercial interest. In some cases, commercial services are provided free of charge to the user. The commercial element is then designed in a different way. For example, the service may be financed by advertising, or the provider may make money from personal or other data collected when using the service.</w:t>
      </w:r>
      <w:r w:rsidR="00383BFF" w:rsidRPr="00383BFF">
        <w:rPr>
          <w:vertAlign w:val="superscript"/>
          <w:lang w:val="en-US"/>
        </w:rPr>
        <w:footnoteReference w:id="6"/>
      </w:r>
      <w:r w:rsidR="000C533C">
        <w:rPr>
          <w:lang w:val="en-US"/>
        </w:rPr>
        <w:t xml:space="preserve"> </w:t>
      </w:r>
      <w:r w:rsidR="000C533C" w:rsidRPr="000C533C">
        <w:rPr>
          <w:lang w:val="en-US"/>
        </w:rPr>
        <w:t>The Swedish Post and Telecom Authority (PTS)</w:t>
      </w:r>
      <w:r w:rsidR="000C533C">
        <w:rPr>
          <w:lang w:val="en-US"/>
        </w:rPr>
        <w:t xml:space="preserve"> mentions </w:t>
      </w:r>
      <w:r w:rsidR="00392A3C">
        <w:rPr>
          <w:lang w:val="en-US"/>
        </w:rPr>
        <w:t>Social</w:t>
      </w:r>
      <w:r w:rsidR="000C533C">
        <w:rPr>
          <w:lang w:val="en-US"/>
        </w:rPr>
        <w:t xml:space="preserve"> Media platforms such as Facebook, Instagram and </w:t>
      </w:r>
      <w:r w:rsidR="000C533C">
        <w:rPr>
          <w:lang w:val="en-US"/>
        </w:rPr>
        <w:lastRenderedPageBreak/>
        <w:t>TikTok, buy and sell sites, video sharing platforms such as YouTube and search engines such as Google</w:t>
      </w:r>
      <w:r w:rsidR="00392A3C">
        <w:rPr>
          <w:lang w:val="en-US"/>
        </w:rPr>
        <w:t xml:space="preserve"> as examples of online platforms that are covered by the DSA.</w:t>
      </w:r>
      <w:r w:rsidR="0061464B">
        <w:rPr>
          <w:rStyle w:val="Fotnotsreferens"/>
          <w:lang w:val="en-US"/>
        </w:rPr>
        <w:footnoteReference w:id="7"/>
      </w:r>
    </w:p>
    <w:p w14:paraId="66542874" w14:textId="66DFD1EF" w:rsidR="002A647B" w:rsidRDefault="007B02B9" w:rsidP="005B00DC">
      <w:pPr>
        <w:jc w:val="both"/>
        <w:rPr>
          <w:i/>
          <w:iCs/>
          <w:lang w:val="en-US"/>
        </w:rPr>
      </w:pPr>
      <w:bookmarkStart w:id="0" w:name="_Hlk200788591"/>
      <w:r>
        <w:rPr>
          <w:i/>
          <w:iCs/>
          <w:lang w:val="en-US"/>
        </w:rPr>
        <w:t>2</w:t>
      </w:r>
      <w:r w:rsidR="002A647B">
        <w:rPr>
          <w:i/>
          <w:iCs/>
          <w:lang w:val="en-US"/>
        </w:rPr>
        <w:t>.</w:t>
      </w:r>
      <w:r>
        <w:rPr>
          <w:i/>
          <w:iCs/>
          <w:lang w:val="en-US"/>
        </w:rPr>
        <w:t xml:space="preserve">3 </w:t>
      </w:r>
      <w:r w:rsidR="002A647B" w:rsidRPr="002A647B">
        <w:rPr>
          <w:i/>
          <w:iCs/>
          <w:lang w:val="en-US"/>
        </w:rPr>
        <w:t xml:space="preserve">National law </w:t>
      </w:r>
    </w:p>
    <w:p w14:paraId="7DB7E3F7" w14:textId="100BC4E7" w:rsidR="007B02B9" w:rsidRPr="002A647B" w:rsidRDefault="007B02B9" w:rsidP="005B00DC">
      <w:pPr>
        <w:jc w:val="both"/>
        <w:rPr>
          <w:i/>
          <w:iCs/>
          <w:lang w:val="en-US"/>
        </w:rPr>
      </w:pPr>
      <w:r>
        <w:rPr>
          <w:i/>
          <w:iCs/>
          <w:lang w:val="en-US"/>
        </w:rPr>
        <w:t xml:space="preserve">2.3.1 </w:t>
      </w:r>
      <w:r w:rsidR="00E82EFA">
        <w:rPr>
          <w:i/>
          <w:iCs/>
          <w:lang w:val="en-US"/>
        </w:rPr>
        <w:t xml:space="preserve">Act </w:t>
      </w:r>
      <w:r>
        <w:rPr>
          <w:i/>
          <w:iCs/>
          <w:lang w:val="en-US"/>
        </w:rPr>
        <w:t xml:space="preserve">on </w:t>
      </w:r>
      <w:r w:rsidR="00E82EFA" w:rsidRPr="00E82EFA">
        <w:rPr>
          <w:i/>
          <w:iCs/>
          <w:lang w:val="en-US"/>
        </w:rPr>
        <w:t>Responsibility for Electronic Bulletin Board</w:t>
      </w:r>
    </w:p>
    <w:p w14:paraId="16EC9E28" w14:textId="3CBB87A0" w:rsidR="00B9299E" w:rsidRDefault="008C104C" w:rsidP="005B00DC">
      <w:pPr>
        <w:jc w:val="both"/>
        <w:rPr>
          <w:lang w:val="en-US"/>
        </w:rPr>
      </w:pPr>
      <w:r>
        <w:rPr>
          <w:lang w:val="en-US"/>
        </w:rPr>
        <w:t xml:space="preserve">In Sweden, </w:t>
      </w:r>
      <w:r w:rsidR="006F7C3B">
        <w:rPr>
          <w:lang w:val="en-US"/>
        </w:rPr>
        <w:t>legislation was introduced in the late 1990’s on responsibility of b</w:t>
      </w:r>
      <w:r>
        <w:rPr>
          <w:lang w:val="en-US"/>
        </w:rPr>
        <w:t xml:space="preserve">ulletin </w:t>
      </w:r>
      <w:r w:rsidR="006F7C3B">
        <w:rPr>
          <w:lang w:val="en-US"/>
        </w:rPr>
        <w:t>b</w:t>
      </w:r>
      <w:r>
        <w:rPr>
          <w:lang w:val="en-US"/>
        </w:rPr>
        <w:t xml:space="preserve">oard </w:t>
      </w:r>
      <w:r w:rsidR="006F7C3B">
        <w:rPr>
          <w:lang w:val="en-US"/>
        </w:rPr>
        <w:t>s</w:t>
      </w:r>
      <w:r>
        <w:rPr>
          <w:lang w:val="en-US"/>
        </w:rPr>
        <w:t xml:space="preserve">ystems </w:t>
      </w:r>
      <w:r w:rsidR="00E82EFA">
        <w:rPr>
          <w:lang w:val="en-US"/>
        </w:rPr>
        <w:t xml:space="preserve">– the </w:t>
      </w:r>
      <w:r w:rsidR="00E82EFA" w:rsidRPr="00E82EFA">
        <w:rPr>
          <w:lang w:val="en-US"/>
        </w:rPr>
        <w:t xml:space="preserve">Act on </w:t>
      </w:r>
      <w:bookmarkStart w:id="1" w:name="_Hlk202342029"/>
      <w:r w:rsidR="00E82EFA" w:rsidRPr="00E82EFA">
        <w:rPr>
          <w:lang w:val="en-US"/>
        </w:rPr>
        <w:t>Responsibility for Electronic Bulletin Board</w:t>
      </w:r>
      <w:bookmarkEnd w:id="1"/>
      <w:r w:rsidR="00E82EFA">
        <w:rPr>
          <w:lang w:val="en-US"/>
        </w:rPr>
        <w:t xml:space="preserve">, </w:t>
      </w:r>
      <w:r w:rsidR="00E82EFA" w:rsidRPr="00E82EFA">
        <w:rPr>
          <w:lang w:val="en-US"/>
        </w:rPr>
        <w:t xml:space="preserve">hereinafter referred to as the </w:t>
      </w:r>
      <w:r w:rsidR="00E82EFA">
        <w:rPr>
          <w:lang w:val="en-US"/>
        </w:rPr>
        <w:t>‘</w:t>
      </w:r>
      <w:r w:rsidR="00E82EFA" w:rsidRPr="00E82EFA">
        <w:rPr>
          <w:lang w:val="en-US"/>
        </w:rPr>
        <w:t>BBS Act</w:t>
      </w:r>
      <w:r w:rsidR="00E82EFA">
        <w:rPr>
          <w:lang w:val="en-US"/>
        </w:rPr>
        <w:t>’</w:t>
      </w:r>
      <w:r w:rsidR="006F7C3B" w:rsidRPr="00E82EFA">
        <w:rPr>
          <w:lang w:val="en-US"/>
        </w:rPr>
        <w:t xml:space="preserve">. </w:t>
      </w:r>
      <w:r w:rsidR="00E37305" w:rsidRPr="00E37305">
        <w:rPr>
          <w:lang w:val="en-US"/>
        </w:rPr>
        <w:t xml:space="preserve">The </w:t>
      </w:r>
      <w:r w:rsidR="00E82EFA">
        <w:rPr>
          <w:lang w:val="en-US"/>
        </w:rPr>
        <w:t>act</w:t>
      </w:r>
      <w:r w:rsidR="00E37305" w:rsidRPr="00E37305">
        <w:rPr>
          <w:lang w:val="en-US"/>
        </w:rPr>
        <w:t xml:space="preserve"> stipulates that the person providing an electronic bulletin board shall have reasonable supervision over such a service. A provider of an electronic bulletin board shall also be obliged to provide users of the service with certain information and to remove certain types of messages. It </w:t>
      </w:r>
      <w:r w:rsidR="006127DB">
        <w:rPr>
          <w:lang w:val="en-US"/>
        </w:rPr>
        <w:t>was</w:t>
      </w:r>
      <w:r w:rsidR="00E37305" w:rsidRPr="00E37305">
        <w:rPr>
          <w:lang w:val="en-US"/>
        </w:rPr>
        <w:t xml:space="preserve"> proposed that anyone who fails to provide the prescribed information or fails to remove certain messages may be punished.</w:t>
      </w:r>
      <w:r w:rsidR="001D15E3">
        <w:rPr>
          <w:rStyle w:val="Fotnotsreferens"/>
          <w:lang w:val="en-US"/>
        </w:rPr>
        <w:footnoteReference w:id="8"/>
      </w:r>
      <w:r w:rsidR="00E37305">
        <w:rPr>
          <w:lang w:val="en-US"/>
        </w:rPr>
        <w:t xml:space="preserve"> </w:t>
      </w:r>
      <w:r w:rsidR="00EF2FE7" w:rsidRPr="00EF2FE7">
        <w:rPr>
          <w:lang w:val="en-US"/>
        </w:rPr>
        <w:t>The l</w:t>
      </w:r>
      <w:r w:rsidR="00EF2FE7">
        <w:rPr>
          <w:lang w:val="en-US"/>
        </w:rPr>
        <w:t xml:space="preserve">aw applies to electronic bulletin boards, defined as </w:t>
      </w:r>
      <w:r w:rsidR="00986787">
        <w:rPr>
          <w:lang w:val="en-US"/>
        </w:rPr>
        <w:t>a service</w:t>
      </w:r>
      <w:r w:rsidR="00EF2FE7">
        <w:rPr>
          <w:lang w:val="en-US"/>
        </w:rPr>
        <w:t xml:space="preserve"> that transmits electronic messages </w:t>
      </w:r>
      <w:r w:rsidR="00CE233F">
        <w:rPr>
          <w:lang w:val="en-US"/>
        </w:rPr>
        <w:t xml:space="preserve">in text, videos, sound or other information. </w:t>
      </w:r>
      <w:r w:rsidR="00451CA7">
        <w:rPr>
          <w:lang w:val="en-US"/>
        </w:rPr>
        <w:t xml:space="preserve">Therefore, the law applies to information society </w:t>
      </w:r>
      <w:r w:rsidR="00A77410">
        <w:rPr>
          <w:lang w:val="en-US"/>
        </w:rPr>
        <w:t>services</w:t>
      </w:r>
      <w:r w:rsidR="00451CA7">
        <w:rPr>
          <w:lang w:val="en-US"/>
        </w:rPr>
        <w:t xml:space="preserve"> in broad context</w:t>
      </w:r>
      <w:r w:rsidR="00E9681C">
        <w:rPr>
          <w:lang w:val="en-US"/>
        </w:rPr>
        <w:t xml:space="preserve"> – including online platforms. </w:t>
      </w:r>
    </w:p>
    <w:p w14:paraId="7E0E0F33" w14:textId="77A557AA" w:rsidR="006127DB" w:rsidRDefault="006127DB" w:rsidP="005B00DC">
      <w:pPr>
        <w:jc w:val="both"/>
        <w:rPr>
          <w:lang w:val="en-US"/>
        </w:rPr>
      </w:pPr>
      <w:r w:rsidRPr="006127DB">
        <w:rPr>
          <w:lang w:val="en-US"/>
        </w:rPr>
        <w:t xml:space="preserve">The obligation to remove or otherwise prevent further dissemination of the previously specified types of messages should arise when the provider becomes aware of the existence of the message. The provider may become aware of the message by reading the message himself or by someone drawing his attention to the message. </w:t>
      </w:r>
      <w:r w:rsidR="00986787" w:rsidRPr="006127DB">
        <w:rPr>
          <w:lang w:val="en-US"/>
        </w:rPr>
        <w:t>To</w:t>
      </w:r>
      <w:r w:rsidRPr="006127DB">
        <w:rPr>
          <w:lang w:val="en-US"/>
        </w:rPr>
        <w:t xml:space="preserve"> prevent the provider from remaining unaware of which messages are on the service, criminal liability should also be able to arise for anyone who, through gross negligence, fails to remove a message or otherwise prevent further dissemination of the message.</w:t>
      </w:r>
      <w:r w:rsidR="00307DE6">
        <w:rPr>
          <w:rStyle w:val="Fotnotsreferens"/>
          <w:lang w:val="en-US"/>
        </w:rPr>
        <w:footnoteReference w:id="9"/>
      </w:r>
    </w:p>
    <w:p w14:paraId="199AE917" w14:textId="1B629950" w:rsidR="007A444B" w:rsidRDefault="007A444B" w:rsidP="007A444B">
      <w:pPr>
        <w:jc w:val="both"/>
        <w:rPr>
          <w:lang w:val="en-US"/>
        </w:rPr>
      </w:pPr>
      <w:r>
        <w:rPr>
          <w:lang w:val="en-US"/>
        </w:rPr>
        <w:t xml:space="preserve">The </w:t>
      </w:r>
      <w:r w:rsidR="00327F1B">
        <w:rPr>
          <w:lang w:val="en-US"/>
        </w:rPr>
        <w:t>a</w:t>
      </w:r>
      <w:r>
        <w:rPr>
          <w:lang w:val="en-US"/>
        </w:rPr>
        <w:t xml:space="preserve">ct was introduced after the case </w:t>
      </w:r>
      <w:r w:rsidRPr="006127DB">
        <w:rPr>
          <w:lang w:val="en-US"/>
        </w:rPr>
        <w:t>NJA 1996 s.79</w:t>
      </w:r>
      <w:r>
        <w:rPr>
          <w:lang w:val="en-US"/>
        </w:rPr>
        <w:t xml:space="preserve"> which </w:t>
      </w:r>
      <w:r w:rsidR="00281A7A">
        <w:rPr>
          <w:lang w:val="en-US"/>
        </w:rPr>
        <w:t>concerned</w:t>
      </w:r>
      <w:r>
        <w:rPr>
          <w:lang w:val="en-US"/>
        </w:rPr>
        <w:t xml:space="preserve"> the question if the owner of the BBS platform had participated in committing copyright infringement by perceiving and storing copies of the copyrighted material and spreading them to the public. The </w:t>
      </w:r>
      <w:r w:rsidR="00E9681C">
        <w:rPr>
          <w:lang w:val="en-US"/>
        </w:rPr>
        <w:t>S</w:t>
      </w:r>
      <w:r>
        <w:rPr>
          <w:lang w:val="en-US"/>
        </w:rPr>
        <w:t xml:space="preserve">upreme </w:t>
      </w:r>
      <w:r w:rsidR="00E9681C">
        <w:rPr>
          <w:lang w:val="en-US"/>
        </w:rPr>
        <w:t>C</w:t>
      </w:r>
      <w:r>
        <w:rPr>
          <w:lang w:val="en-US"/>
        </w:rPr>
        <w:t>ourt conclude</w:t>
      </w:r>
      <w:r w:rsidR="00E9681C">
        <w:rPr>
          <w:lang w:val="en-US"/>
        </w:rPr>
        <w:t>d</w:t>
      </w:r>
      <w:r>
        <w:rPr>
          <w:lang w:val="en-US"/>
        </w:rPr>
        <w:t xml:space="preserve"> that unauthorized distribution </w:t>
      </w:r>
      <w:r w:rsidR="00E9681C">
        <w:rPr>
          <w:lang w:val="en-US"/>
        </w:rPr>
        <w:t xml:space="preserve">of </w:t>
      </w:r>
      <w:r>
        <w:rPr>
          <w:lang w:val="en-US"/>
        </w:rPr>
        <w:t xml:space="preserve">copyrighted material to the public in accordance with national copyright law requires an </w:t>
      </w:r>
      <w:r w:rsidRPr="006A68B6">
        <w:rPr>
          <w:i/>
          <w:iCs/>
          <w:lang w:val="en-US"/>
        </w:rPr>
        <w:t>active</w:t>
      </w:r>
      <w:r>
        <w:rPr>
          <w:lang w:val="en-US"/>
        </w:rPr>
        <w:t xml:space="preserve"> measure has been taken by the infringer. The questions then regard if solely providing a BBS-platform fulfills the requirement of an active measure. When it regards criminal assessments the principal of legality must be taken into consideration, and then the provider of the platform could not be held responsible. </w:t>
      </w:r>
    </w:p>
    <w:p w14:paraId="7AFEBCB8" w14:textId="1F88F177" w:rsidR="007A444B" w:rsidRDefault="007A444B" w:rsidP="005B00DC">
      <w:pPr>
        <w:jc w:val="both"/>
        <w:rPr>
          <w:lang w:val="en-US"/>
        </w:rPr>
      </w:pPr>
      <w:r>
        <w:rPr>
          <w:lang w:val="en-US"/>
        </w:rPr>
        <w:t xml:space="preserve">The judge in the applicable case lifted the discussion on platforms responsibility for illegal contents and what such responsibility should be. The judge stated that if liability requires </w:t>
      </w:r>
      <w:r w:rsidRPr="001F4478">
        <w:rPr>
          <w:i/>
          <w:iCs/>
          <w:lang w:val="en-US"/>
        </w:rPr>
        <w:t xml:space="preserve">action </w:t>
      </w:r>
      <w:r>
        <w:rPr>
          <w:lang w:val="en-US"/>
        </w:rPr>
        <w:t xml:space="preserve">such as limiting </w:t>
      </w:r>
      <w:r w:rsidR="005E122C">
        <w:rPr>
          <w:lang w:val="en-US"/>
        </w:rPr>
        <w:t>users’</w:t>
      </w:r>
      <w:r>
        <w:rPr>
          <w:lang w:val="en-US"/>
        </w:rPr>
        <w:t xml:space="preserve"> possibility to make infringement this would mean that platform providers that takes measures are more likely to be held liable for a criminal action rather than a platform provider that does nothing to prevent infringement – which would not be considered reasonable or acceptable from a legality perspective.</w:t>
      </w:r>
      <w:r>
        <w:rPr>
          <w:rStyle w:val="Fotnotsreferens"/>
          <w:lang w:val="en-US"/>
        </w:rPr>
        <w:footnoteReference w:id="10"/>
      </w:r>
      <w:r>
        <w:rPr>
          <w:lang w:val="en-US"/>
        </w:rPr>
        <w:t xml:space="preserve">  </w:t>
      </w:r>
    </w:p>
    <w:p w14:paraId="282250A8" w14:textId="4CDBD676" w:rsidR="00AE6A64" w:rsidRDefault="00AE6A64" w:rsidP="00AE6A64">
      <w:pPr>
        <w:jc w:val="both"/>
        <w:rPr>
          <w:lang w:val="en-US"/>
        </w:rPr>
      </w:pPr>
      <w:r w:rsidRPr="008C104C">
        <w:rPr>
          <w:lang w:val="en-US"/>
        </w:rPr>
        <w:t xml:space="preserve">Up until the </w:t>
      </w:r>
      <w:r>
        <w:rPr>
          <w:lang w:val="en-US"/>
        </w:rPr>
        <w:t xml:space="preserve">introduction and execution of the </w:t>
      </w:r>
      <w:r w:rsidR="005E122C">
        <w:rPr>
          <w:lang w:val="en-US"/>
        </w:rPr>
        <w:t>EU</w:t>
      </w:r>
      <w:r w:rsidR="00E9681C">
        <w:rPr>
          <w:lang w:val="en-US"/>
        </w:rPr>
        <w:t>’</w:t>
      </w:r>
      <w:r w:rsidR="005E122C">
        <w:rPr>
          <w:lang w:val="en-US"/>
        </w:rPr>
        <w:t>s</w:t>
      </w:r>
      <w:r>
        <w:rPr>
          <w:lang w:val="en-US"/>
        </w:rPr>
        <w:t xml:space="preserve"> </w:t>
      </w:r>
      <w:r w:rsidRPr="008C104C">
        <w:rPr>
          <w:lang w:val="en-US"/>
        </w:rPr>
        <w:t>Digital Services A</w:t>
      </w:r>
      <w:r>
        <w:rPr>
          <w:lang w:val="en-US"/>
        </w:rPr>
        <w:t xml:space="preserve">ct, the BBS </w:t>
      </w:r>
      <w:r w:rsidR="005E122C">
        <w:rPr>
          <w:lang w:val="en-US"/>
        </w:rPr>
        <w:t>Act</w:t>
      </w:r>
      <w:r>
        <w:rPr>
          <w:lang w:val="en-US"/>
        </w:rPr>
        <w:t xml:space="preserve"> stipulated </w:t>
      </w:r>
      <w:r w:rsidR="008C26AA">
        <w:rPr>
          <w:lang w:val="en-US"/>
        </w:rPr>
        <w:t>that an online platform</w:t>
      </w:r>
      <w:r>
        <w:rPr>
          <w:lang w:val="en-US"/>
        </w:rPr>
        <w:t xml:space="preserve"> had a monitoring obligation. Even intermediaries such as online platform providers had an obligation to remove illegal content such as copyright infringements. </w:t>
      </w:r>
      <w:r w:rsidR="00986787">
        <w:rPr>
          <w:lang w:val="en-US"/>
        </w:rPr>
        <w:t>To</w:t>
      </w:r>
      <w:r>
        <w:rPr>
          <w:lang w:val="en-US"/>
        </w:rPr>
        <w:t xml:space="preserve"> fulfil this obligation platform providers</w:t>
      </w:r>
      <w:r w:rsidR="00342692">
        <w:rPr>
          <w:lang w:val="en-US"/>
        </w:rPr>
        <w:t xml:space="preserve"> had</w:t>
      </w:r>
      <w:r>
        <w:rPr>
          <w:lang w:val="en-US"/>
        </w:rPr>
        <w:t xml:space="preserve"> a monitoring responsibility, meaning that </w:t>
      </w:r>
      <w:r w:rsidR="00342692">
        <w:rPr>
          <w:lang w:val="en-US"/>
        </w:rPr>
        <w:t xml:space="preserve">they </w:t>
      </w:r>
      <w:r>
        <w:rPr>
          <w:lang w:val="en-US"/>
        </w:rPr>
        <w:t xml:space="preserve">needed to monitor its platform </w:t>
      </w:r>
      <w:r w:rsidR="00E025C5">
        <w:rPr>
          <w:lang w:val="en-US"/>
        </w:rPr>
        <w:t>to</w:t>
      </w:r>
      <w:r>
        <w:rPr>
          <w:lang w:val="en-US"/>
        </w:rPr>
        <w:t xml:space="preserve"> detect and remove unlawful content. </w:t>
      </w:r>
      <w:r w:rsidRPr="00062CA2">
        <w:rPr>
          <w:lang w:val="en-US"/>
        </w:rPr>
        <w:t>As article 8 DSA states that intermediary services shall not have a general monitoring obligation, Swedish legislators had to make amendments to the BBS</w:t>
      </w:r>
      <w:r w:rsidR="00E9681C">
        <w:rPr>
          <w:lang w:val="en-US"/>
        </w:rPr>
        <w:t xml:space="preserve"> Act</w:t>
      </w:r>
      <w:r w:rsidRPr="00062CA2">
        <w:rPr>
          <w:lang w:val="en-US"/>
        </w:rPr>
        <w:t xml:space="preserve"> and distinct intermediary services from other information society services – as intermediary services previously were included in the ‘general monitoring’ obligation in the BBS </w:t>
      </w:r>
      <w:r w:rsidR="00E9681C">
        <w:rPr>
          <w:lang w:val="en-US"/>
        </w:rPr>
        <w:t>Act</w:t>
      </w:r>
      <w:r w:rsidRPr="00062CA2">
        <w:rPr>
          <w:lang w:val="en-US"/>
        </w:rPr>
        <w:t>.</w:t>
      </w:r>
    </w:p>
    <w:p w14:paraId="477D0B68" w14:textId="67028A1F" w:rsidR="00AE6A64" w:rsidRPr="000F0468" w:rsidRDefault="00AE6A64" w:rsidP="00AE6A64">
      <w:pPr>
        <w:jc w:val="both"/>
        <w:rPr>
          <w:lang w:val="en-US"/>
        </w:rPr>
      </w:pPr>
      <w:r>
        <w:rPr>
          <w:lang w:val="en-US"/>
        </w:rPr>
        <w:t xml:space="preserve">It is now stated in section 4 § a) the BBS </w:t>
      </w:r>
      <w:r w:rsidR="00970D77">
        <w:rPr>
          <w:lang w:val="en-US"/>
        </w:rPr>
        <w:t>Act</w:t>
      </w:r>
      <w:r>
        <w:rPr>
          <w:lang w:val="en-US"/>
        </w:rPr>
        <w:t xml:space="preserve"> that </w:t>
      </w:r>
      <w:r>
        <w:rPr>
          <w:lang w:val="en"/>
        </w:rPr>
        <w:t>t</w:t>
      </w:r>
      <w:r w:rsidRPr="00062CA2">
        <w:rPr>
          <w:lang w:val="en"/>
        </w:rPr>
        <w:t xml:space="preserve">he obligation to </w:t>
      </w:r>
      <w:r>
        <w:rPr>
          <w:lang w:val="en"/>
        </w:rPr>
        <w:t>monitor</w:t>
      </w:r>
      <w:r w:rsidRPr="00062CA2">
        <w:rPr>
          <w:lang w:val="en"/>
        </w:rPr>
        <w:t xml:space="preserve"> the service pursuant to Section 4 does not apply to the provider of an electronic bulletin board that is an </w:t>
      </w:r>
      <w:r w:rsidRPr="00986787">
        <w:rPr>
          <w:i/>
          <w:iCs/>
          <w:lang w:val="en"/>
        </w:rPr>
        <w:t>intermediation service</w:t>
      </w:r>
      <w:r w:rsidRPr="00062CA2">
        <w:rPr>
          <w:lang w:val="en"/>
        </w:rPr>
        <w:t xml:space="preserve"> pursuant to Regulation (EU) 2022/2065 of the European Parliament and of the Council of 19 October 2022 on the internal market for digital services</w:t>
      </w:r>
      <w:r w:rsidR="00986787">
        <w:rPr>
          <w:lang w:val="en"/>
        </w:rPr>
        <w:t xml:space="preserve"> (the DSA)</w:t>
      </w:r>
      <w:r w:rsidRPr="00062CA2">
        <w:rPr>
          <w:lang w:val="en"/>
        </w:rPr>
        <w:t>.</w:t>
      </w:r>
      <w:r>
        <w:rPr>
          <w:lang w:val="en"/>
        </w:rPr>
        <w:t xml:space="preserve"> Second paragraph states that for</w:t>
      </w:r>
      <w:r w:rsidRPr="00C956CB">
        <w:rPr>
          <w:lang w:val="en"/>
        </w:rPr>
        <w:t xml:space="preserve"> the </w:t>
      </w:r>
      <w:r>
        <w:rPr>
          <w:lang w:val="en"/>
        </w:rPr>
        <w:t xml:space="preserve">platform </w:t>
      </w:r>
      <w:r w:rsidRPr="00C956CB">
        <w:rPr>
          <w:lang w:val="en"/>
        </w:rPr>
        <w:t>providing such a service, the obligation under Section 5, first paragraph, applies when the provider becomes aware that the message is on the service.</w:t>
      </w:r>
      <w:r>
        <w:rPr>
          <w:lang w:val="en"/>
        </w:rPr>
        <w:t xml:space="preserve"> In </w:t>
      </w:r>
      <w:r>
        <w:rPr>
          <w:lang w:val="en"/>
        </w:rPr>
        <w:lastRenderedPageBreak/>
        <w:t>the preparatory work it is stated that t</w:t>
      </w:r>
      <w:r w:rsidRPr="000F0468">
        <w:rPr>
          <w:lang w:val="en"/>
        </w:rPr>
        <w:t>here is no formal requirement as to how the information must have come to the provider's attention for the obligation to arise.</w:t>
      </w:r>
      <w:r>
        <w:rPr>
          <w:rStyle w:val="Fotnotsreferens"/>
          <w:lang w:val="en"/>
        </w:rPr>
        <w:footnoteReference w:id="11"/>
      </w:r>
    </w:p>
    <w:p w14:paraId="3298B9F2" w14:textId="20D931BB" w:rsidR="00AE6A64" w:rsidRDefault="00AE6A64" w:rsidP="005B00DC">
      <w:pPr>
        <w:jc w:val="both"/>
        <w:rPr>
          <w:lang w:val="en-US"/>
        </w:rPr>
      </w:pPr>
      <w:r>
        <w:rPr>
          <w:lang w:val="en-US"/>
        </w:rPr>
        <w:t xml:space="preserve">Section 5 paragraph two regulates the obligation for online platform providers to remove certain messages published by users (service recipients) of the platforms in regard to copy right infringements. </w:t>
      </w:r>
      <w:r w:rsidRPr="00260320">
        <w:rPr>
          <w:lang w:val="en"/>
        </w:rPr>
        <w:t>If a user posts a message to an electronic bulletin board, the service provider must remove the message from the service or otherwise prevent further dissemination of the message, if</w:t>
      </w:r>
      <w:r>
        <w:rPr>
          <w:lang w:val="en-US"/>
        </w:rPr>
        <w:t xml:space="preserve"> </w:t>
      </w:r>
      <w:r>
        <w:rPr>
          <w:lang w:val="en"/>
        </w:rPr>
        <w:t>i</w:t>
      </w:r>
      <w:r w:rsidRPr="00260320">
        <w:rPr>
          <w:lang w:val="en"/>
        </w:rPr>
        <w:t>t is obvious that the user has infringed copyright or a right protected by regulation in Chapter 5 of the Copyright Act (1960:729) on Literary and Artistic Works</w:t>
      </w:r>
      <w:r w:rsidR="00970D77">
        <w:rPr>
          <w:lang w:val="en"/>
        </w:rPr>
        <w:t xml:space="preserve"> (hereinafter referred to as the ‘Copyright Act’)</w:t>
      </w:r>
      <w:r w:rsidRPr="00260320">
        <w:rPr>
          <w:lang w:val="en"/>
        </w:rPr>
        <w:t xml:space="preserve"> by submitting the message.</w:t>
      </w:r>
    </w:p>
    <w:p w14:paraId="3A80BEF7" w14:textId="2D6A89CA" w:rsidR="001F6C20" w:rsidRDefault="001F6C20" w:rsidP="00D54FA1">
      <w:pPr>
        <w:jc w:val="both"/>
        <w:rPr>
          <w:lang w:val="en-US"/>
        </w:rPr>
      </w:pPr>
      <w:r>
        <w:rPr>
          <w:lang w:val="en-US"/>
        </w:rPr>
        <w:t xml:space="preserve">There is only one case with prejudicial value </w:t>
      </w:r>
      <w:r w:rsidR="004F74FE">
        <w:rPr>
          <w:lang w:val="en-US"/>
        </w:rPr>
        <w:t>regarding</w:t>
      </w:r>
      <w:r>
        <w:rPr>
          <w:lang w:val="en-US"/>
        </w:rPr>
        <w:t xml:space="preserve"> the BBS</w:t>
      </w:r>
      <w:r w:rsidR="00D810BE">
        <w:rPr>
          <w:lang w:val="en-US"/>
        </w:rPr>
        <w:t xml:space="preserve"> Act</w:t>
      </w:r>
      <w:r>
        <w:rPr>
          <w:lang w:val="en-US"/>
        </w:rPr>
        <w:t xml:space="preserve">, </w:t>
      </w:r>
      <w:r w:rsidR="00281A7A">
        <w:rPr>
          <w:lang w:val="en-US"/>
        </w:rPr>
        <w:t xml:space="preserve">case </w:t>
      </w:r>
      <w:r>
        <w:rPr>
          <w:lang w:val="en-US"/>
        </w:rPr>
        <w:t xml:space="preserve">NJA 2007 s.805. </w:t>
      </w:r>
      <w:r w:rsidR="00462045">
        <w:rPr>
          <w:lang w:val="en-US"/>
        </w:rPr>
        <w:t xml:space="preserve">The case </w:t>
      </w:r>
      <w:r w:rsidR="00281A7A">
        <w:rPr>
          <w:lang w:val="en-US"/>
        </w:rPr>
        <w:t xml:space="preserve">concerned </w:t>
      </w:r>
      <w:r w:rsidR="00462045">
        <w:rPr>
          <w:lang w:val="en-US"/>
        </w:rPr>
        <w:t xml:space="preserve">hate </w:t>
      </w:r>
      <w:r w:rsidR="006C6F36">
        <w:rPr>
          <w:lang w:val="en-US"/>
        </w:rPr>
        <w:t>speech</w:t>
      </w:r>
      <w:r w:rsidR="007E16CC">
        <w:rPr>
          <w:lang w:val="en-US"/>
        </w:rPr>
        <w:t xml:space="preserve"> and whether the person providing the platform where the illegal content had been published </w:t>
      </w:r>
      <w:r w:rsidR="00281A7A">
        <w:rPr>
          <w:lang w:val="en-US"/>
        </w:rPr>
        <w:t xml:space="preserve">were to be convicted of aiding and abetting the crime of hate speech or liable in regard to </w:t>
      </w:r>
      <w:r w:rsidR="007E16CC">
        <w:rPr>
          <w:lang w:val="en-US"/>
        </w:rPr>
        <w:t>the BBS</w:t>
      </w:r>
      <w:r w:rsidR="00D810BE">
        <w:rPr>
          <w:lang w:val="en-US"/>
        </w:rPr>
        <w:t xml:space="preserve"> Act</w:t>
      </w:r>
      <w:r w:rsidR="006C6F36">
        <w:rPr>
          <w:lang w:val="en-US"/>
        </w:rPr>
        <w:t xml:space="preserve">. A person </w:t>
      </w:r>
      <w:r w:rsidR="00790843">
        <w:rPr>
          <w:lang w:val="en-US"/>
        </w:rPr>
        <w:t xml:space="preserve">provided a website that made it possible for visitors of the website to publish comments </w:t>
      </w:r>
      <w:r w:rsidR="00281A7A">
        <w:rPr>
          <w:lang w:val="en-US"/>
        </w:rPr>
        <w:t xml:space="preserve">on the platform </w:t>
      </w:r>
      <w:r w:rsidR="00790843">
        <w:rPr>
          <w:lang w:val="en-US"/>
        </w:rPr>
        <w:t xml:space="preserve">and </w:t>
      </w:r>
      <w:r w:rsidR="00281A7A">
        <w:rPr>
          <w:lang w:val="en-US"/>
        </w:rPr>
        <w:t xml:space="preserve">in </w:t>
      </w:r>
      <w:r w:rsidR="00790843">
        <w:rPr>
          <w:lang w:val="en-US"/>
        </w:rPr>
        <w:t>forums of discussion. Some o</w:t>
      </w:r>
      <w:r w:rsidR="001F6C95">
        <w:rPr>
          <w:lang w:val="en-US"/>
        </w:rPr>
        <w:t>f</w:t>
      </w:r>
      <w:r w:rsidR="00790843">
        <w:rPr>
          <w:lang w:val="en-US"/>
        </w:rPr>
        <w:t xml:space="preserve"> the messages published by visitors</w:t>
      </w:r>
      <w:r w:rsidR="00E9681C">
        <w:rPr>
          <w:lang w:val="en-US"/>
        </w:rPr>
        <w:t xml:space="preserve"> or </w:t>
      </w:r>
      <w:r w:rsidR="00790843">
        <w:rPr>
          <w:lang w:val="en-US"/>
        </w:rPr>
        <w:t>users of the website was obvious hate speech which are criminal</w:t>
      </w:r>
      <w:r w:rsidR="001F6C95">
        <w:rPr>
          <w:lang w:val="en-US"/>
        </w:rPr>
        <w:t>ly</w:t>
      </w:r>
      <w:r w:rsidR="00790843">
        <w:rPr>
          <w:lang w:val="en-US"/>
        </w:rPr>
        <w:t xml:space="preserve"> sanctioned in the Swedish Penal Code. The discussion in this case was if the provider of the website could be deemed any responsibility. </w:t>
      </w:r>
    </w:p>
    <w:p w14:paraId="62B1E031" w14:textId="0368BD4F" w:rsidR="001F6C95" w:rsidRPr="007A6133" w:rsidRDefault="002D686C" w:rsidP="00D54FA1">
      <w:pPr>
        <w:jc w:val="both"/>
        <w:rPr>
          <w:lang w:val="en-US"/>
        </w:rPr>
      </w:pPr>
      <w:r>
        <w:rPr>
          <w:lang w:val="en-US"/>
        </w:rPr>
        <w:t>The Supreme Court stated that for</w:t>
      </w:r>
      <w:r w:rsidR="001F6C95" w:rsidRPr="001F6C95">
        <w:rPr>
          <w:lang w:val="en-US"/>
        </w:rPr>
        <w:t xml:space="preserve"> someone to be convicted of</w:t>
      </w:r>
      <w:r w:rsidR="001F6C95">
        <w:rPr>
          <w:lang w:val="en-US"/>
        </w:rPr>
        <w:t xml:space="preserve"> hate speech</w:t>
      </w:r>
      <w:r w:rsidR="001F6C95" w:rsidRPr="001F6C95">
        <w:rPr>
          <w:lang w:val="en-US"/>
        </w:rPr>
        <w:t xml:space="preserve">, it is generally required that the person himself has spread or contributed to the spread of the statement that is the subject of the examination. As with other crimes that primarily aim at active action, it is not excluded that even a failure to prevent the spread of a message may be sufficient for criminal liability. However, this requires that the person who failed to do so has assumed what is usually called in the doctrine a </w:t>
      </w:r>
      <w:r w:rsidR="00CF571A">
        <w:rPr>
          <w:lang w:val="en-US"/>
        </w:rPr>
        <w:t>‘</w:t>
      </w:r>
      <w:r w:rsidR="001F6C95" w:rsidRPr="001F6C95">
        <w:rPr>
          <w:lang w:val="en-US"/>
        </w:rPr>
        <w:t>guarantor position</w:t>
      </w:r>
      <w:r w:rsidR="00CF571A">
        <w:rPr>
          <w:lang w:val="en-US"/>
        </w:rPr>
        <w:t>’</w:t>
      </w:r>
      <w:r w:rsidR="001F6C95" w:rsidRPr="001F6C95">
        <w:rPr>
          <w:lang w:val="en-US"/>
        </w:rPr>
        <w:t xml:space="preserve"> or, in other words, that he has had a special obligation to prevent further spread due to his position</w:t>
      </w:r>
      <w:r>
        <w:rPr>
          <w:lang w:val="en-US"/>
        </w:rPr>
        <w:t xml:space="preserve">. </w:t>
      </w:r>
      <w:r w:rsidR="00281A7A">
        <w:rPr>
          <w:lang w:val="en-US"/>
        </w:rPr>
        <w:t>The mere circumstance</w:t>
      </w:r>
      <w:r w:rsidR="00F32930">
        <w:rPr>
          <w:lang w:val="en-US"/>
        </w:rPr>
        <w:t xml:space="preserve"> that</w:t>
      </w:r>
      <w:r w:rsidR="00281A7A">
        <w:rPr>
          <w:lang w:val="en-US"/>
        </w:rPr>
        <w:t xml:space="preserve"> </w:t>
      </w:r>
      <w:r>
        <w:rPr>
          <w:lang w:val="en-US"/>
        </w:rPr>
        <w:t xml:space="preserve"> a service provider </w:t>
      </w:r>
      <w:r w:rsidR="007A6133">
        <w:rPr>
          <w:lang w:val="en-US"/>
        </w:rPr>
        <w:t>falls</w:t>
      </w:r>
      <w:r>
        <w:rPr>
          <w:lang w:val="en-US"/>
        </w:rPr>
        <w:t xml:space="preserve"> within the scope of the BBS</w:t>
      </w:r>
      <w:r w:rsidR="00D810BE">
        <w:rPr>
          <w:lang w:val="en-US"/>
        </w:rPr>
        <w:t xml:space="preserve"> Act</w:t>
      </w:r>
      <w:r>
        <w:rPr>
          <w:lang w:val="en-US"/>
        </w:rPr>
        <w:t xml:space="preserve"> and </w:t>
      </w:r>
      <w:r w:rsidR="00F32930">
        <w:rPr>
          <w:lang w:val="en-US"/>
        </w:rPr>
        <w:t xml:space="preserve">has </w:t>
      </w:r>
      <w:r>
        <w:rPr>
          <w:lang w:val="en-US"/>
        </w:rPr>
        <w:t>the responsibilities to monitor the platform</w:t>
      </w:r>
      <w:r w:rsidR="00E9681C">
        <w:rPr>
          <w:lang w:val="en-US"/>
        </w:rPr>
        <w:t xml:space="preserve">, </w:t>
      </w:r>
      <w:r>
        <w:rPr>
          <w:lang w:val="en-US"/>
        </w:rPr>
        <w:t xml:space="preserve">cannot be used to determine that the service provider has a position as a guarantor and thereby be deemed responsible for crime against hate speech in relation to the Penal Code. </w:t>
      </w:r>
      <w:r w:rsidR="007A6133">
        <w:rPr>
          <w:lang w:val="en-US"/>
        </w:rPr>
        <w:t xml:space="preserve">The person behind the </w:t>
      </w:r>
      <w:r w:rsidR="00E9681C">
        <w:rPr>
          <w:lang w:val="en-US"/>
        </w:rPr>
        <w:t>b</w:t>
      </w:r>
      <w:r w:rsidR="007A6133">
        <w:rPr>
          <w:lang w:val="en-US"/>
        </w:rPr>
        <w:t xml:space="preserve">ulletin </w:t>
      </w:r>
      <w:r w:rsidR="00E9681C">
        <w:rPr>
          <w:lang w:val="en-US"/>
        </w:rPr>
        <w:t>b</w:t>
      </w:r>
      <w:r w:rsidR="007A6133">
        <w:rPr>
          <w:lang w:val="en-US"/>
        </w:rPr>
        <w:t xml:space="preserve">oard </w:t>
      </w:r>
      <w:r w:rsidR="00E9681C">
        <w:rPr>
          <w:lang w:val="en-US"/>
        </w:rPr>
        <w:t>s</w:t>
      </w:r>
      <w:r w:rsidR="007A6133">
        <w:rPr>
          <w:lang w:val="en-US"/>
        </w:rPr>
        <w:t>ystem was not convicted for crime against the BB</w:t>
      </w:r>
      <w:r w:rsidR="00D810BE">
        <w:rPr>
          <w:lang w:val="en-US"/>
        </w:rPr>
        <w:t>S Act</w:t>
      </w:r>
      <w:r w:rsidR="007A6133">
        <w:rPr>
          <w:lang w:val="en-US"/>
        </w:rPr>
        <w:t xml:space="preserve"> either, as the court assessed that it could not be deemed </w:t>
      </w:r>
      <w:r w:rsidR="00F32930">
        <w:rPr>
          <w:i/>
          <w:iCs/>
          <w:lang w:val="en-US"/>
        </w:rPr>
        <w:t xml:space="preserve">apparent </w:t>
      </w:r>
      <w:r w:rsidR="007A6133">
        <w:rPr>
          <w:lang w:val="en-US"/>
        </w:rPr>
        <w:t xml:space="preserve">for the service provider that the comments stated were in fact hate speech. </w:t>
      </w:r>
    </w:p>
    <w:bookmarkEnd w:id="0"/>
    <w:p w14:paraId="3EB0297F" w14:textId="5122B89A" w:rsidR="007B02B9" w:rsidRPr="007B02B9" w:rsidRDefault="007B02B9" w:rsidP="005B00DC">
      <w:pPr>
        <w:jc w:val="both"/>
        <w:rPr>
          <w:i/>
          <w:iCs/>
          <w:lang w:val="en-US"/>
        </w:rPr>
      </w:pPr>
      <w:r>
        <w:rPr>
          <w:i/>
          <w:iCs/>
          <w:lang w:val="en-US"/>
        </w:rPr>
        <w:t xml:space="preserve">2.3.2 </w:t>
      </w:r>
      <w:r w:rsidR="004F74FE">
        <w:rPr>
          <w:i/>
          <w:iCs/>
          <w:lang w:val="en-US"/>
        </w:rPr>
        <w:t xml:space="preserve">The Electronic Commerce Act </w:t>
      </w:r>
    </w:p>
    <w:p w14:paraId="3B6457A7" w14:textId="5B75B02D" w:rsidR="00106A4A" w:rsidRPr="005E6183" w:rsidRDefault="00106A4A" w:rsidP="005B00DC">
      <w:pPr>
        <w:jc w:val="both"/>
        <w:rPr>
          <w:lang w:val="en"/>
        </w:rPr>
      </w:pPr>
      <w:r w:rsidRPr="00106A4A">
        <w:rPr>
          <w:lang w:val="en-US"/>
        </w:rPr>
        <w:t xml:space="preserve">Before the DSA was introduced </w:t>
      </w:r>
      <w:r w:rsidR="00342692">
        <w:rPr>
          <w:lang w:val="en-US"/>
        </w:rPr>
        <w:t>within</w:t>
      </w:r>
      <w:r w:rsidRPr="00106A4A">
        <w:rPr>
          <w:lang w:val="en-US"/>
        </w:rPr>
        <w:t xml:space="preserve"> the EU and to Swedish law, the e-commerce directive was implemented in paragraph 16-18 §§ in the </w:t>
      </w:r>
      <w:r w:rsidR="00AB1E49" w:rsidRPr="005E6183">
        <w:rPr>
          <w:lang w:val="en-US"/>
        </w:rPr>
        <w:t>Electronic Commerce Act (2002:562)</w:t>
      </w:r>
      <w:r w:rsidRPr="00106A4A">
        <w:rPr>
          <w:lang w:val="en-US"/>
        </w:rPr>
        <w:t>. Intermediaries’ freedom of liability was</w:t>
      </w:r>
      <w:r w:rsidR="00342692">
        <w:rPr>
          <w:lang w:val="en-US"/>
        </w:rPr>
        <w:t xml:space="preserve"> </w:t>
      </w:r>
      <w:r w:rsidRPr="00106A4A">
        <w:rPr>
          <w:lang w:val="en-US"/>
        </w:rPr>
        <w:t>before the DSA</w:t>
      </w:r>
      <w:r w:rsidR="00342692">
        <w:rPr>
          <w:lang w:val="en-US"/>
        </w:rPr>
        <w:t xml:space="preserve"> </w:t>
      </w:r>
      <w:r w:rsidRPr="00106A4A">
        <w:rPr>
          <w:lang w:val="en-US"/>
        </w:rPr>
        <w:t xml:space="preserve">regulated in the e-commerce directive article 14 – 15 which is now replaced by article 4, 5, 6 and 8 </w:t>
      </w:r>
      <w:r w:rsidR="00E9681C">
        <w:rPr>
          <w:lang w:val="en-US"/>
        </w:rPr>
        <w:t xml:space="preserve">of the </w:t>
      </w:r>
      <w:r w:rsidRPr="00106A4A">
        <w:rPr>
          <w:lang w:val="en-US"/>
        </w:rPr>
        <w:t xml:space="preserve">DSA. The mentioned </w:t>
      </w:r>
      <w:r w:rsidR="00342692" w:rsidRPr="00106A4A">
        <w:rPr>
          <w:lang w:val="en-US"/>
        </w:rPr>
        <w:t>article</w:t>
      </w:r>
      <w:r w:rsidR="00342692">
        <w:rPr>
          <w:lang w:val="en-US"/>
        </w:rPr>
        <w:t xml:space="preserve">s </w:t>
      </w:r>
      <w:r w:rsidRPr="00106A4A">
        <w:rPr>
          <w:lang w:val="en-US"/>
        </w:rPr>
        <w:t xml:space="preserve">in the DSA also replaces paragraph 16-18 §§ in the </w:t>
      </w:r>
      <w:r w:rsidR="00AB1E49">
        <w:rPr>
          <w:lang w:val="en-US"/>
        </w:rPr>
        <w:t>Electronic Commerce Act</w:t>
      </w:r>
      <w:r w:rsidRPr="00106A4A">
        <w:rPr>
          <w:lang w:val="en-US"/>
        </w:rPr>
        <w:t xml:space="preserve">. The main rules for online platforms freedom of liability </w:t>
      </w:r>
      <w:r w:rsidR="00342692">
        <w:rPr>
          <w:lang w:val="en-US"/>
        </w:rPr>
        <w:t>are now</w:t>
      </w:r>
      <w:r w:rsidRPr="00106A4A">
        <w:rPr>
          <w:lang w:val="en-US"/>
        </w:rPr>
        <w:t xml:space="preserve"> regulated in the DSA. </w:t>
      </w:r>
      <w:r w:rsidR="005E6183" w:rsidRPr="005E6183">
        <w:rPr>
          <w:lang w:val="en-US"/>
        </w:rPr>
        <w:t xml:space="preserve">According to 19 § the Swedish Electronic Commerce Act, a service provider </w:t>
      </w:r>
      <w:r w:rsidR="005E6183" w:rsidRPr="005E6183">
        <w:rPr>
          <w:lang w:val="en"/>
        </w:rPr>
        <w:t xml:space="preserve">who transmits or stores information for another person may be held liable for a crime relating to the content of the information only if the crime was committed </w:t>
      </w:r>
      <w:r w:rsidR="005E6183" w:rsidRPr="005E6183">
        <w:rPr>
          <w:i/>
          <w:iCs/>
          <w:lang w:val="en"/>
        </w:rPr>
        <w:t>intentionally</w:t>
      </w:r>
      <w:r w:rsidR="005E6183" w:rsidRPr="005E6183">
        <w:rPr>
          <w:lang w:val="en"/>
        </w:rPr>
        <w:t>.</w:t>
      </w:r>
    </w:p>
    <w:p w14:paraId="7C7C310F" w14:textId="72A6D5C9" w:rsidR="00425CC4" w:rsidRDefault="00E9681C" w:rsidP="00425CC4">
      <w:pPr>
        <w:jc w:val="both"/>
        <w:rPr>
          <w:lang w:val="en"/>
        </w:rPr>
      </w:pPr>
      <w:r>
        <w:rPr>
          <w:lang w:val="en-US"/>
        </w:rPr>
        <w:t>The freedom of liability according to the Electronic Commerce Act was discussed i</w:t>
      </w:r>
      <w:r w:rsidR="00425CC4">
        <w:rPr>
          <w:lang w:val="en-US"/>
        </w:rPr>
        <w:t xml:space="preserve">n 2009, </w:t>
      </w:r>
      <w:r>
        <w:rPr>
          <w:lang w:val="en-US"/>
        </w:rPr>
        <w:t xml:space="preserve">in the </w:t>
      </w:r>
      <w:r w:rsidR="00425CC4">
        <w:rPr>
          <w:lang w:val="en-US"/>
        </w:rPr>
        <w:t xml:space="preserve">group action </w:t>
      </w:r>
      <w:r>
        <w:rPr>
          <w:lang w:val="en-US"/>
        </w:rPr>
        <w:t xml:space="preserve">case </w:t>
      </w:r>
      <w:r w:rsidR="00425CC4">
        <w:rPr>
          <w:lang w:val="en-US"/>
        </w:rPr>
        <w:t xml:space="preserve">against the founders of the file sharing </w:t>
      </w:r>
      <w:r w:rsidR="00257670">
        <w:rPr>
          <w:lang w:val="en-US"/>
        </w:rPr>
        <w:t>‘</w:t>
      </w:r>
      <w:r w:rsidR="00425CC4">
        <w:rPr>
          <w:lang w:val="en-US"/>
        </w:rPr>
        <w:t>streaming</w:t>
      </w:r>
      <w:r w:rsidR="00257670">
        <w:rPr>
          <w:lang w:val="en-US"/>
        </w:rPr>
        <w:t>’</w:t>
      </w:r>
      <w:r w:rsidR="00425CC4">
        <w:rPr>
          <w:lang w:val="en-US"/>
        </w:rPr>
        <w:t xml:space="preserve"> service </w:t>
      </w:r>
      <w:r w:rsidR="00383BFF">
        <w:rPr>
          <w:lang w:val="en-US"/>
        </w:rPr>
        <w:t>‘</w:t>
      </w:r>
      <w:r w:rsidR="00425CC4">
        <w:rPr>
          <w:lang w:val="en-US"/>
        </w:rPr>
        <w:t>The Pirate Bay</w:t>
      </w:r>
      <w:r w:rsidR="00383BFF">
        <w:rPr>
          <w:lang w:val="en-US"/>
        </w:rPr>
        <w:t>’</w:t>
      </w:r>
      <w:r w:rsidR="00425CC4">
        <w:rPr>
          <w:lang w:val="en-US"/>
        </w:rPr>
        <w:t xml:space="preserve"> hereinafter referred to as TPB. </w:t>
      </w:r>
      <w:r w:rsidR="007D0888">
        <w:rPr>
          <w:lang w:val="en-US"/>
        </w:rPr>
        <w:t xml:space="preserve">Three individuals behind the </w:t>
      </w:r>
      <w:r w:rsidR="009A2ECF">
        <w:rPr>
          <w:lang w:val="en-US"/>
        </w:rPr>
        <w:t>platform,</w:t>
      </w:r>
      <w:r w:rsidR="007D0888">
        <w:rPr>
          <w:lang w:val="en-US"/>
        </w:rPr>
        <w:t xml:space="preserve"> </w:t>
      </w:r>
      <w:r w:rsidR="00C2666F">
        <w:rPr>
          <w:lang w:val="en-US"/>
        </w:rPr>
        <w:t>TPB</w:t>
      </w:r>
      <w:r w:rsidR="007D0888">
        <w:rPr>
          <w:lang w:val="en-US"/>
        </w:rPr>
        <w:t xml:space="preserve"> were convicted for aiding and abetting to copyright infringement. </w:t>
      </w:r>
      <w:r w:rsidR="00425CC4">
        <w:rPr>
          <w:lang w:val="en-US"/>
        </w:rPr>
        <w:t xml:space="preserve">The case regards the illegal sharing of </w:t>
      </w:r>
      <w:r w:rsidR="009A2ECF">
        <w:rPr>
          <w:lang w:val="en-US"/>
        </w:rPr>
        <w:t>copyrighted</w:t>
      </w:r>
      <w:r w:rsidR="00425CC4">
        <w:rPr>
          <w:lang w:val="en-US"/>
        </w:rPr>
        <w:t xml:space="preserve"> material. </w:t>
      </w:r>
      <w:r w:rsidR="00425CC4">
        <w:rPr>
          <w:lang w:val="en"/>
        </w:rPr>
        <w:t>I</w:t>
      </w:r>
      <w:r w:rsidR="00425CC4" w:rsidRPr="00924548">
        <w:rPr>
          <w:lang w:val="en"/>
        </w:rPr>
        <w:t xml:space="preserve">t </w:t>
      </w:r>
      <w:r w:rsidR="00425CC4">
        <w:rPr>
          <w:lang w:val="en"/>
        </w:rPr>
        <w:t>was</w:t>
      </w:r>
      <w:r w:rsidR="00425CC4" w:rsidRPr="00924548">
        <w:rPr>
          <w:lang w:val="en"/>
        </w:rPr>
        <w:t xml:space="preserve"> established that TPB's servers </w:t>
      </w:r>
      <w:r w:rsidR="00854380" w:rsidRPr="00924548">
        <w:rPr>
          <w:lang w:val="en"/>
        </w:rPr>
        <w:t>were in</w:t>
      </w:r>
      <w:r w:rsidR="00425CC4" w:rsidRPr="00924548">
        <w:rPr>
          <w:lang w:val="en"/>
        </w:rPr>
        <w:t xml:space="preserve"> Sweden, </w:t>
      </w:r>
      <w:r w:rsidR="00425CC4">
        <w:rPr>
          <w:lang w:val="en"/>
        </w:rPr>
        <w:t xml:space="preserve">therefore </w:t>
      </w:r>
      <w:r w:rsidR="00425CC4" w:rsidRPr="00924548">
        <w:rPr>
          <w:lang w:val="en"/>
        </w:rPr>
        <w:t xml:space="preserve">the crimes </w:t>
      </w:r>
      <w:r w:rsidR="00425CC4">
        <w:rPr>
          <w:lang w:val="en"/>
        </w:rPr>
        <w:t>were</w:t>
      </w:r>
      <w:r w:rsidR="00425CC4" w:rsidRPr="00924548">
        <w:rPr>
          <w:lang w:val="en"/>
        </w:rPr>
        <w:t xml:space="preserve"> considered to have been committed in </w:t>
      </w:r>
      <w:r w:rsidR="00425CC4">
        <w:rPr>
          <w:lang w:val="en"/>
        </w:rPr>
        <w:t>Sweden</w:t>
      </w:r>
      <w:r w:rsidR="00425CC4" w:rsidRPr="00924548">
        <w:rPr>
          <w:lang w:val="en"/>
        </w:rPr>
        <w:t xml:space="preserve"> and Swedish law </w:t>
      </w:r>
      <w:r w:rsidR="00400AE6">
        <w:rPr>
          <w:lang w:val="en"/>
        </w:rPr>
        <w:t>to be</w:t>
      </w:r>
      <w:r w:rsidR="00425CC4" w:rsidRPr="00924548">
        <w:rPr>
          <w:lang w:val="en"/>
        </w:rPr>
        <w:t xml:space="preserve"> applicable.</w:t>
      </w:r>
      <w:r w:rsidR="00425CC4">
        <w:rPr>
          <w:lang w:val="en"/>
        </w:rPr>
        <w:t xml:space="preserve"> Freedom of liability was not applicable since </w:t>
      </w:r>
      <w:r>
        <w:rPr>
          <w:lang w:val="en"/>
        </w:rPr>
        <w:t xml:space="preserve">TPB </w:t>
      </w:r>
      <w:r w:rsidR="00425CC4">
        <w:rPr>
          <w:lang w:val="en"/>
        </w:rPr>
        <w:t xml:space="preserve">was not considered a caching, host or intermediary </w:t>
      </w:r>
      <w:r w:rsidR="003D37DE">
        <w:rPr>
          <w:lang w:val="en"/>
        </w:rPr>
        <w:t>service</w:t>
      </w:r>
      <w:r w:rsidR="00425CC4">
        <w:rPr>
          <w:lang w:val="en"/>
        </w:rPr>
        <w:t xml:space="preserve"> but rather a database. </w:t>
      </w:r>
      <w:r w:rsidR="00425CC4" w:rsidRPr="00212602">
        <w:rPr>
          <w:lang w:val="en"/>
        </w:rPr>
        <w:t>The court also highlighted that the freedom of liability refers to the content of stored information,</w:t>
      </w:r>
      <w:r w:rsidR="00425CC4">
        <w:rPr>
          <w:lang w:val="en"/>
        </w:rPr>
        <w:t xml:space="preserve"> the damage claim in this case instead regarded</w:t>
      </w:r>
      <w:r w:rsidR="00425CC4" w:rsidRPr="00F14869">
        <w:rPr>
          <w:lang w:val="en"/>
        </w:rPr>
        <w:t xml:space="preserve"> the features provided </w:t>
      </w:r>
      <w:r w:rsidR="00425CC4">
        <w:rPr>
          <w:lang w:val="en"/>
        </w:rPr>
        <w:t xml:space="preserve">that had </w:t>
      </w:r>
      <w:r w:rsidR="00425CC4" w:rsidRPr="00F14869">
        <w:rPr>
          <w:lang w:val="en"/>
        </w:rPr>
        <w:t>promoted users' copyright practices</w:t>
      </w:r>
      <w:r w:rsidR="00425CC4">
        <w:rPr>
          <w:lang w:val="en"/>
        </w:rPr>
        <w:t>.</w:t>
      </w:r>
      <w:r w:rsidR="00425CC4">
        <w:rPr>
          <w:rStyle w:val="Fotnotsreferens"/>
          <w:lang w:val="en"/>
        </w:rPr>
        <w:footnoteReference w:id="12"/>
      </w:r>
      <w:r w:rsidR="00425CC4">
        <w:rPr>
          <w:lang w:val="en"/>
        </w:rPr>
        <w:t xml:space="preserve"> </w:t>
      </w:r>
    </w:p>
    <w:p w14:paraId="4372FC2B" w14:textId="5BC4E8C7" w:rsidR="003D37DE" w:rsidRDefault="003D37DE" w:rsidP="00425CC4">
      <w:pPr>
        <w:jc w:val="both"/>
        <w:rPr>
          <w:lang w:val="en"/>
        </w:rPr>
      </w:pPr>
      <w:r>
        <w:rPr>
          <w:lang w:val="en"/>
        </w:rPr>
        <w:t xml:space="preserve">In the case against </w:t>
      </w:r>
      <w:r w:rsidR="00C2666F">
        <w:rPr>
          <w:lang w:val="en"/>
        </w:rPr>
        <w:t>TPB</w:t>
      </w:r>
      <w:r>
        <w:rPr>
          <w:lang w:val="en"/>
        </w:rPr>
        <w:t xml:space="preserve">, </w:t>
      </w:r>
      <w:r w:rsidR="00A56A41">
        <w:rPr>
          <w:lang w:val="en"/>
        </w:rPr>
        <w:t>the Court of Appeal set up requirements for when an intermediary</w:t>
      </w:r>
      <w:r w:rsidR="00E9681C">
        <w:rPr>
          <w:lang w:val="en"/>
        </w:rPr>
        <w:t xml:space="preserve"> </w:t>
      </w:r>
      <w:r w:rsidR="00A56A41">
        <w:rPr>
          <w:lang w:val="en"/>
        </w:rPr>
        <w:t xml:space="preserve">platform could be convicted for aiding and abetting crime. </w:t>
      </w:r>
      <w:r w:rsidR="007A3E6D">
        <w:rPr>
          <w:lang w:val="en"/>
        </w:rPr>
        <w:t xml:space="preserve">According to Swedish general legal criminal principles, liability is based on lack of culpa/negligence and so called ‘social adequacy’. The general principle of social adequacy is used in Swedish criminal law and an unwritten ground for excluding criminal liability. </w:t>
      </w:r>
      <w:r w:rsidR="00982337">
        <w:rPr>
          <w:lang w:val="en"/>
        </w:rPr>
        <w:t xml:space="preserve">The </w:t>
      </w:r>
      <w:r w:rsidR="00383BFF">
        <w:rPr>
          <w:lang w:val="en"/>
        </w:rPr>
        <w:t>C</w:t>
      </w:r>
      <w:r w:rsidR="00982337">
        <w:rPr>
          <w:lang w:val="en"/>
        </w:rPr>
        <w:t xml:space="preserve">ourt of </w:t>
      </w:r>
      <w:r w:rsidR="00383BFF">
        <w:rPr>
          <w:lang w:val="en"/>
        </w:rPr>
        <w:t>A</w:t>
      </w:r>
      <w:r w:rsidR="00982337">
        <w:rPr>
          <w:lang w:val="en"/>
        </w:rPr>
        <w:t xml:space="preserve">ppeal stated that if a service is considered a generally beneficial for the public society, the legitimate use is of the service is dominant and precautionary measures have been taken to limit illegitimate use – the service may be assessed as legitimate </w:t>
      </w:r>
      <w:r w:rsidR="009768B0">
        <w:rPr>
          <w:lang w:val="en"/>
        </w:rPr>
        <w:t>regarding</w:t>
      </w:r>
      <w:r w:rsidR="00982337">
        <w:rPr>
          <w:lang w:val="en"/>
        </w:rPr>
        <w:t xml:space="preserve"> the principle of social adequacy. </w:t>
      </w:r>
      <w:r w:rsidR="00CF571A">
        <w:rPr>
          <w:lang w:val="en"/>
        </w:rPr>
        <w:t>Regarding</w:t>
      </w:r>
      <w:r w:rsidR="00F377A2">
        <w:rPr>
          <w:lang w:val="en"/>
        </w:rPr>
        <w:t xml:space="preserve"> the Pirate Bay, copyrighted material that had been uploaded </w:t>
      </w:r>
      <w:r w:rsidR="00F377A2">
        <w:rPr>
          <w:lang w:val="en"/>
        </w:rPr>
        <w:lastRenderedPageBreak/>
        <w:t xml:space="preserve">without the right </w:t>
      </w:r>
      <w:r w:rsidR="00A0455B">
        <w:rPr>
          <w:lang w:val="en"/>
        </w:rPr>
        <w:t>holder’s</w:t>
      </w:r>
      <w:r w:rsidR="00F377A2">
        <w:rPr>
          <w:lang w:val="en"/>
        </w:rPr>
        <w:t xml:space="preserve"> consent was dominant and the Pirate Bay had not taken any measures to mitigate the risk/user</w:t>
      </w:r>
      <w:r w:rsidR="00B86BD9">
        <w:rPr>
          <w:lang w:val="en"/>
        </w:rPr>
        <w:t>s’</w:t>
      </w:r>
      <w:r w:rsidR="00F377A2">
        <w:rPr>
          <w:lang w:val="en"/>
        </w:rPr>
        <w:t xml:space="preserve"> possibility to upload copyrighted material and copyrighted material was not removed when the platform providers were given notice of the infringement. Considering this, the </w:t>
      </w:r>
      <w:r w:rsidR="00383BFF">
        <w:rPr>
          <w:lang w:val="en"/>
        </w:rPr>
        <w:t>C</w:t>
      </w:r>
      <w:r w:rsidR="00F377A2">
        <w:rPr>
          <w:lang w:val="en"/>
        </w:rPr>
        <w:t xml:space="preserve">ourt of </w:t>
      </w:r>
      <w:r w:rsidR="00383BFF">
        <w:rPr>
          <w:lang w:val="en"/>
        </w:rPr>
        <w:t>A</w:t>
      </w:r>
      <w:r w:rsidR="00F377A2">
        <w:rPr>
          <w:lang w:val="en"/>
        </w:rPr>
        <w:t>ppeal could not apply the unwritten rule of exemption for social adequacy and lack of neglect in this case.</w:t>
      </w:r>
      <w:r w:rsidR="00CD1D9F">
        <w:rPr>
          <w:rStyle w:val="Fotnotsreferens"/>
          <w:lang w:val="en"/>
        </w:rPr>
        <w:footnoteReference w:id="13"/>
      </w:r>
      <w:r w:rsidR="00F377A2">
        <w:rPr>
          <w:lang w:val="en"/>
        </w:rPr>
        <w:t xml:space="preserve"> </w:t>
      </w:r>
    </w:p>
    <w:p w14:paraId="2D40D0DE" w14:textId="408459DE" w:rsidR="00543C7E" w:rsidRDefault="007B02B9" w:rsidP="00D80081">
      <w:pPr>
        <w:jc w:val="both"/>
        <w:rPr>
          <w:i/>
          <w:iCs/>
          <w:szCs w:val="20"/>
          <w:lang w:val="en-US"/>
        </w:rPr>
      </w:pPr>
      <w:r>
        <w:rPr>
          <w:i/>
          <w:iCs/>
          <w:szCs w:val="20"/>
          <w:lang w:val="en-US"/>
        </w:rPr>
        <w:t xml:space="preserve">2.3.3 </w:t>
      </w:r>
      <w:r w:rsidRPr="007B02B9">
        <w:rPr>
          <w:i/>
          <w:iCs/>
          <w:szCs w:val="20"/>
          <w:lang w:val="en-US"/>
        </w:rPr>
        <w:t>Th</w:t>
      </w:r>
      <w:r>
        <w:rPr>
          <w:i/>
          <w:iCs/>
          <w:szCs w:val="20"/>
          <w:lang w:val="en-US"/>
        </w:rPr>
        <w:t xml:space="preserve">e </w:t>
      </w:r>
      <w:r w:rsidRPr="007B02B9">
        <w:rPr>
          <w:i/>
          <w:iCs/>
          <w:szCs w:val="20"/>
          <w:lang w:val="en-US"/>
        </w:rPr>
        <w:t>Copy</w:t>
      </w:r>
      <w:r w:rsidR="00E30C45">
        <w:rPr>
          <w:i/>
          <w:iCs/>
          <w:szCs w:val="20"/>
          <w:lang w:val="en-US"/>
        </w:rPr>
        <w:t>r</w:t>
      </w:r>
      <w:r w:rsidRPr="007B02B9">
        <w:rPr>
          <w:i/>
          <w:iCs/>
          <w:szCs w:val="20"/>
          <w:lang w:val="en-US"/>
        </w:rPr>
        <w:t xml:space="preserve">ight </w:t>
      </w:r>
      <w:r w:rsidR="00D23BD5">
        <w:rPr>
          <w:i/>
          <w:iCs/>
          <w:szCs w:val="20"/>
          <w:lang w:val="en-US"/>
        </w:rPr>
        <w:t>A</w:t>
      </w:r>
      <w:r w:rsidRPr="007B02B9">
        <w:rPr>
          <w:i/>
          <w:iCs/>
          <w:szCs w:val="20"/>
          <w:lang w:val="en-US"/>
        </w:rPr>
        <w:t xml:space="preserve">ct </w:t>
      </w:r>
    </w:p>
    <w:p w14:paraId="7ECC1F1B" w14:textId="73191720" w:rsidR="007B02B9" w:rsidRPr="007D35A2" w:rsidRDefault="007B02B9" w:rsidP="007B02B9">
      <w:pPr>
        <w:jc w:val="both"/>
        <w:rPr>
          <w:lang w:val="en-US"/>
        </w:rPr>
      </w:pPr>
      <w:r w:rsidRPr="002643D9">
        <w:rPr>
          <w:lang w:val="en-US"/>
        </w:rPr>
        <w:t>As a result of the</w:t>
      </w:r>
      <w:r w:rsidRPr="002643D9">
        <w:rPr>
          <w:i/>
          <w:iCs/>
          <w:lang w:val="en-US"/>
        </w:rPr>
        <w:t xml:space="preserve"> </w:t>
      </w:r>
      <w:r w:rsidRPr="002643D9">
        <w:rPr>
          <w:lang w:val="en-US"/>
        </w:rPr>
        <w:t>EU Directive 2019/790 on amendments on copyright and related rights in the Digital Single Market and amending Directives 96/9/EC and 2001/29/EC</w:t>
      </w:r>
      <w:r w:rsidR="00C2666F">
        <w:rPr>
          <w:lang w:val="en-US"/>
        </w:rPr>
        <w:t xml:space="preserve"> (‘DSM’</w:t>
      </w:r>
      <w:r w:rsidR="001F302F">
        <w:rPr>
          <w:lang w:val="en-US"/>
        </w:rPr>
        <w:t xml:space="preserve"> </w:t>
      </w:r>
      <w:r w:rsidR="00C2666F">
        <w:rPr>
          <w:lang w:val="en-US"/>
        </w:rPr>
        <w:t>directive)</w:t>
      </w:r>
      <w:r w:rsidRPr="002643D9">
        <w:rPr>
          <w:lang w:val="en-US"/>
        </w:rPr>
        <w:t xml:space="preserve">, amendments were made to the Copyright Act regarding online platforms liability for copyright infringement. Chapter 6 b) was implemented regarding certain online platforms responsibility for distribution of contents. The new rules apply to </w:t>
      </w:r>
      <w:r w:rsidR="00DD1F38">
        <w:rPr>
          <w:lang w:val="en-US"/>
        </w:rPr>
        <w:t xml:space="preserve">mainly </w:t>
      </w:r>
      <w:r w:rsidRPr="001F3EE6">
        <w:rPr>
          <w:lang w:val="en-US"/>
        </w:rPr>
        <w:t>online content sharing service providers.</w:t>
      </w:r>
      <w:r w:rsidRPr="007D35A2">
        <w:rPr>
          <w:lang w:val="en-US"/>
        </w:rPr>
        <w:t xml:space="preserve"> ‘</w:t>
      </w:r>
      <w:r>
        <w:rPr>
          <w:lang w:val="en-US"/>
        </w:rPr>
        <w:t>O</w:t>
      </w:r>
      <w:r w:rsidRPr="007D35A2">
        <w:rPr>
          <w:lang w:val="en-US"/>
        </w:rPr>
        <w:t xml:space="preserve">nline content-sharing service provider’ means a provider of an information society service of which the main or one of the main purposes is to store and give the public access to a large amount of copyright-protected works or other protected subject matter uploaded by its users, which it </w:t>
      </w:r>
      <w:proofErr w:type="spellStart"/>
      <w:r w:rsidRPr="007D35A2">
        <w:rPr>
          <w:lang w:val="en-US"/>
        </w:rPr>
        <w:t>organises</w:t>
      </w:r>
      <w:proofErr w:type="spellEnd"/>
      <w:r w:rsidRPr="007D35A2">
        <w:rPr>
          <w:lang w:val="en-US"/>
        </w:rPr>
        <w:t xml:space="preserve"> and promotes for profit-making purposes.</w:t>
      </w:r>
      <w:r>
        <w:rPr>
          <w:rStyle w:val="Fotnotsreferens"/>
          <w:lang w:val="en-US"/>
        </w:rPr>
        <w:footnoteReference w:id="14"/>
      </w:r>
    </w:p>
    <w:p w14:paraId="0583B2CF" w14:textId="793E2DEE" w:rsidR="00AE73E6" w:rsidRDefault="007B02B9" w:rsidP="00AE73E6">
      <w:pPr>
        <w:jc w:val="both"/>
        <w:rPr>
          <w:lang w:val="en-US"/>
        </w:rPr>
      </w:pPr>
      <w:r>
        <w:rPr>
          <w:lang w:val="en-US"/>
        </w:rPr>
        <w:t>Chapter 6 b) section 52 j § states that w</w:t>
      </w:r>
      <w:r w:rsidRPr="002643D9">
        <w:rPr>
          <w:lang w:val="en-US"/>
        </w:rPr>
        <w:t>ork that is made public to society by users uploading the work to the service providers service, shall be deemed as the service provider making it available to the public</w:t>
      </w:r>
      <w:r>
        <w:rPr>
          <w:lang w:val="en-US"/>
        </w:rPr>
        <w:t xml:space="preserve"> in accordance with section 2 of the Copy Right Act</w:t>
      </w:r>
      <w:r w:rsidRPr="002643D9">
        <w:rPr>
          <w:lang w:val="en-US"/>
        </w:rPr>
        <w:t xml:space="preserve">. This means that the service provider can be directly responsible for the contents itself. </w:t>
      </w:r>
      <w:r w:rsidR="00863E49">
        <w:rPr>
          <w:lang w:val="en-US"/>
        </w:rPr>
        <w:t>It is stated in the act that t</w:t>
      </w:r>
      <w:r w:rsidRPr="002643D9">
        <w:rPr>
          <w:lang w:val="en-US"/>
        </w:rPr>
        <w:t xml:space="preserve">he rules on freedom of liability </w:t>
      </w:r>
      <w:r w:rsidR="00863E49">
        <w:rPr>
          <w:lang w:val="en-US"/>
        </w:rPr>
        <w:t xml:space="preserve">stated in the law of e-commers (now article </w:t>
      </w:r>
      <w:r w:rsidR="00863E49" w:rsidRPr="00863E49">
        <w:rPr>
          <w:lang w:val="en-US"/>
        </w:rPr>
        <w:t xml:space="preserve">4, 5, 6 and 8 </w:t>
      </w:r>
      <w:r w:rsidR="00863E49">
        <w:rPr>
          <w:lang w:val="en-US"/>
        </w:rPr>
        <w:t xml:space="preserve">of the </w:t>
      </w:r>
      <w:r w:rsidR="00863E49" w:rsidRPr="00863E49">
        <w:rPr>
          <w:lang w:val="en-US"/>
        </w:rPr>
        <w:t>DSA</w:t>
      </w:r>
      <w:r w:rsidR="00863E49">
        <w:rPr>
          <w:lang w:val="en-US"/>
        </w:rPr>
        <w:t xml:space="preserve">) </w:t>
      </w:r>
      <w:r w:rsidRPr="002643D9">
        <w:rPr>
          <w:lang w:val="en-US"/>
        </w:rPr>
        <w:t>shall not be applicable in the mentioned situations.</w:t>
      </w:r>
      <w:r w:rsidR="00AE73E6">
        <w:rPr>
          <w:lang w:val="en-US"/>
        </w:rPr>
        <w:t xml:space="preserve"> Instead, freedom of liability under certain circumstances is regulated in chapter </w:t>
      </w:r>
      <w:r w:rsidR="00AE73E6" w:rsidRPr="00AE73E6">
        <w:rPr>
          <w:lang w:val="en-US"/>
        </w:rPr>
        <w:t>6 b</w:t>
      </w:r>
      <w:r w:rsidR="00AE73E6">
        <w:rPr>
          <w:lang w:val="en-US"/>
        </w:rPr>
        <w:t xml:space="preserve"> §</w:t>
      </w:r>
      <w:r w:rsidR="00AE73E6" w:rsidRPr="00AE73E6">
        <w:rPr>
          <w:lang w:val="en-US"/>
        </w:rPr>
        <w:t xml:space="preserve"> 52 </w:t>
      </w:r>
      <w:r w:rsidR="00AE73E6">
        <w:rPr>
          <w:lang w:val="en-US"/>
        </w:rPr>
        <w:t>l). Online content sharing providers can be exempted from liability</w:t>
      </w:r>
      <w:r w:rsidR="00DE1A31">
        <w:rPr>
          <w:lang w:val="en-US"/>
        </w:rPr>
        <w:t xml:space="preserve"> if it</w:t>
      </w:r>
      <w:r w:rsidR="00AE73E6">
        <w:rPr>
          <w:lang w:val="en-US"/>
        </w:rPr>
        <w:t xml:space="preserve">, after being informed by the right holders, urgently prevents access to the content. Freedom of liability also requires that </w:t>
      </w:r>
      <w:r w:rsidR="00AE73E6" w:rsidRPr="00AE73E6">
        <w:rPr>
          <w:lang w:val="en-US"/>
        </w:rPr>
        <w:t>the provider has taken reasonable steps to</w:t>
      </w:r>
      <w:r w:rsidR="00AE73E6">
        <w:rPr>
          <w:lang w:val="en-US"/>
        </w:rPr>
        <w:t xml:space="preserve"> </w:t>
      </w:r>
      <w:r w:rsidR="00AE73E6" w:rsidRPr="00AE73E6">
        <w:rPr>
          <w:lang w:val="en-US"/>
        </w:rPr>
        <w:t xml:space="preserve">obtain permission for the transmissions to the public that the provider makes on the </w:t>
      </w:r>
      <w:r w:rsidR="00C31A65" w:rsidRPr="00AE73E6">
        <w:rPr>
          <w:lang w:val="en-US"/>
        </w:rPr>
        <w:t>service and</w:t>
      </w:r>
      <w:r w:rsidR="00AE73E6">
        <w:rPr>
          <w:lang w:val="en-US"/>
        </w:rPr>
        <w:t xml:space="preserve"> </w:t>
      </w:r>
      <w:r w:rsidR="00AE73E6" w:rsidRPr="00AE73E6">
        <w:rPr>
          <w:lang w:val="en-US"/>
        </w:rPr>
        <w:t>ensure that content that infringes the copyright of works</w:t>
      </w:r>
      <w:r w:rsidR="00AE73E6">
        <w:rPr>
          <w:lang w:val="en-US"/>
        </w:rPr>
        <w:t xml:space="preserve">, </w:t>
      </w:r>
      <w:r w:rsidR="00AE73E6" w:rsidRPr="00AE73E6">
        <w:rPr>
          <w:lang w:val="en-US"/>
        </w:rPr>
        <w:t>for which the rights holders have provided the provider with relevant and necessary information</w:t>
      </w:r>
      <w:r w:rsidR="00AE73E6">
        <w:rPr>
          <w:lang w:val="en-US"/>
        </w:rPr>
        <w:t xml:space="preserve">, </w:t>
      </w:r>
      <w:r w:rsidR="00AE73E6" w:rsidRPr="00AE73E6">
        <w:rPr>
          <w:lang w:val="en-US"/>
        </w:rPr>
        <w:t>is not made available on the service</w:t>
      </w:r>
      <w:r w:rsidR="00AE73E6">
        <w:rPr>
          <w:lang w:val="en-US"/>
        </w:rPr>
        <w:t xml:space="preserve">. </w:t>
      </w:r>
    </w:p>
    <w:p w14:paraId="5818B557" w14:textId="61750695" w:rsidR="007B02B9" w:rsidRPr="00AE73E6" w:rsidRDefault="00AE73E6" w:rsidP="00D80081">
      <w:pPr>
        <w:jc w:val="both"/>
        <w:rPr>
          <w:lang w:val="en-US"/>
        </w:rPr>
      </w:pPr>
      <w:r w:rsidRPr="00AE73E6">
        <w:rPr>
          <w:lang w:val="en-US"/>
        </w:rPr>
        <w:t>When assessing whether the provider has done what can reasonably be required, particular consideration shall be given to</w:t>
      </w:r>
      <w:r>
        <w:rPr>
          <w:lang w:val="en-US"/>
        </w:rPr>
        <w:t xml:space="preserve">; </w:t>
      </w:r>
      <w:r w:rsidRPr="00AE73E6">
        <w:rPr>
          <w:lang w:val="en-US"/>
        </w:rPr>
        <w:t>the type of service the provider provides</w:t>
      </w:r>
      <w:r>
        <w:rPr>
          <w:lang w:val="en-US"/>
        </w:rPr>
        <w:t xml:space="preserve">, </w:t>
      </w:r>
      <w:r w:rsidRPr="00AE73E6">
        <w:rPr>
          <w:lang w:val="en-US"/>
        </w:rPr>
        <w:t>the audience and scope of the service,</w:t>
      </w:r>
      <w:r>
        <w:rPr>
          <w:lang w:val="en-US"/>
        </w:rPr>
        <w:t xml:space="preserve"> </w:t>
      </w:r>
      <w:r w:rsidRPr="00AE73E6">
        <w:rPr>
          <w:lang w:val="en-US"/>
        </w:rPr>
        <w:t>the type of works that users of the service upload there, and</w:t>
      </w:r>
      <w:r>
        <w:rPr>
          <w:lang w:val="en-US"/>
        </w:rPr>
        <w:t xml:space="preserve"> </w:t>
      </w:r>
      <w:r w:rsidRPr="00AE73E6">
        <w:rPr>
          <w:lang w:val="en-US"/>
        </w:rPr>
        <w:t xml:space="preserve">what appropriate and effective means of taking measures </w:t>
      </w:r>
      <w:r>
        <w:rPr>
          <w:lang w:val="en-US"/>
        </w:rPr>
        <w:t xml:space="preserve">the </w:t>
      </w:r>
      <w:r w:rsidRPr="00AE73E6">
        <w:rPr>
          <w:lang w:val="en-US"/>
        </w:rPr>
        <w:t>available on the market and the cost to the provider of them</w:t>
      </w:r>
      <w:r>
        <w:rPr>
          <w:lang w:val="en-US"/>
        </w:rPr>
        <w:t xml:space="preserve"> to prevent the dissemination of contents. </w:t>
      </w:r>
      <w:r w:rsidR="00D23BD5">
        <w:rPr>
          <w:lang w:val="en-US"/>
        </w:rPr>
        <w:t>In the preparatory works to the implementation of the</w:t>
      </w:r>
      <w:r w:rsidR="00C2666F">
        <w:rPr>
          <w:lang w:val="en-US"/>
        </w:rPr>
        <w:t xml:space="preserve"> DSM directive</w:t>
      </w:r>
      <w:r w:rsidR="00D23BD5">
        <w:rPr>
          <w:lang w:val="en-US"/>
        </w:rPr>
        <w:t xml:space="preserve"> in the Copy</w:t>
      </w:r>
      <w:r w:rsidR="00356019">
        <w:rPr>
          <w:lang w:val="en-US"/>
        </w:rPr>
        <w:t>r</w:t>
      </w:r>
      <w:r w:rsidR="00D23BD5">
        <w:rPr>
          <w:lang w:val="en-US"/>
        </w:rPr>
        <w:t xml:space="preserve">ight Act it was discussed which type of technical measures the online platforms would need to take </w:t>
      </w:r>
      <w:r w:rsidR="00863E49">
        <w:rPr>
          <w:lang w:val="en-US"/>
        </w:rPr>
        <w:t>to</w:t>
      </w:r>
      <w:r w:rsidR="00D23BD5">
        <w:rPr>
          <w:lang w:val="en-US"/>
        </w:rPr>
        <w:t xml:space="preserve"> prevent copyright infringement. Filter systems was raised as a cri</w:t>
      </w:r>
      <w:r w:rsidR="00056B73">
        <w:rPr>
          <w:lang w:val="en-US"/>
        </w:rPr>
        <w:t>ticised</w:t>
      </w:r>
      <w:r w:rsidR="00D23BD5">
        <w:rPr>
          <w:lang w:val="en-US"/>
        </w:rPr>
        <w:t xml:space="preserve"> and problematic technical tool for this purpose as it most likely will lead to over-removal</w:t>
      </w:r>
      <w:r w:rsidR="00DE1A31">
        <w:rPr>
          <w:rStyle w:val="Fotnotsreferens"/>
          <w:lang w:val="en-US"/>
        </w:rPr>
        <w:footnoteReference w:id="15"/>
      </w:r>
      <w:r w:rsidR="00D23BD5">
        <w:rPr>
          <w:lang w:val="en-US"/>
        </w:rPr>
        <w:t xml:space="preserve"> and </w:t>
      </w:r>
      <w:proofErr w:type="spellStart"/>
      <w:r w:rsidR="00726E08">
        <w:rPr>
          <w:lang w:val="en-US"/>
        </w:rPr>
        <w:t>je</w:t>
      </w:r>
      <w:r w:rsidR="00056B73">
        <w:rPr>
          <w:lang w:val="en-US"/>
        </w:rPr>
        <w:t>op</w:t>
      </w:r>
      <w:r w:rsidR="00726E08">
        <w:rPr>
          <w:lang w:val="en-US"/>
        </w:rPr>
        <w:t>ardising</w:t>
      </w:r>
      <w:proofErr w:type="spellEnd"/>
      <w:r w:rsidR="00D23BD5">
        <w:rPr>
          <w:lang w:val="en-US"/>
        </w:rPr>
        <w:t xml:space="preserve"> freedom of expression. There is </w:t>
      </w:r>
      <w:r>
        <w:rPr>
          <w:lang w:val="en-US"/>
        </w:rPr>
        <w:t xml:space="preserve">however </w:t>
      </w:r>
      <w:r w:rsidR="00D23BD5">
        <w:rPr>
          <w:lang w:val="en-US"/>
        </w:rPr>
        <w:t xml:space="preserve">no explicit provision stating that the online platform shall refrain from using algorithmic content monitoring and removing. </w:t>
      </w:r>
    </w:p>
    <w:p w14:paraId="65AB157A" w14:textId="46DF245A" w:rsidR="00A0455B" w:rsidRDefault="007A3389" w:rsidP="007B4D75">
      <w:pPr>
        <w:pStyle w:val="Rubrik1"/>
        <w:rPr>
          <w:lang w:val="en-US"/>
        </w:rPr>
      </w:pPr>
      <w:r>
        <w:rPr>
          <w:lang w:val="en-US"/>
        </w:rPr>
        <w:t>3</w:t>
      </w:r>
      <w:r w:rsidR="00822AD9" w:rsidRPr="00DC6B1B">
        <w:rPr>
          <w:lang w:val="en-US"/>
        </w:rPr>
        <w:t xml:space="preserve">. </w:t>
      </w:r>
      <w:r w:rsidR="007B02B9">
        <w:rPr>
          <w:lang w:val="en-US"/>
        </w:rPr>
        <w:t xml:space="preserve">Criminal and Civil liability </w:t>
      </w:r>
      <w:r w:rsidR="007B4D75">
        <w:rPr>
          <w:lang w:val="en-US"/>
        </w:rPr>
        <w:t xml:space="preserve">for Online Platforms </w:t>
      </w:r>
    </w:p>
    <w:p w14:paraId="64015FB6" w14:textId="1F5A7D1F" w:rsidR="004F7BAF" w:rsidRDefault="002F6DDA" w:rsidP="00917D2E">
      <w:pPr>
        <w:jc w:val="both"/>
        <w:rPr>
          <w:lang w:val="en"/>
        </w:rPr>
      </w:pPr>
      <w:r>
        <w:rPr>
          <w:lang w:val="en"/>
        </w:rPr>
        <w:t>The act of c</w:t>
      </w:r>
      <w:r w:rsidR="00790F5D">
        <w:rPr>
          <w:lang w:val="en"/>
        </w:rPr>
        <w:t xml:space="preserve">opyright infringement </w:t>
      </w:r>
      <w:r>
        <w:rPr>
          <w:lang w:val="en"/>
        </w:rPr>
        <w:t xml:space="preserve">is </w:t>
      </w:r>
      <w:r w:rsidR="00790F5D">
        <w:rPr>
          <w:lang w:val="en"/>
        </w:rPr>
        <w:t>sanctioned with criminal liability</w:t>
      </w:r>
      <w:r w:rsidR="00056B73">
        <w:rPr>
          <w:lang w:val="en"/>
        </w:rPr>
        <w:t xml:space="preserve"> in the Copy</w:t>
      </w:r>
      <w:r w:rsidR="00BB0AE6">
        <w:rPr>
          <w:lang w:val="en"/>
        </w:rPr>
        <w:t>r</w:t>
      </w:r>
      <w:r w:rsidR="00056B73">
        <w:rPr>
          <w:lang w:val="en"/>
        </w:rPr>
        <w:t>ight Act</w:t>
      </w:r>
      <w:r w:rsidR="00790F5D">
        <w:rPr>
          <w:lang w:val="en"/>
        </w:rPr>
        <w:t xml:space="preserve">. </w:t>
      </w:r>
      <w:r w:rsidR="004F7BAF">
        <w:rPr>
          <w:lang w:val="en"/>
        </w:rPr>
        <w:t xml:space="preserve">According to </w:t>
      </w:r>
      <w:r w:rsidR="00BB0AE6">
        <w:rPr>
          <w:lang w:val="en"/>
        </w:rPr>
        <w:t xml:space="preserve">section </w:t>
      </w:r>
      <w:r w:rsidR="004F7BAF">
        <w:rPr>
          <w:lang w:val="en"/>
        </w:rPr>
        <w:t xml:space="preserve">53 §, </w:t>
      </w:r>
      <w:r w:rsidR="00BA3292">
        <w:rPr>
          <w:lang w:val="en"/>
        </w:rPr>
        <w:t>a</w:t>
      </w:r>
      <w:r w:rsidR="004F7BAF" w:rsidRPr="004F7BAF">
        <w:rPr>
          <w:lang w:val="en"/>
        </w:rPr>
        <w:t xml:space="preserve">nyone who, in relation to a literary or artistic work, takes an action which constitutes an infringement of the copyright attached to the work pursuant to Chapters 1 and 2 </w:t>
      </w:r>
      <w:r w:rsidR="00964E5D">
        <w:rPr>
          <w:lang w:val="en"/>
        </w:rPr>
        <w:t xml:space="preserve">of the act </w:t>
      </w:r>
      <w:r w:rsidR="004F7BAF" w:rsidRPr="004F7BAF">
        <w:rPr>
          <w:lang w:val="en"/>
        </w:rPr>
        <w:t>shall be convicted, if done intentionally or through gross negligence, of copyright infringement.</w:t>
      </w:r>
    </w:p>
    <w:p w14:paraId="15338A13" w14:textId="26CB7ACE" w:rsidR="003347B3" w:rsidRDefault="003347B3" w:rsidP="00917D2E">
      <w:pPr>
        <w:jc w:val="both"/>
        <w:rPr>
          <w:lang w:val="en"/>
        </w:rPr>
      </w:pPr>
      <w:r>
        <w:rPr>
          <w:lang w:val="en-US"/>
        </w:rPr>
        <w:t xml:space="preserve">Section 5 of the BBS </w:t>
      </w:r>
      <w:r w:rsidR="00D810BE">
        <w:rPr>
          <w:lang w:val="en-US"/>
        </w:rPr>
        <w:t>Act</w:t>
      </w:r>
      <w:r>
        <w:rPr>
          <w:lang w:val="en-US"/>
        </w:rPr>
        <w:t xml:space="preserve"> stipulates that the platform provider shall prevent further spread of messages if it </w:t>
      </w:r>
      <w:r w:rsidRPr="003347B3">
        <w:rPr>
          <w:lang w:val="en-US"/>
        </w:rPr>
        <w:t>is obvious that the user has infringed copyright or a right protected by regulation in Chapter 5 of the Copyright Act by submitting the message.</w:t>
      </w:r>
      <w:r>
        <w:rPr>
          <w:lang w:val="en-US"/>
        </w:rPr>
        <w:t xml:space="preserve"> </w:t>
      </w:r>
      <w:r w:rsidRPr="00DC24D2">
        <w:rPr>
          <w:lang w:val="en-US"/>
        </w:rPr>
        <w:t xml:space="preserve">A violation of section 5 </w:t>
      </w:r>
      <w:r>
        <w:rPr>
          <w:lang w:val="en-US"/>
        </w:rPr>
        <w:t>of the BBS</w:t>
      </w:r>
      <w:r w:rsidR="00D810BE">
        <w:rPr>
          <w:lang w:val="en-US"/>
        </w:rPr>
        <w:t xml:space="preserve"> Act</w:t>
      </w:r>
      <w:r>
        <w:rPr>
          <w:lang w:val="en-US"/>
        </w:rPr>
        <w:t xml:space="preserve"> </w:t>
      </w:r>
      <w:r w:rsidRPr="00DC24D2">
        <w:rPr>
          <w:lang w:val="en-US"/>
        </w:rPr>
        <w:t>is combined with criminal liability. According to section 7</w:t>
      </w:r>
      <w:r>
        <w:rPr>
          <w:lang w:val="en-US"/>
        </w:rPr>
        <w:t>,</w:t>
      </w:r>
      <w:r w:rsidRPr="00DC24D2">
        <w:rPr>
          <w:lang w:val="en-US"/>
        </w:rPr>
        <w:t xml:space="preserve"> if section 5 is violated due to neglect or willful misconduct, the platform provider </w:t>
      </w:r>
      <w:r w:rsidRPr="00DC24D2">
        <w:rPr>
          <w:lang w:val="en"/>
        </w:rPr>
        <w:t>shall be sentenced to a fine or imprisonment for a maximum of six months or, if the crime is serious, to imprisonment for a maximum of two years. In minor cases, no liability shall be imposed.</w:t>
      </w:r>
      <w:r>
        <w:rPr>
          <w:lang w:val="en"/>
        </w:rPr>
        <w:t xml:space="preserve"> </w:t>
      </w:r>
    </w:p>
    <w:p w14:paraId="04A94CF2" w14:textId="60382037" w:rsidR="00AE6A64" w:rsidRPr="00AE6A64" w:rsidRDefault="00AE6A64" w:rsidP="00917D2E">
      <w:pPr>
        <w:jc w:val="both"/>
        <w:rPr>
          <w:lang w:val="en"/>
        </w:rPr>
      </w:pPr>
      <w:r>
        <w:rPr>
          <w:lang w:val="en"/>
        </w:rPr>
        <w:t>Accessorial liability is regulated in chapter 23 § 4 of the Swedish Penal Code</w:t>
      </w:r>
      <w:r w:rsidR="00056B73">
        <w:rPr>
          <w:lang w:val="en"/>
        </w:rPr>
        <w:t>. This section stipulates that</w:t>
      </w:r>
      <w:r>
        <w:rPr>
          <w:lang w:val="en"/>
        </w:rPr>
        <w:t xml:space="preserve"> </w:t>
      </w:r>
      <w:r w:rsidR="00056B73">
        <w:rPr>
          <w:lang w:val="en"/>
        </w:rPr>
        <w:t>l</w:t>
      </w:r>
      <w:r w:rsidRPr="00584C86">
        <w:rPr>
          <w:lang w:val="en"/>
        </w:rPr>
        <w:t xml:space="preserve">iability prescribed in this </w:t>
      </w:r>
      <w:r w:rsidR="00056B73">
        <w:rPr>
          <w:lang w:val="en"/>
        </w:rPr>
        <w:t>c</w:t>
      </w:r>
      <w:r w:rsidRPr="00584C86">
        <w:rPr>
          <w:lang w:val="en"/>
        </w:rPr>
        <w:t xml:space="preserve">ode for a certain act shall be imposed not only on the person who committed the act but also on another person who promoted it by advice or deed. The same shall apply to an act punishable by another law or </w:t>
      </w:r>
      <w:r w:rsidRPr="00584C86">
        <w:rPr>
          <w:lang w:val="en"/>
        </w:rPr>
        <w:lastRenderedPageBreak/>
        <w:t>statute for which imprisonment is prescribed.</w:t>
      </w:r>
      <w:r>
        <w:rPr>
          <w:lang w:val="en"/>
        </w:rPr>
        <w:t xml:space="preserve"> </w:t>
      </w:r>
      <w:r w:rsidRPr="00584C86">
        <w:rPr>
          <w:lang w:val="en"/>
        </w:rPr>
        <w:t xml:space="preserve">A person who is not to be regarded as the perpetrator shall be sentenced, if he has induced another to commit the crime, for </w:t>
      </w:r>
      <w:r w:rsidR="003347B3" w:rsidRPr="00584C86">
        <w:rPr>
          <w:lang w:val="en"/>
        </w:rPr>
        <w:t>urging</w:t>
      </w:r>
      <w:r w:rsidRPr="00584C86">
        <w:rPr>
          <w:lang w:val="en"/>
        </w:rPr>
        <w:t xml:space="preserve"> of the crime and otherwise for aiding and abetting it.</w:t>
      </w:r>
    </w:p>
    <w:p w14:paraId="354415BC" w14:textId="3C4BBE9B" w:rsidR="00AE6A64" w:rsidRDefault="00017E67" w:rsidP="00917D2E">
      <w:pPr>
        <w:jc w:val="both"/>
        <w:rPr>
          <w:lang w:val="en"/>
        </w:rPr>
      </w:pPr>
      <w:r>
        <w:rPr>
          <w:lang w:val="en"/>
        </w:rPr>
        <w:t xml:space="preserve">Bothe the violation of the Copy Right Act and the BBS </w:t>
      </w:r>
      <w:r w:rsidR="00D810BE">
        <w:rPr>
          <w:lang w:val="en"/>
        </w:rPr>
        <w:t>Act</w:t>
      </w:r>
      <w:r>
        <w:rPr>
          <w:lang w:val="en"/>
        </w:rPr>
        <w:t xml:space="preserve"> prescribe imprisonment for violations of the acts. This means that not only direct liability can be granted to these service providers behind the platform, but also accessorial liability according to the Penal Code. </w:t>
      </w:r>
    </w:p>
    <w:p w14:paraId="0BEFA25C" w14:textId="0B6C6141" w:rsidR="0016764B" w:rsidRDefault="00DF1BCA" w:rsidP="0016764B">
      <w:pPr>
        <w:jc w:val="both"/>
        <w:rPr>
          <w:lang w:val="en"/>
        </w:rPr>
      </w:pPr>
      <w:r>
        <w:rPr>
          <w:lang w:val="en-US"/>
        </w:rPr>
        <w:t xml:space="preserve">Besides criminal law, civil liability for copy right infringement is regulated in 53 § of the Copyright Act stating that </w:t>
      </w:r>
      <w:r>
        <w:rPr>
          <w:lang w:val="en"/>
        </w:rPr>
        <w:t>a</w:t>
      </w:r>
      <w:r w:rsidRPr="00DF1BCA">
        <w:rPr>
          <w:lang w:val="en"/>
        </w:rPr>
        <w:t>nyone who exploits a work in violation of this Act</w:t>
      </w:r>
      <w:r>
        <w:rPr>
          <w:lang w:val="en"/>
        </w:rPr>
        <w:t xml:space="preserve"> </w:t>
      </w:r>
      <w:r w:rsidRPr="00DF1BCA">
        <w:rPr>
          <w:lang w:val="en"/>
        </w:rPr>
        <w:t>shall pay reasonable compensation for the</w:t>
      </w:r>
      <w:r>
        <w:rPr>
          <w:lang w:val="en"/>
        </w:rPr>
        <w:t xml:space="preserve"> </w:t>
      </w:r>
      <w:r w:rsidRPr="00DF1BCA">
        <w:rPr>
          <w:lang w:val="en"/>
        </w:rPr>
        <w:t>exploitation to the author or his or her right holder</w:t>
      </w:r>
      <w:r w:rsidR="0016764B">
        <w:rPr>
          <w:lang w:val="en"/>
        </w:rPr>
        <w:t xml:space="preserve"> – which expresses a form of strict liability. Further compensation can be payable if the violation</w:t>
      </w:r>
      <w:r w:rsidR="0016764B" w:rsidRPr="0016764B">
        <w:rPr>
          <w:lang w:val="en"/>
        </w:rPr>
        <w:t xml:space="preserve"> is done intentionally or through negligence</w:t>
      </w:r>
      <w:r w:rsidR="0016764B">
        <w:rPr>
          <w:lang w:val="en"/>
        </w:rPr>
        <w:t xml:space="preserve">. </w:t>
      </w:r>
      <w:r w:rsidR="0016764B" w:rsidRPr="0016764B">
        <w:rPr>
          <w:lang w:val="en"/>
        </w:rPr>
        <w:t>When determining the amount of compensation, special consideration shall be given to</w:t>
      </w:r>
      <w:r w:rsidR="0016764B">
        <w:rPr>
          <w:lang w:val="en"/>
        </w:rPr>
        <w:t xml:space="preserve"> </w:t>
      </w:r>
      <w:r w:rsidR="0016764B" w:rsidRPr="0016764B">
        <w:rPr>
          <w:lang w:val="en"/>
        </w:rPr>
        <w:t>loss of profit,</w:t>
      </w:r>
      <w:r w:rsidR="0016764B">
        <w:rPr>
          <w:lang w:val="en"/>
        </w:rPr>
        <w:t xml:space="preserve"> </w:t>
      </w:r>
      <w:r w:rsidR="0016764B" w:rsidRPr="0016764B">
        <w:rPr>
          <w:lang w:val="en"/>
        </w:rPr>
        <w:t>profit made by the infringer or transgressor,</w:t>
      </w:r>
      <w:r w:rsidR="0016764B">
        <w:rPr>
          <w:lang w:val="en"/>
        </w:rPr>
        <w:t xml:space="preserve"> </w:t>
      </w:r>
      <w:r w:rsidR="0016764B" w:rsidRPr="0016764B">
        <w:rPr>
          <w:lang w:val="en"/>
        </w:rPr>
        <w:t>damage to the reputation of the work,</w:t>
      </w:r>
      <w:r w:rsidR="0016764B">
        <w:rPr>
          <w:lang w:val="en"/>
        </w:rPr>
        <w:t xml:space="preserve"> </w:t>
      </w:r>
      <w:r w:rsidR="0016764B" w:rsidRPr="0016764B">
        <w:rPr>
          <w:lang w:val="en"/>
        </w:rPr>
        <w:t>moral damage, and</w:t>
      </w:r>
      <w:r w:rsidR="0016764B">
        <w:rPr>
          <w:lang w:val="en"/>
        </w:rPr>
        <w:t xml:space="preserve"> </w:t>
      </w:r>
      <w:r w:rsidR="0016764B" w:rsidRPr="0016764B">
        <w:rPr>
          <w:lang w:val="en"/>
        </w:rPr>
        <w:t>the interest of the author or right</w:t>
      </w:r>
      <w:r w:rsidR="0016764B">
        <w:rPr>
          <w:lang w:val="en"/>
        </w:rPr>
        <w:t xml:space="preserve"> </w:t>
      </w:r>
      <w:r w:rsidR="0016764B" w:rsidRPr="0016764B">
        <w:rPr>
          <w:lang w:val="en"/>
        </w:rPr>
        <w:t>holder in preventing infringement.</w:t>
      </w:r>
    </w:p>
    <w:p w14:paraId="2A70AFAB" w14:textId="30865B13" w:rsidR="00EE5911" w:rsidRPr="00EE5911" w:rsidRDefault="00D51933" w:rsidP="00EE5911">
      <w:pPr>
        <w:jc w:val="both"/>
        <w:rPr>
          <w:lang w:val="en-US"/>
        </w:rPr>
      </w:pPr>
      <w:r w:rsidRPr="00D51933">
        <w:rPr>
          <w:lang w:val="en-US"/>
        </w:rPr>
        <w:t>The Court of Appeal concluded in the Pira</w:t>
      </w:r>
      <w:r>
        <w:rPr>
          <w:lang w:val="en-US"/>
        </w:rPr>
        <w:t>t</w:t>
      </w:r>
      <w:r w:rsidRPr="00D51933">
        <w:rPr>
          <w:lang w:val="en-US"/>
        </w:rPr>
        <w:t>e Bay case that</w:t>
      </w:r>
      <w:r>
        <w:rPr>
          <w:i/>
          <w:iCs/>
          <w:lang w:val="en-US"/>
        </w:rPr>
        <w:t xml:space="preserve"> </w:t>
      </w:r>
      <w:r>
        <w:rPr>
          <w:lang w:val="en"/>
        </w:rPr>
        <w:t>i</w:t>
      </w:r>
      <w:r w:rsidR="00EE5911" w:rsidRPr="00EE5911">
        <w:rPr>
          <w:lang w:val="en"/>
        </w:rPr>
        <w:t>n the case of TPB, those who provided the service for commercial purposes have contributed to the copyright disposals of others in a way that has meant that they have not only been guilty of accessory offences but have also exploited the works economically. In such circumstances, it cannot be of any significance for liability for compensation whether they are to be regarded as perpetrators or accessories from a criminal perspective. Since their participation in the offences has involved exploitation of the works, they have incurred liability for compensation</w:t>
      </w:r>
      <w:r w:rsidR="001123AE">
        <w:rPr>
          <w:lang w:val="en"/>
        </w:rPr>
        <w:t xml:space="preserve">. </w:t>
      </w:r>
    </w:p>
    <w:p w14:paraId="062F83AD" w14:textId="77777777" w:rsidR="00455B39" w:rsidRDefault="00A25562" w:rsidP="0016764B">
      <w:pPr>
        <w:jc w:val="both"/>
        <w:rPr>
          <w:lang w:val="en"/>
        </w:rPr>
      </w:pPr>
      <w:r>
        <w:rPr>
          <w:lang w:val="en"/>
        </w:rPr>
        <w:t>Besides compensation the court</w:t>
      </w:r>
      <w:r w:rsidR="00BB0AE6">
        <w:rPr>
          <w:lang w:val="en"/>
        </w:rPr>
        <w:t>s</w:t>
      </w:r>
      <w:r>
        <w:rPr>
          <w:lang w:val="en"/>
        </w:rPr>
        <w:t xml:space="preserve"> may also issue prohibition from continuing the violating act. </w:t>
      </w:r>
      <w:r w:rsidR="00537942" w:rsidRPr="00537942">
        <w:rPr>
          <w:lang w:val="en"/>
        </w:rPr>
        <w:t>At the request of the author or his or her right holder or of the person who has the right to exploit the work due to a license, the court may, subject to a fine, prohibit a person who undertakes or participates in an action that constitutes an infringement or violation as referred to in section 53 from continuing with the action.</w:t>
      </w:r>
      <w:r w:rsidR="003777F5">
        <w:rPr>
          <w:lang w:val="en"/>
        </w:rPr>
        <w:t xml:space="preserve"> </w:t>
      </w:r>
    </w:p>
    <w:p w14:paraId="2E3EA7B5" w14:textId="5B45E38F" w:rsidR="00EE5911" w:rsidRPr="0016764B" w:rsidRDefault="003777F5" w:rsidP="0016764B">
      <w:pPr>
        <w:jc w:val="both"/>
        <w:rPr>
          <w:lang w:val="en-US"/>
        </w:rPr>
      </w:pPr>
      <w:r>
        <w:rPr>
          <w:lang w:val="en"/>
        </w:rPr>
        <w:t>Prohibition was for example issued against an intermediary service Black Internet AB</w:t>
      </w:r>
      <w:r>
        <w:rPr>
          <w:rStyle w:val="Fotnotsreferens"/>
          <w:lang w:val="en"/>
        </w:rPr>
        <w:footnoteReference w:id="16"/>
      </w:r>
      <w:r>
        <w:rPr>
          <w:lang w:val="en"/>
        </w:rPr>
        <w:t xml:space="preserve">, Black Internet has </w:t>
      </w:r>
      <w:r w:rsidRPr="003777F5">
        <w:rPr>
          <w:lang w:val="en"/>
        </w:rPr>
        <w:t xml:space="preserve">provided </w:t>
      </w:r>
      <w:r>
        <w:rPr>
          <w:lang w:val="en"/>
        </w:rPr>
        <w:t>i</w:t>
      </w:r>
      <w:r w:rsidRPr="003777F5">
        <w:rPr>
          <w:lang w:val="en"/>
        </w:rPr>
        <w:t>nternet access to the file-sharing service The Pirate Bay.</w:t>
      </w:r>
      <w:r w:rsidRPr="003777F5">
        <w:rPr>
          <w:lang w:val="en-US"/>
        </w:rPr>
        <w:t xml:space="preserve"> </w:t>
      </w:r>
      <w:r>
        <w:rPr>
          <w:lang w:val="en"/>
        </w:rPr>
        <w:t>T</w:t>
      </w:r>
      <w:r w:rsidRPr="003777F5">
        <w:rPr>
          <w:lang w:val="en"/>
        </w:rPr>
        <w:t>he Court of Appeal assess</w:t>
      </w:r>
      <w:r>
        <w:rPr>
          <w:lang w:val="en"/>
        </w:rPr>
        <w:t>ed</w:t>
      </w:r>
      <w:r w:rsidRPr="003777F5">
        <w:rPr>
          <w:lang w:val="en"/>
        </w:rPr>
        <w:t xml:space="preserve"> that the plaintiff companies' interest in stopping the infringement outweighs the disadvantages that a ban on fines entails for the</w:t>
      </w:r>
      <w:r w:rsidR="007403BE">
        <w:rPr>
          <w:lang w:val="en"/>
        </w:rPr>
        <w:t xml:space="preserve"> intermediary service</w:t>
      </w:r>
      <w:r w:rsidRPr="003777F5">
        <w:rPr>
          <w:lang w:val="en"/>
        </w:rPr>
        <w:t>, and that the fact that a ban may result in certain legal material not being able to be distributed via The Pirate Bay should not mean that a ban should be considered disproportionate.</w:t>
      </w:r>
      <w:r w:rsidRPr="003777F5">
        <w:rPr>
          <w:lang w:val="en-US"/>
        </w:rPr>
        <w:t xml:space="preserve"> </w:t>
      </w:r>
      <w:r w:rsidRPr="003777F5">
        <w:rPr>
          <w:lang w:val="en"/>
        </w:rPr>
        <w:t xml:space="preserve">The Court of Appeal </w:t>
      </w:r>
      <w:r w:rsidR="007403BE">
        <w:rPr>
          <w:lang w:val="en"/>
        </w:rPr>
        <w:t xml:space="preserve">did </w:t>
      </w:r>
      <w:r w:rsidRPr="003777F5">
        <w:rPr>
          <w:lang w:val="en"/>
        </w:rPr>
        <w:t>not find that the bans c</w:t>
      </w:r>
      <w:r w:rsidR="007403BE">
        <w:rPr>
          <w:lang w:val="en"/>
        </w:rPr>
        <w:t>ould</w:t>
      </w:r>
      <w:r w:rsidRPr="003777F5">
        <w:rPr>
          <w:lang w:val="en"/>
        </w:rPr>
        <w:t xml:space="preserve"> be considered to restrict freedom of expression or other fundamental rights in a way that would conflict with the Instrument of Government, the European Convention or other provisions.</w:t>
      </w:r>
      <w:r w:rsidR="008874B3">
        <w:rPr>
          <w:rStyle w:val="Fotnotsreferens"/>
          <w:lang w:val="en"/>
        </w:rPr>
        <w:footnoteReference w:id="17"/>
      </w:r>
    </w:p>
    <w:p w14:paraId="57AA95C7" w14:textId="77777777" w:rsidR="00DB16E3" w:rsidRPr="006F21AB" w:rsidRDefault="00DB16E3" w:rsidP="00DB16E3">
      <w:pPr>
        <w:rPr>
          <w:lang w:val="en"/>
        </w:rPr>
      </w:pPr>
    </w:p>
    <w:p w14:paraId="472A13D8" w14:textId="193B50D5" w:rsidR="00831C59" w:rsidRDefault="00260BCC" w:rsidP="007B02B9">
      <w:pPr>
        <w:jc w:val="both"/>
        <w:rPr>
          <w:rFonts w:cs="Times New Roman"/>
          <w:b/>
          <w:lang w:val="en-US"/>
        </w:rPr>
      </w:pPr>
      <w:r>
        <w:rPr>
          <w:rFonts w:cs="Times New Roman"/>
          <w:b/>
          <w:lang w:val="en-US"/>
        </w:rPr>
        <w:t>4</w:t>
      </w:r>
      <w:r w:rsidR="00DC6B1B" w:rsidRPr="00DC6B1B">
        <w:rPr>
          <w:rFonts w:cs="Times New Roman"/>
          <w:b/>
          <w:lang w:val="en-US"/>
        </w:rPr>
        <w:t xml:space="preserve">. </w:t>
      </w:r>
      <w:r w:rsidR="00DC6B1B">
        <w:rPr>
          <w:rFonts w:cs="Times New Roman"/>
          <w:b/>
          <w:lang w:val="en-US"/>
        </w:rPr>
        <w:t xml:space="preserve">Mechanisms in </w:t>
      </w:r>
      <w:r w:rsidR="00B065F5">
        <w:rPr>
          <w:rFonts w:cs="Times New Roman"/>
          <w:b/>
          <w:lang w:val="en-US"/>
        </w:rPr>
        <w:t>C</w:t>
      </w:r>
      <w:r w:rsidR="00DC6B1B">
        <w:rPr>
          <w:rFonts w:cs="Times New Roman"/>
          <w:b/>
          <w:lang w:val="en-US"/>
        </w:rPr>
        <w:t xml:space="preserve">ases of </w:t>
      </w:r>
      <w:r w:rsidR="00B065F5">
        <w:rPr>
          <w:rFonts w:cs="Times New Roman"/>
          <w:b/>
          <w:lang w:val="en-US"/>
        </w:rPr>
        <w:t>I</w:t>
      </w:r>
      <w:r w:rsidR="00DC6B1B">
        <w:rPr>
          <w:rFonts w:cs="Times New Roman"/>
          <w:b/>
          <w:lang w:val="en-US"/>
        </w:rPr>
        <w:t xml:space="preserve">nfringement </w:t>
      </w:r>
    </w:p>
    <w:p w14:paraId="275423F7" w14:textId="66F3434E" w:rsidR="007B02B9" w:rsidRPr="007B02B9" w:rsidRDefault="00260BCC" w:rsidP="007B02B9">
      <w:pPr>
        <w:jc w:val="both"/>
        <w:rPr>
          <w:rFonts w:cs="Times New Roman"/>
          <w:bCs/>
          <w:i/>
          <w:iCs/>
          <w:lang w:val="en-US"/>
        </w:rPr>
      </w:pPr>
      <w:r>
        <w:rPr>
          <w:rFonts w:cs="Times New Roman"/>
          <w:bCs/>
          <w:i/>
          <w:iCs/>
          <w:lang w:val="en-US"/>
        </w:rPr>
        <w:t>4</w:t>
      </w:r>
      <w:r w:rsidR="007B02B9" w:rsidRPr="007B02B9">
        <w:rPr>
          <w:rFonts w:cs="Times New Roman"/>
          <w:bCs/>
          <w:i/>
          <w:iCs/>
          <w:lang w:val="en-US"/>
        </w:rPr>
        <w:t xml:space="preserve">.1 Trusted flaggers </w:t>
      </w:r>
    </w:p>
    <w:p w14:paraId="3448253A" w14:textId="77777777" w:rsidR="00E97122" w:rsidRDefault="0025762A" w:rsidP="00E97122">
      <w:pPr>
        <w:rPr>
          <w:lang w:val="en-US"/>
        </w:rPr>
      </w:pPr>
      <w:r>
        <w:rPr>
          <w:lang w:val="en-US"/>
        </w:rPr>
        <w:t xml:space="preserve">As the DSA is directly applicable in Sweden, article 16 of the DSA applies which states that hosting services, including online platforms, shall provide mechanisms that allows individuals or entities to notify the platform providers of illegal content. </w:t>
      </w:r>
    </w:p>
    <w:p w14:paraId="4EC90127" w14:textId="77777777" w:rsidR="0025762A" w:rsidRDefault="0025762A" w:rsidP="00E97122">
      <w:pPr>
        <w:rPr>
          <w:lang w:val="en-US"/>
        </w:rPr>
      </w:pPr>
      <w:r>
        <w:rPr>
          <w:lang w:val="en-US"/>
        </w:rPr>
        <w:t>T</w:t>
      </w:r>
      <w:r w:rsidRPr="0025762A">
        <w:rPr>
          <w:lang w:val="en-US"/>
        </w:rPr>
        <w:t xml:space="preserve">he providers of hosting services shall take the necessary measures to enable and to facilitate the submission of notices containing all of the following elements: </w:t>
      </w:r>
    </w:p>
    <w:p w14:paraId="103E2244" w14:textId="77777777" w:rsidR="0025762A" w:rsidRDefault="0025762A" w:rsidP="0025762A">
      <w:pPr>
        <w:pStyle w:val="Liststycke"/>
        <w:numPr>
          <w:ilvl w:val="0"/>
          <w:numId w:val="5"/>
        </w:numPr>
        <w:rPr>
          <w:lang w:val="en-US"/>
        </w:rPr>
      </w:pPr>
      <w:r w:rsidRPr="0025762A">
        <w:rPr>
          <w:lang w:val="en-US"/>
        </w:rPr>
        <w:t xml:space="preserve">a sufficiently substantiated explanation of the reasons why the individual or entity alleges the information in question to be illegal content; </w:t>
      </w:r>
    </w:p>
    <w:p w14:paraId="3AB5502A" w14:textId="77777777" w:rsidR="0025762A" w:rsidRDefault="0025762A" w:rsidP="0025762A">
      <w:pPr>
        <w:pStyle w:val="Liststycke"/>
        <w:numPr>
          <w:ilvl w:val="0"/>
          <w:numId w:val="5"/>
        </w:numPr>
        <w:rPr>
          <w:lang w:val="en-US"/>
        </w:rPr>
      </w:pPr>
      <w:r w:rsidRPr="0025762A">
        <w:rPr>
          <w:lang w:val="en-US"/>
        </w:rPr>
        <w:t xml:space="preserve">a clear indication of the exact electronic location of that information, such as the exact URL or URLs, and, where necessary, additional information enabling the identification of the illegal content adapted to the type of content and to the specific type of hosting service; </w:t>
      </w:r>
    </w:p>
    <w:p w14:paraId="58D11D58" w14:textId="77777777" w:rsidR="0025762A" w:rsidRDefault="0025762A" w:rsidP="0025762A">
      <w:pPr>
        <w:pStyle w:val="Liststycke"/>
        <w:numPr>
          <w:ilvl w:val="0"/>
          <w:numId w:val="5"/>
        </w:numPr>
        <w:rPr>
          <w:lang w:val="en-US"/>
        </w:rPr>
      </w:pPr>
      <w:r w:rsidRPr="0025762A">
        <w:rPr>
          <w:lang w:val="en-US"/>
        </w:rPr>
        <w:lastRenderedPageBreak/>
        <w:t xml:space="preserve">the name and email address of the individual or entity submitting the notice, except in the case of information considered to involve one of the offences referred to in Articles 3 to 7 of Directive 2011/93/EU; </w:t>
      </w:r>
    </w:p>
    <w:p w14:paraId="695F9ABF" w14:textId="77777777" w:rsidR="0025762A" w:rsidRDefault="0025762A" w:rsidP="0025762A">
      <w:pPr>
        <w:pStyle w:val="Liststycke"/>
        <w:numPr>
          <w:ilvl w:val="0"/>
          <w:numId w:val="5"/>
        </w:numPr>
        <w:rPr>
          <w:lang w:val="en-US"/>
        </w:rPr>
      </w:pPr>
      <w:r w:rsidRPr="0025762A">
        <w:rPr>
          <w:lang w:val="en-US"/>
        </w:rPr>
        <w:t>a statement confirming the bona fide belief of the individual or entity submitting the notice that the information and allegations contained therein are accurate and complete.</w:t>
      </w:r>
    </w:p>
    <w:p w14:paraId="21F30723" w14:textId="27B5E4BD" w:rsidR="00322D6E" w:rsidRDefault="00322D6E" w:rsidP="00C675BC">
      <w:pPr>
        <w:rPr>
          <w:lang w:val="en-US"/>
        </w:rPr>
      </w:pPr>
      <w:r>
        <w:rPr>
          <w:lang w:val="en-US"/>
        </w:rPr>
        <w:t>Article 22.2</w:t>
      </w:r>
      <w:r w:rsidR="00AA3745">
        <w:rPr>
          <w:lang w:val="en-US"/>
        </w:rPr>
        <w:t xml:space="preserve"> of the DSA</w:t>
      </w:r>
      <w:r>
        <w:rPr>
          <w:lang w:val="en-US"/>
        </w:rPr>
        <w:t xml:space="preserve"> states that online platform providers shall ensure that notices submitted by so called </w:t>
      </w:r>
      <w:r w:rsidR="00AA3745">
        <w:rPr>
          <w:lang w:val="en-US"/>
        </w:rPr>
        <w:t>‘</w:t>
      </w:r>
      <w:r>
        <w:rPr>
          <w:lang w:val="en-US"/>
        </w:rPr>
        <w:t>trusted flaggers</w:t>
      </w:r>
      <w:r w:rsidR="00AA3745">
        <w:rPr>
          <w:lang w:val="en-US"/>
        </w:rPr>
        <w:t xml:space="preserve">’ </w:t>
      </w:r>
      <w:r>
        <w:rPr>
          <w:lang w:val="en-US"/>
        </w:rPr>
        <w:t xml:space="preserve">shall be given priority. </w:t>
      </w:r>
    </w:p>
    <w:p w14:paraId="03659FD0" w14:textId="4C7C29BD" w:rsidR="00322D6E" w:rsidRPr="00C06419" w:rsidRDefault="00AA3745" w:rsidP="00322D6E">
      <w:pPr>
        <w:ind w:left="1304"/>
        <w:rPr>
          <w:lang w:val="en-US"/>
        </w:rPr>
      </w:pPr>
      <w:r>
        <w:rPr>
          <w:lang w:val="en-US"/>
        </w:rPr>
        <w:t>‘</w:t>
      </w:r>
      <w:r w:rsidR="00322D6E" w:rsidRPr="00C06419">
        <w:rPr>
          <w:lang w:val="en-US"/>
        </w:rPr>
        <w:t xml:space="preserve">Providers of online platforms shall take the necessary technical and </w:t>
      </w:r>
      <w:proofErr w:type="spellStart"/>
      <w:r w:rsidR="00322D6E" w:rsidRPr="00C06419">
        <w:rPr>
          <w:lang w:val="en-US"/>
        </w:rPr>
        <w:t>organisational</w:t>
      </w:r>
      <w:proofErr w:type="spellEnd"/>
      <w:r w:rsidR="00322D6E" w:rsidRPr="00C06419">
        <w:rPr>
          <w:lang w:val="en-US"/>
        </w:rPr>
        <w:t xml:space="preserve"> measures to ensure that notices submitted by trusted flaggers, acting within their designated area of expertise, through the mechanisms referred to in Article 16, are given priority and are processed and decided upon without undue delay.</w:t>
      </w:r>
      <w:r>
        <w:rPr>
          <w:lang w:val="en-US"/>
        </w:rPr>
        <w:t>’</w:t>
      </w:r>
    </w:p>
    <w:p w14:paraId="6CB096B9" w14:textId="65EADB53" w:rsidR="00322D6E" w:rsidRDefault="00322D6E" w:rsidP="00182BBB">
      <w:pPr>
        <w:jc w:val="both"/>
        <w:rPr>
          <w:lang w:val="en-US"/>
        </w:rPr>
      </w:pPr>
      <w:r>
        <w:rPr>
          <w:lang w:val="en-US"/>
        </w:rPr>
        <w:t xml:space="preserve">Trusted flaggers are </w:t>
      </w:r>
      <w:r w:rsidR="00182BBB">
        <w:rPr>
          <w:lang w:val="en-US"/>
        </w:rPr>
        <w:t xml:space="preserve">entities acting in their area of expertise for the purpose of taking down illegal content. These actors shall report illegal content to the online platform providers notice and action mechanisms. As stated above, notices from trusted flaggers shall be </w:t>
      </w:r>
      <w:proofErr w:type="spellStart"/>
      <w:r w:rsidR="00182BBB">
        <w:rPr>
          <w:lang w:val="en-US"/>
        </w:rPr>
        <w:t>prioriti</w:t>
      </w:r>
      <w:r w:rsidR="00AA3745">
        <w:rPr>
          <w:lang w:val="en-US"/>
        </w:rPr>
        <w:t>s</w:t>
      </w:r>
      <w:r w:rsidR="00182BBB">
        <w:rPr>
          <w:lang w:val="en-US"/>
        </w:rPr>
        <w:t>ed</w:t>
      </w:r>
      <w:proofErr w:type="spellEnd"/>
      <w:r w:rsidR="00182BBB">
        <w:rPr>
          <w:lang w:val="en-US"/>
        </w:rPr>
        <w:t>. The mechanism of trusted flaggers together with the online platform’s notice and take down mechanisms aims to ensure quick and reliable take down.</w:t>
      </w:r>
      <w:r w:rsidR="00182BBB">
        <w:rPr>
          <w:rStyle w:val="Fotnotsreferens"/>
          <w:lang w:val="en-US"/>
        </w:rPr>
        <w:footnoteReference w:id="18"/>
      </w:r>
      <w:r w:rsidR="00182BBB">
        <w:rPr>
          <w:lang w:val="en-US"/>
        </w:rPr>
        <w:t xml:space="preserve"> </w:t>
      </w:r>
    </w:p>
    <w:p w14:paraId="4D931ED5" w14:textId="1C3B752F" w:rsidR="00D03453" w:rsidRDefault="00D03453" w:rsidP="00182BBB">
      <w:pPr>
        <w:jc w:val="both"/>
        <w:rPr>
          <w:lang w:val="en-US"/>
        </w:rPr>
      </w:pPr>
      <w:r>
        <w:rPr>
          <w:lang w:val="en-US"/>
        </w:rPr>
        <w:t>Not any entity</w:t>
      </w:r>
      <w:r w:rsidR="00AA3745">
        <w:rPr>
          <w:lang w:val="en-US"/>
        </w:rPr>
        <w:t xml:space="preserve"> or </w:t>
      </w:r>
      <w:r w:rsidR="009B7129">
        <w:rPr>
          <w:lang w:val="en-US"/>
        </w:rPr>
        <w:t>organi</w:t>
      </w:r>
      <w:r w:rsidR="00AA3745">
        <w:rPr>
          <w:lang w:val="en-US"/>
        </w:rPr>
        <w:t>s</w:t>
      </w:r>
      <w:r w:rsidR="009B7129">
        <w:rPr>
          <w:lang w:val="en-US"/>
        </w:rPr>
        <w:t>ation</w:t>
      </w:r>
      <w:r>
        <w:rPr>
          <w:lang w:val="en-US"/>
        </w:rPr>
        <w:t xml:space="preserve"> can be appointed </w:t>
      </w:r>
      <w:r w:rsidR="00AA3745">
        <w:rPr>
          <w:lang w:val="en-US"/>
        </w:rPr>
        <w:t>t</w:t>
      </w:r>
      <w:r>
        <w:rPr>
          <w:lang w:val="en-US"/>
        </w:rPr>
        <w:t>rusted flagger. In article 22.2 three criteria are listed f</w:t>
      </w:r>
      <w:r w:rsidR="00AA3745">
        <w:rPr>
          <w:lang w:val="en-US"/>
        </w:rPr>
        <w:t>or appointing</w:t>
      </w:r>
      <w:r w:rsidR="00DF7083">
        <w:rPr>
          <w:lang w:val="en-US"/>
        </w:rPr>
        <w:t xml:space="preserve"> </w:t>
      </w:r>
      <w:r>
        <w:rPr>
          <w:lang w:val="en-US"/>
        </w:rPr>
        <w:t xml:space="preserve">trusted flaggers. </w:t>
      </w:r>
      <w:r w:rsidRPr="00D03453">
        <w:rPr>
          <w:lang w:val="en-US"/>
        </w:rPr>
        <w:t xml:space="preserve">The status of ‘trusted flagger’ shall be awarded, upon application by any entity, by the Digital Services Coordinator of the Member State in which the applicant is established, to an applicant that has demonstrated that it meets all of the following conditions: </w:t>
      </w:r>
    </w:p>
    <w:p w14:paraId="2012B350" w14:textId="77777777" w:rsidR="00D03453" w:rsidRDefault="00D03453" w:rsidP="00D03453">
      <w:pPr>
        <w:pStyle w:val="Liststycke"/>
        <w:numPr>
          <w:ilvl w:val="0"/>
          <w:numId w:val="4"/>
        </w:numPr>
        <w:jc w:val="both"/>
        <w:rPr>
          <w:lang w:val="en-US"/>
        </w:rPr>
      </w:pPr>
      <w:r w:rsidRPr="00D03453">
        <w:rPr>
          <w:lang w:val="en-US"/>
        </w:rPr>
        <w:t xml:space="preserve">it has particular expertise and competence for the purposes of detecting, identifying and notifying illegal content; </w:t>
      </w:r>
    </w:p>
    <w:p w14:paraId="0875C70D" w14:textId="77777777" w:rsidR="00D03453" w:rsidRDefault="00D03453" w:rsidP="00D03453">
      <w:pPr>
        <w:pStyle w:val="Liststycke"/>
        <w:numPr>
          <w:ilvl w:val="0"/>
          <w:numId w:val="4"/>
        </w:numPr>
        <w:jc w:val="both"/>
        <w:rPr>
          <w:lang w:val="en-US"/>
        </w:rPr>
      </w:pPr>
      <w:r w:rsidRPr="00D03453">
        <w:rPr>
          <w:lang w:val="en-US"/>
        </w:rPr>
        <w:t xml:space="preserve">it is independent from any provider of online platforms; </w:t>
      </w:r>
    </w:p>
    <w:p w14:paraId="29620009" w14:textId="77777777" w:rsidR="00D03453" w:rsidRPr="00D03453" w:rsidRDefault="00D03453" w:rsidP="00D03453">
      <w:pPr>
        <w:pStyle w:val="Liststycke"/>
        <w:numPr>
          <w:ilvl w:val="0"/>
          <w:numId w:val="4"/>
        </w:numPr>
        <w:jc w:val="both"/>
        <w:rPr>
          <w:lang w:val="en-US"/>
        </w:rPr>
      </w:pPr>
      <w:r w:rsidRPr="00D03453">
        <w:rPr>
          <w:lang w:val="en-US"/>
        </w:rPr>
        <w:t>it carries out its activities for the purposes of submitting notices diligently, accurately and objectively</w:t>
      </w:r>
    </w:p>
    <w:p w14:paraId="2FA82998" w14:textId="34ACB9AF" w:rsidR="0028319A" w:rsidRDefault="0028319A" w:rsidP="00E13185">
      <w:pPr>
        <w:jc w:val="both"/>
        <w:rPr>
          <w:lang w:val="en-US"/>
        </w:rPr>
      </w:pPr>
      <w:bookmarkStart w:id="4" w:name="_Hlk202342836"/>
      <w:r w:rsidRPr="0028319A">
        <w:rPr>
          <w:lang w:val="en-US"/>
        </w:rPr>
        <w:t>The Swedish Post and Telecom Authority (PTS)</w:t>
      </w:r>
      <w:r w:rsidR="00DC28E0">
        <w:rPr>
          <w:lang w:val="en-US"/>
        </w:rPr>
        <w:t xml:space="preserve"> </w:t>
      </w:r>
      <w:bookmarkEnd w:id="4"/>
      <w:r w:rsidR="00DC28E0">
        <w:rPr>
          <w:lang w:val="en-US"/>
        </w:rPr>
        <w:t xml:space="preserve">is appointed as the </w:t>
      </w:r>
      <w:r w:rsidR="00107387">
        <w:rPr>
          <w:lang w:val="en-US"/>
        </w:rPr>
        <w:t xml:space="preserve">Digital Services Coordinator that shall appoint </w:t>
      </w:r>
      <w:r w:rsidR="00DC28E0">
        <w:rPr>
          <w:lang w:val="en-US"/>
        </w:rPr>
        <w:t>and approve trusted flaggers</w:t>
      </w:r>
      <w:r w:rsidR="0079651A">
        <w:rPr>
          <w:lang w:val="en-US"/>
        </w:rPr>
        <w:t xml:space="preserve"> in accordance with article 22.2 DSA</w:t>
      </w:r>
      <w:r w:rsidR="00DC28E0">
        <w:rPr>
          <w:lang w:val="en-US"/>
        </w:rPr>
        <w:t xml:space="preserve">. To this day, ECPAT </w:t>
      </w:r>
      <w:r w:rsidR="00322D6E">
        <w:rPr>
          <w:lang w:val="en-US"/>
        </w:rPr>
        <w:t xml:space="preserve">Sweden </w:t>
      </w:r>
      <w:r w:rsidR="00DC28E0">
        <w:rPr>
          <w:lang w:val="en-US"/>
        </w:rPr>
        <w:t xml:space="preserve">and </w:t>
      </w:r>
      <w:r w:rsidR="0079651A">
        <w:rPr>
          <w:lang w:val="en-US"/>
        </w:rPr>
        <w:t xml:space="preserve">the Swedish Theft Preventions Association (SSF) </w:t>
      </w:r>
      <w:r w:rsidR="00DC28E0">
        <w:rPr>
          <w:lang w:val="en-US"/>
        </w:rPr>
        <w:t xml:space="preserve">have been approved as trusted flaggers in accordance with the </w:t>
      </w:r>
      <w:r w:rsidR="002703BF">
        <w:rPr>
          <w:lang w:val="en-US"/>
        </w:rPr>
        <w:t xml:space="preserve">above </w:t>
      </w:r>
      <w:r w:rsidR="00DC28E0">
        <w:rPr>
          <w:lang w:val="en-US"/>
        </w:rPr>
        <w:t>c</w:t>
      </w:r>
      <w:r w:rsidR="008847AF">
        <w:rPr>
          <w:lang w:val="en-US"/>
        </w:rPr>
        <w:t>onditions that are stated in article 22.2 DSA</w:t>
      </w:r>
      <w:r w:rsidR="00322D6E">
        <w:rPr>
          <w:lang w:val="en-US"/>
        </w:rPr>
        <w:t xml:space="preserve">. </w:t>
      </w:r>
    </w:p>
    <w:p w14:paraId="61507B44" w14:textId="17C96D9C" w:rsidR="000C5A8E" w:rsidRDefault="00990E8C" w:rsidP="000C5A8E">
      <w:pPr>
        <w:jc w:val="both"/>
        <w:rPr>
          <w:lang w:val="en-US"/>
        </w:rPr>
      </w:pPr>
      <w:r>
        <w:rPr>
          <w:lang w:val="en-US"/>
        </w:rPr>
        <w:t>The Rights Alliance (</w:t>
      </w:r>
      <w:r>
        <w:rPr>
          <w:i/>
          <w:iCs/>
          <w:lang w:val="en-US"/>
        </w:rPr>
        <w:t>S</w:t>
      </w:r>
      <w:r w:rsidRPr="0079651A">
        <w:rPr>
          <w:i/>
          <w:iCs/>
          <w:lang w:val="en-US"/>
        </w:rPr>
        <w:t>we</w:t>
      </w:r>
      <w:r>
        <w:rPr>
          <w:lang w:val="en-US"/>
        </w:rPr>
        <w:t xml:space="preserve">. </w:t>
      </w:r>
      <w:proofErr w:type="spellStart"/>
      <w:r w:rsidRPr="0079651A">
        <w:rPr>
          <w:lang w:val="en-US"/>
        </w:rPr>
        <w:t>Rättighetsalliansen</w:t>
      </w:r>
      <w:proofErr w:type="spellEnd"/>
      <w:r w:rsidRPr="0079651A">
        <w:rPr>
          <w:lang w:val="en-US"/>
        </w:rPr>
        <w:t xml:space="preserve"> Europa AB)</w:t>
      </w:r>
      <w:r w:rsidR="0079651A" w:rsidRPr="0079651A">
        <w:rPr>
          <w:lang w:val="en-US"/>
        </w:rPr>
        <w:t xml:space="preserve"> filed an application </w:t>
      </w:r>
      <w:r w:rsidR="0079651A">
        <w:rPr>
          <w:lang w:val="en-US"/>
        </w:rPr>
        <w:t xml:space="preserve">in 2024 to become a trusted flagger in accordance with article 22 DSA for </w:t>
      </w:r>
      <w:r w:rsidR="00B31D06" w:rsidRPr="00B31D06">
        <w:rPr>
          <w:lang w:val="en-US"/>
        </w:rPr>
        <w:t>particular expertise</w:t>
      </w:r>
      <w:r w:rsidR="00B31D06">
        <w:rPr>
          <w:lang w:val="en-US"/>
        </w:rPr>
        <w:t xml:space="preserve"> within the area of copyright infringement. Th</w:t>
      </w:r>
      <w:r w:rsidR="002703BF">
        <w:rPr>
          <w:lang w:val="en-US"/>
        </w:rPr>
        <w:t>e</w:t>
      </w:r>
      <w:r w:rsidR="00B31D06">
        <w:rPr>
          <w:lang w:val="en-US"/>
        </w:rPr>
        <w:t xml:space="preserve"> Rights Alliance is a limited company that has been operating since 2011. The company consults and represents right holders in different</w:t>
      </w:r>
      <w:r w:rsidR="001A0B7B">
        <w:rPr>
          <w:lang w:val="en-US"/>
        </w:rPr>
        <w:t xml:space="preserve"> industries</w:t>
      </w:r>
      <w:r w:rsidR="00B31D06">
        <w:rPr>
          <w:lang w:val="en-US"/>
        </w:rPr>
        <w:t xml:space="preserve">, especially Swedish and American film companies. The company is experienced </w:t>
      </w:r>
      <w:r w:rsidR="00B31D06" w:rsidRPr="001A0B7B">
        <w:rPr>
          <w:lang w:val="en-US"/>
        </w:rPr>
        <w:t xml:space="preserve">in take down </w:t>
      </w:r>
      <w:r w:rsidR="00B31D06">
        <w:rPr>
          <w:lang w:val="en-US"/>
        </w:rPr>
        <w:t>matters and thereby has experience in vis</w:t>
      </w:r>
      <w:r w:rsidR="00AA3745">
        <w:rPr>
          <w:lang w:val="en-US"/>
        </w:rPr>
        <w:t>it</w:t>
      </w:r>
      <w:r w:rsidR="00B31D06">
        <w:rPr>
          <w:lang w:val="en-US"/>
        </w:rPr>
        <w:t xml:space="preserve">ing platforms to </w:t>
      </w:r>
      <w:r w:rsidR="000C5A8E">
        <w:rPr>
          <w:lang w:val="en-US"/>
        </w:rPr>
        <w:t xml:space="preserve">report </w:t>
      </w:r>
      <w:r w:rsidR="00C06419">
        <w:rPr>
          <w:lang w:val="en-US"/>
        </w:rPr>
        <w:t>copyright</w:t>
      </w:r>
      <w:r w:rsidR="000C5A8E">
        <w:rPr>
          <w:lang w:val="en-US"/>
        </w:rPr>
        <w:t xml:space="preserve"> infringement. </w:t>
      </w:r>
    </w:p>
    <w:p w14:paraId="6795D1BE" w14:textId="2E5B3700" w:rsidR="00814837" w:rsidRDefault="00A30F12" w:rsidP="00A30F12">
      <w:pPr>
        <w:jc w:val="both"/>
        <w:rPr>
          <w:lang w:val="en-US"/>
        </w:rPr>
      </w:pPr>
      <w:bookmarkStart w:id="5" w:name="_Hlk200106431"/>
      <w:r w:rsidRPr="00A30F12">
        <w:rPr>
          <w:lang w:val="en-US"/>
        </w:rPr>
        <w:t>The Swedish Post and Telecom Authority</w:t>
      </w:r>
      <w:r>
        <w:rPr>
          <w:lang w:val="en-US"/>
        </w:rPr>
        <w:t xml:space="preserve"> </w:t>
      </w:r>
      <w:bookmarkEnd w:id="5"/>
      <w:r>
        <w:rPr>
          <w:lang w:val="en-US"/>
        </w:rPr>
        <w:t>tried the application against the three criteria in article 22.2 DSA. The authority concluded that criteria a</w:t>
      </w:r>
      <w:r w:rsidR="002703BF">
        <w:rPr>
          <w:lang w:val="en-US"/>
        </w:rPr>
        <w:t>)</w:t>
      </w:r>
      <w:r>
        <w:rPr>
          <w:lang w:val="en-US"/>
        </w:rPr>
        <w:t>, particular expertise and competence, was fulfilled and criteria b</w:t>
      </w:r>
      <w:r w:rsidR="002703BF">
        <w:rPr>
          <w:lang w:val="en-US"/>
        </w:rPr>
        <w:t>)</w:t>
      </w:r>
      <w:r>
        <w:rPr>
          <w:lang w:val="en-US"/>
        </w:rPr>
        <w:t xml:space="preserve">, independent from any provider of online platforms with regard to that the Rights alliance </w:t>
      </w:r>
      <w:r w:rsidR="002703BF">
        <w:rPr>
          <w:lang w:val="en-US"/>
        </w:rPr>
        <w:t>have</w:t>
      </w:r>
      <w:r>
        <w:rPr>
          <w:lang w:val="en-US"/>
        </w:rPr>
        <w:t xml:space="preserve"> proven that that have no economic, social or other kinds of connections to the online platform providers. However, </w:t>
      </w:r>
      <w:r w:rsidR="002D0556">
        <w:rPr>
          <w:lang w:val="en-US"/>
        </w:rPr>
        <w:t>the authority concluded that the company could not prove to be objective</w:t>
      </w:r>
      <w:r w:rsidR="002703BF">
        <w:rPr>
          <w:lang w:val="en-US"/>
        </w:rPr>
        <w:t xml:space="preserve"> and thereby did not fulfil</w:t>
      </w:r>
      <w:r w:rsidR="002D0556">
        <w:rPr>
          <w:lang w:val="en-US"/>
        </w:rPr>
        <w:t xml:space="preserve"> criteria c</w:t>
      </w:r>
      <w:r w:rsidR="002703BF">
        <w:rPr>
          <w:lang w:val="en-US"/>
        </w:rPr>
        <w:t>)</w:t>
      </w:r>
      <w:r w:rsidR="002D0556">
        <w:rPr>
          <w:lang w:val="en-US"/>
        </w:rPr>
        <w:t xml:space="preserve">. </w:t>
      </w:r>
    </w:p>
    <w:p w14:paraId="799C5164" w14:textId="7C59B6CA" w:rsidR="00F25527" w:rsidRDefault="0008143B" w:rsidP="00A30F12">
      <w:pPr>
        <w:jc w:val="both"/>
        <w:rPr>
          <w:lang w:val="en-US"/>
        </w:rPr>
      </w:pPr>
      <w:r>
        <w:rPr>
          <w:lang w:val="en-US"/>
        </w:rPr>
        <w:t>According to criteria c</w:t>
      </w:r>
      <w:r w:rsidR="002703BF">
        <w:rPr>
          <w:lang w:val="en-US"/>
        </w:rPr>
        <w:t>)</w:t>
      </w:r>
      <w:r>
        <w:rPr>
          <w:lang w:val="en-US"/>
        </w:rPr>
        <w:t xml:space="preserve">, the applicant </w:t>
      </w:r>
      <w:r w:rsidR="00D341C4">
        <w:rPr>
          <w:lang w:val="en-US"/>
        </w:rPr>
        <w:t>needs</w:t>
      </w:r>
      <w:r>
        <w:rPr>
          <w:lang w:val="en-US"/>
        </w:rPr>
        <w:t xml:space="preserve"> to prove that it carries out its activities for the purpose of submitting notices diligently, accurately and objectively.</w:t>
      </w:r>
      <w:r w:rsidR="00D341C4">
        <w:rPr>
          <w:lang w:val="en-US"/>
        </w:rPr>
        <w:t xml:space="preserve"> </w:t>
      </w:r>
      <w:r w:rsidR="00A374E7">
        <w:rPr>
          <w:lang w:val="en-US"/>
        </w:rPr>
        <w:t>The authority means that the system with trusted flaggers</w:t>
      </w:r>
      <w:r w:rsidR="00D341C4">
        <w:rPr>
          <w:lang w:val="en-US"/>
        </w:rPr>
        <w:t xml:space="preserve"> that is meant to identify and report content, shall be operated in an objective manner. This means that their engagement and accuracy cannot be controlled by the right </w:t>
      </w:r>
      <w:r w:rsidR="00F25527">
        <w:rPr>
          <w:lang w:val="en-US"/>
        </w:rPr>
        <w:t>holder’s</w:t>
      </w:r>
      <w:r w:rsidR="00D341C4">
        <w:rPr>
          <w:lang w:val="en-US"/>
        </w:rPr>
        <w:t xml:space="preserve"> interest. </w:t>
      </w:r>
      <w:r w:rsidR="00F25527">
        <w:rPr>
          <w:lang w:val="en-US"/>
        </w:rPr>
        <w:t xml:space="preserve">The authority also means </w:t>
      </w:r>
      <w:r w:rsidR="00C97F0A">
        <w:rPr>
          <w:lang w:val="en-US"/>
        </w:rPr>
        <w:t xml:space="preserve">that </w:t>
      </w:r>
      <w:r w:rsidR="00F25527">
        <w:rPr>
          <w:lang w:val="en-US"/>
        </w:rPr>
        <w:t xml:space="preserve">the </w:t>
      </w:r>
      <w:r w:rsidR="00C97F0A">
        <w:rPr>
          <w:lang w:val="en-US"/>
        </w:rPr>
        <w:t>criteria</w:t>
      </w:r>
      <w:r w:rsidR="00F25527">
        <w:rPr>
          <w:lang w:val="en-US"/>
        </w:rPr>
        <w:t xml:space="preserve"> shall be </w:t>
      </w:r>
      <w:r w:rsidR="00C97F0A">
        <w:rPr>
          <w:lang w:val="en-US"/>
        </w:rPr>
        <w:t xml:space="preserve">interpreted with restrictiveness and </w:t>
      </w:r>
      <w:r w:rsidR="00F25527">
        <w:rPr>
          <w:lang w:val="en-US"/>
        </w:rPr>
        <w:t xml:space="preserve">refers to recital 61 of the DSA which states the following: </w:t>
      </w:r>
    </w:p>
    <w:p w14:paraId="7CEB74B1" w14:textId="36CABC6B" w:rsidR="0008143B" w:rsidRPr="00C06419" w:rsidRDefault="00AA3745" w:rsidP="00F25527">
      <w:pPr>
        <w:ind w:left="1304"/>
        <w:jc w:val="both"/>
        <w:rPr>
          <w:lang w:val="en-US"/>
        </w:rPr>
      </w:pPr>
      <w:r>
        <w:rPr>
          <w:lang w:val="en-US"/>
        </w:rPr>
        <w:t>‘</w:t>
      </w:r>
      <w:r w:rsidR="00F25527" w:rsidRPr="00C06419">
        <w:rPr>
          <w:lang w:val="en-US"/>
        </w:rPr>
        <w:t xml:space="preserve">To avoid diminishing the added value of such </w:t>
      </w:r>
      <w:r w:rsidR="00C97F0A" w:rsidRPr="00C06419">
        <w:rPr>
          <w:lang w:val="en-US"/>
        </w:rPr>
        <w:t>mechanism [the notice and action mechanism]</w:t>
      </w:r>
      <w:r w:rsidR="00F25527" w:rsidRPr="00C06419">
        <w:rPr>
          <w:lang w:val="en-US"/>
        </w:rPr>
        <w:t>, the overall number of trusted flaggers awarded in accordance with this Regulation should be limited.</w:t>
      </w:r>
      <w:r>
        <w:rPr>
          <w:lang w:val="en-US"/>
        </w:rPr>
        <w:t>’</w:t>
      </w:r>
    </w:p>
    <w:p w14:paraId="062FA90A" w14:textId="4C89A2A4" w:rsidR="00D3601A" w:rsidRDefault="00C97F0A" w:rsidP="00F25527">
      <w:pPr>
        <w:jc w:val="both"/>
        <w:rPr>
          <w:lang w:val="en-US"/>
        </w:rPr>
      </w:pPr>
      <w:r>
        <w:rPr>
          <w:lang w:val="en-US"/>
        </w:rPr>
        <w:t xml:space="preserve">Considering that the Rights Alliance had stated in its application that their business with identifying and reporting </w:t>
      </w:r>
      <w:r w:rsidR="00C06419">
        <w:rPr>
          <w:lang w:val="en-US"/>
        </w:rPr>
        <w:t>copyright</w:t>
      </w:r>
      <w:r>
        <w:rPr>
          <w:lang w:val="en-US"/>
        </w:rPr>
        <w:t xml:space="preserve"> material is controlled by assignments and clients which the company represents, the authority co</w:t>
      </w:r>
      <w:r w:rsidR="002703BF">
        <w:rPr>
          <w:lang w:val="en-US"/>
        </w:rPr>
        <w:t>ncludes</w:t>
      </w:r>
      <w:r>
        <w:rPr>
          <w:lang w:val="en-US"/>
        </w:rPr>
        <w:t xml:space="preserve"> </w:t>
      </w:r>
      <w:r>
        <w:rPr>
          <w:lang w:val="en-US"/>
        </w:rPr>
        <w:lastRenderedPageBreak/>
        <w:t>that the company has not proven that its business is operated in an objective matter.</w:t>
      </w:r>
      <w:r w:rsidR="00BC0FDA">
        <w:rPr>
          <w:rStyle w:val="Fotnotsreferens"/>
          <w:lang w:val="en-US"/>
        </w:rPr>
        <w:footnoteReference w:id="19"/>
      </w:r>
      <w:r w:rsidR="00D3601A">
        <w:rPr>
          <w:lang w:val="en-US"/>
        </w:rPr>
        <w:t xml:space="preserve"> This means that there has not yet been appointed a trusted flagger </w:t>
      </w:r>
      <w:r w:rsidR="00F800AE">
        <w:rPr>
          <w:lang w:val="en-US"/>
        </w:rPr>
        <w:t xml:space="preserve">according to the DSA </w:t>
      </w:r>
      <w:r w:rsidR="00D3601A">
        <w:rPr>
          <w:lang w:val="en-US"/>
        </w:rPr>
        <w:t>within the area of copyright in Sweden</w:t>
      </w:r>
      <w:r w:rsidR="00F800AE">
        <w:rPr>
          <w:lang w:val="en-US"/>
        </w:rPr>
        <w:t xml:space="preserve">, to report copyrighted content. </w:t>
      </w:r>
    </w:p>
    <w:p w14:paraId="4B077270" w14:textId="757D07EF" w:rsidR="00C97F0A" w:rsidRDefault="00260BCC" w:rsidP="00363713">
      <w:pPr>
        <w:rPr>
          <w:i/>
          <w:iCs/>
          <w:lang w:val="en-US"/>
        </w:rPr>
      </w:pPr>
      <w:r>
        <w:rPr>
          <w:i/>
          <w:iCs/>
          <w:lang w:val="en-US"/>
        </w:rPr>
        <w:t>4</w:t>
      </w:r>
      <w:r w:rsidR="00363713" w:rsidRPr="00363713">
        <w:rPr>
          <w:i/>
          <w:iCs/>
          <w:lang w:val="en-US"/>
        </w:rPr>
        <w:t>.</w:t>
      </w:r>
      <w:r>
        <w:rPr>
          <w:i/>
          <w:iCs/>
          <w:lang w:val="en-US"/>
        </w:rPr>
        <w:t>2</w:t>
      </w:r>
      <w:r w:rsidR="00363713" w:rsidRPr="00363713">
        <w:rPr>
          <w:i/>
          <w:iCs/>
          <w:lang w:val="en-US"/>
        </w:rPr>
        <w:t xml:space="preserve"> </w:t>
      </w:r>
      <w:r w:rsidR="007B02B9">
        <w:rPr>
          <w:i/>
          <w:iCs/>
          <w:lang w:val="en-US"/>
        </w:rPr>
        <w:t>A</w:t>
      </w:r>
      <w:r w:rsidR="00363713" w:rsidRPr="00363713">
        <w:rPr>
          <w:i/>
          <w:iCs/>
          <w:lang w:val="en-US"/>
        </w:rPr>
        <w:t>ppeal</w:t>
      </w:r>
      <w:r w:rsidR="007B02B9">
        <w:rPr>
          <w:i/>
          <w:iCs/>
          <w:lang w:val="en-US"/>
        </w:rPr>
        <w:t xml:space="preserve"> of</w:t>
      </w:r>
      <w:r w:rsidR="00363713" w:rsidRPr="00363713">
        <w:rPr>
          <w:i/>
          <w:iCs/>
          <w:lang w:val="en-US"/>
        </w:rPr>
        <w:t xml:space="preserve"> content removal decisions </w:t>
      </w:r>
    </w:p>
    <w:p w14:paraId="77BE1969" w14:textId="38CB2F08" w:rsidR="00C97F0A" w:rsidRDefault="001772FC" w:rsidP="001772FC">
      <w:pPr>
        <w:jc w:val="both"/>
        <w:rPr>
          <w:lang w:val="en-US"/>
        </w:rPr>
      </w:pPr>
      <w:r>
        <w:rPr>
          <w:lang w:val="en-US"/>
        </w:rPr>
        <w:t xml:space="preserve">Any decisions made by the online platform providers in regard of taking down content belonging to a service recipient (user of the service), requires </w:t>
      </w:r>
      <w:r w:rsidR="00C06419">
        <w:rPr>
          <w:lang w:val="en-US"/>
        </w:rPr>
        <w:t>motivation</w:t>
      </w:r>
      <w:r>
        <w:rPr>
          <w:lang w:val="en-US"/>
        </w:rPr>
        <w:t xml:space="preserve"> from the platform provider to the affected recipient. According to article 12 of the DSA, </w:t>
      </w:r>
      <w:r w:rsidR="00D3601A">
        <w:rPr>
          <w:lang w:val="en-US"/>
        </w:rPr>
        <w:t>o</w:t>
      </w:r>
      <w:r>
        <w:rPr>
          <w:lang w:val="en-US"/>
        </w:rPr>
        <w:t xml:space="preserve">nline </w:t>
      </w:r>
      <w:r w:rsidR="00D3601A">
        <w:rPr>
          <w:lang w:val="en-US"/>
        </w:rPr>
        <w:t>p</w:t>
      </w:r>
      <w:r>
        <w:rPr>
          <w:lang w:val="en-US"/>
        </w:rPr>
        <w:t xml:space="preserve">latform providers shall provide a point of contact </w:t>
      </w:r>
      <w:r w:rsidRPr="001772FC">
        <w:rPr>
          <w:lang w:val="en-US"/>
        </w:rPr>
        <w:t>to enable recipients of the service to communicate directly and rapidly with them</w:t>
      </w:r>
      <w:r>
        <w:rPr>
          <w:lang w:val="en-US"/>
        </w:rPr>
        <w:t xml:space="preserve">. In addition, the online platform providers need to provide an </w:t>
      </w:r>
      <w:r w:rsidRPr="001772FC">
        <w:rPr>
          <w:lang w:val="en-US"/>
        </w:rPr>
        <w:t xml:space="preserve">internal complaint-handling system that enables </w:t>
      </w:r>
      <w:r>
        <w:rPr>
          <w:lang w:val="en-US"/>
        </w:rPr>
        <w:t>affected recipients or entities</w:t>
      </w:r>
      <w:r w:rsidRPr="001772FC">
        <w:rPr>
          <w:lang w:val="en-US"/>
        </w:rPr>
        <w:t xml:space="preserve"> to lodge complaints</w:t>
      </w:r>
      <w:r>
        <w:rPr>
          <w:lang w:val="en-US"/>
        </w:rPr>
        <w:t xml:space="preserve">. </w:t>
      </w:r>
      <w:r w:rsidR="00FE51A2" w:rsidRPr="00FE51A2">
        <w:rPr>
          <w:lang w:val="en-US"/>
        </w:rPr>
        <w:t xml:space="preserve">Providers of online platforms shall handle complaints submitted through their internal complaint-handling system in a timely, non-discriminatory, </w:t>
      </w:r>
      <w:r w:rsidR="00727351" w:rsidRPr="00FE51A2">
        <w:rPr>
          <w:lang w:val="en-US"/>
        </w:rPr>
        <w:t>diligent,</w:t>
      </w:r>
      <w:r w:rsidR="00FE51A2" w:rsidRPr="00FE51A2">
        <w:rPr>
          <w:lang w:val="en-US"/>
        </w:rPr>
        <w:t xml:space="preserve"> and non-arbitrary manner</w:t>
      </w:r>
      <w:r w:rsidR="00FE51A2">
        <w:rPr>
          <w:lang w:val="en-US"/>
        </w:rPr>
        <w:t xml:space="preserve"> (article 20(4)). </w:t>
      </w:r>
    </w:p>
    <w:p w14:paraId="2808B593" w14:textId="293FBD39" w:rsidR="00555B68" w:rsidRPr="00D3601A" w:rsidRDefault="002C7B05" w:rsidP="00D270D7">
      <w:pPr>
        <w:jc w:val="both"/>
        <w:rPr>
          <w:lang w:val="en-US"/>
        </w:rPr>
      </w:pPr>
      <w:r>
        <w:rPr>
          <w:lang w:val="en-US"/>
        </w:rPr>
        <w:t xml:space="preserve">The platform provider is also responsible of informing about other dispute resolution alternatives, such as out-of-court dispute settlement and </w:t>
      </w:r>
      <w:r w:rsidRPr="002C7B05">
        <w:rPr>
          <w:lang w:val="en-US"/>
        </w:rPr>
        <w:t>other available possibilities for redress</w:t>
      </w:r>
      <w:r>
        <w:rPr>
          <w:lang w:val="en-US"/>
        </w:rPr>
        <w:t xml:space="preserve"> such as the possibility to file complaint to the </w:t>
      </w:r>
      <w:r w:rsidRPr="002C7B05">
        <w:rPr>
          <w:lang w:val="en-US"/>
        </w:rPr>
        <w:t>Digital Services Coordinator</w:t>
      </w:r>
      <w:r>
        <w:rPr>
          <w:lang w:val="en-US"/>
        </w:rPr>
        <w:t xml:space="preserve">. </w:t>
      </w:r>
      <w:r w:rsidRPr="002C7B05">
        <w:rPr>
          <w:lang w:val="en-US"/>
        </w:rPr>
        <w:t xml:space="preserve">Recipients of the service and </w:t>
      </w:r>
      <w:r w:rsidR="003D712C" w:rsidRPr="002C7B05">
        <w:rPr>
          <w:lang w:val="en-US"/>
        </w:rPr>
        <w:t>any</w:t>
      </w:r>
      <w:r w:rsidRPr="002C7B05">
        <w:rPr>
          <w:lang w:val="en-US"/>
        </w:rPr>
        <w:t xml:space="preserve"> organisation</w:t>
      </w:r>
      <w:r w:rsidR="00C06419">
        <w:rPr>
          <w:lang w:val="en-US"/>
        </w:rPr>
        <w:t>, body</w:t>
      </w:r>
      <w:r w:rsidRPr="002C7B05">
        <w:rPr>
          <w:lang w:val="en-US"/>
        </w:rPr>
        <w:t xml:space="preserve"> or association mandated to exercise the rights conferred by </w:t>
      </w:r>
      <w:r w:rsidR="00D3601A">
        <w:rPr>
          <w:lang w:val="en-US"/>
        </w:rPr>
        <w:t>the DSA</w:t>
      </w:r>
      <w:r w:rsidRPr="002C7B05">
        <w:rPr>
          <w:lang w:val="en-US"/>
        </w:rPr>
        <w:t xml:space="preserve"> on their behalf</w:t>
      </w:r>
      <w:r w:rsidR="00D3601A">
        <w:rPr>
          <w:lang w:val="en-US"/>
        </w:rPr>
        <w:t xml:space="preserve">, </w:t>
      </w:r>
      <w:r w:rsidRPr="002C7B05">
        <w:rPr>
          <w:lang w:val="en-US"/>
        </w:rPr>
        <w:t xml:space="preserve">shall have the right to lodge a complaint against providers of intermediary services alleging an infringement of </w:t>
      </w:r>
      <w:r w:rsidR="00D3601A">
        <w:rPr>
          <w:lang w:val="en-US"/>
        </w:rPr>
        <w:t>the DSA</w:t>
      </w:r>
      <w:r w:rsidRPr="002C7B05">
        <w:rPr>
          <w:lang w:val="en-US"/>
        </w:rPr>
        <w:t xml:space="preserve"> with the </w:t>
      </w:r>
      <w:bookmarkStart w:id="6" w:name="_Hlk200111378"/>
      <w:r w:rsidRPr="002C7B05">
        <w:rPr>
          <w:lang w:val="en-US"/>
        </w:rPr>
        <w:t xml:space="preserve">Digital Services Coordinator </w:t>
      </w:r>
      <w:bookmarkEnd w:id="6"/>
      <w:r w:rsidRPr="002C7B05">
        <w:rPr>
          <w:lang w:val="en-US"/>
        </w:rPr>
        <w:t>of the Member State where the recipient of the service is located or established.</w:t>
      </w:r>
      <w:r w:rsidR="00D21A85" w:rsidRPr="00D21A85">
        <w:rPr>
          <w:lang w:val="en"/>
        </w:rPr>
        <w:t xml:space="preserve">Service recipients should be able to choose between the internal </w:t>
      </w:r>
      <w:r w:rsidR="001D7784" w:rsidRPr="00D21A85">
        <w:rPr>
          <w:lang w:val="en"/>
        </w:rPr>
        <w:t>complaint</w:t>
      </w:r>
      <w:r w:rsidR="00A42B01">
        <w:rPr>
          <w:lang w:val="en"/>
        </w:rPr>
        <w:t xml:space="preserve"> </w:t>
      </w:r>
      <w:r w:rsidR="00D21A85" w:rsidRPr="00D21A85">
        <w:rPr>
          <w:lang w:val="en"/>
        </w:rPr>
        <w:t>mechanism, out-of-court dispute resolution (applies to online platforms) and the possibility of initiating legal proceedings at any time (Recital 59</w:t>
      </w:r>
      <w:r w:rsidR="00DB350B">
        <w:rPr>
          <w:lang w:val="en"/>
        </w:rPr>
        <w:t xml:space="preserve"> of the DSA</w:t>
      </w:r>
      <w:r w:rsidR="00D21A85" w:rsidRPr="00D21A85">
        <w:rPr>
          <w:lang w:val="en"/>
        </w:rPr>
        <w:t>)</w:t>
      </w:r>
      <w:r w:rsidR="00D21A85">
        <w:rPr>
          <w:lang w:val="en"/>
        </w:rPr>
        <w:t>.</w:t>
      </w:r>
      <w:r w:rsidR="00C06419">
        <w:rPr>
          <w:lang w:val="en"/>
        </w:rPr>
        <w:t xml:space="preserve"> </w:t>
      </w:r>
      <w:r w:rsidR="002F7ADD">
        <w:rPr>
          <w:lang w:val="en"/>
        </w:rPr>
        <w:t xml:space="preserve">The Member States shall appoint/create an out-of-court dispute resolution. </w:t>
      </w:r>
    </w:p>
    <w:p w14:paraId="2684612A" w14:textId="48925204" w:rsidR="00D270D7" w:rsidRDefault="002F7ADD" w:rsidP="00D270D7">
      <w:pPr>
        <w:jc w:val="both"/>
        <w:rPr>
          <w:lang w:val="en"/>
        </w:rPr>
      </w:pPr>
      <w:r>
        <w:rPr>
          <w:lang w:val="en"/>
        </w:rPr>
        <w:t xml:space="preserve">In the preparatory works to the implementation of the DSA in Sweden, the </w:t>
      </w:r>
      <w:r w:rsidR="00E25D62">
        <w:rPr>
          <w:lang w:val="en"/>
        </w:rPr>
        <w:t xml:space="preserve">Swedish </w:t>
      </w:r>
      <w:r w:rsidR="00A679DF">
        <w:rPr>
          <w:lang w:val="en"/>
        </w:rPr>
        <w:t>government,</w:t>
      </w:r>
      <w:r w:rsidR="00E25D62">
        <w:rPr>
          <w:lang w:val="en"/>
        </w:rPr>
        <w:t xml:space="preserve"> and the investigation behind the preparatory work states that such an institute for dispute resolution </w:t>
      </w:r>
      <w:r w:rsidR="00A679DF">
        <w:rPr>
          <w:lang w:val="en"/>
        </w:rPr>
        <w:t xml:space="preserve">demands a lot of resources. </w:t>
      </w:r>
      <w:r w:rsidR="00A679DF" w:rsidRPr="00A679DF">
        <w:rPr>
          <w:lang w:val="en"/>
        </w:rPr>
        <w:t xml:space="preserve">Existing bodies would require significant resources to expand their scope and build up expertise to handle the different types of cases that the </w:t>
      </w:r>
      <w:r w:rsidR="00D3601A">
        <w:rPr>
          <w:lang w:val="en"/>
        </w:rPr>
        <w:t>DSA</w:t>
      </w:r>
      <w:r w:rsidR="00A679DF">
        <w:rPr>
          <w:lang w:val="en"/>
        </w:rPr>
        <w:t xml:space="preserve"> </w:t>
      </w:r>
      <w:r w:rsidR="00A679DF" w:rsidRPr="00A679DF">
        <w:rPr>
          <w:lang w:val="en"/>
        </w:rPr>
        <w:t>may raise.</w:t>
      </w:r>
      <w:r w:rsidR="00A679DF">
        <w:rPr>
          <w:lang w:val="en"/>
        </w:rPr>
        <w:t xml:space="preserve"> The </w:t>
      </w:r>
      <w:r w:rsidR="00D3601A">
        <w:rPr>
          <w:lang w:val="en"/>
        </w:rPr>
        <w:t>legislators</w:t>
      </w:r>
      <w:r w:rsidR="00A679DF">
        <w:rPr>
          <w:lang w:val="en"/>
        </w:rPr>
        <w:t xml:space="preserve"> mean that an out-of-court dispute resolution for the purpose of the DSA cannot be achieved today by only small changes in already existing bodies – thereby requires a lot or resources. The Government also states that dispute resolutions based on the DSA also </w:t>
      </w:r>
      <w:r w:rsidR="00C06419">
        <w:rPr>
          <w:lang w:val="en"/>
        </w:rPr>
        <w:t>involve</w:t>
      </w:r>
      <w:r w:rsidR="00A679DF">
        <w:rPr>
          <w:lang w:val="en"/>
        </w:rPr>
        <w:t xml:space="preserve"> a lot of uncertainties such as </w:t>
      </w:r>
      <w:r w:rsidR="005D242B">
        <w:rPr>
          <w:lang w:val="en"/>
        </w:rPr>
        <w:t xml:space="preserve">the </w:t>
      </w:r>
      <w:r w:rsidR="00D270D7">
        <w:rPr>
          <w:lang w:val="en"/>
        </w:rPr>
        <w:t>number</w:t>
      </w:r>
      <w:r w:rsidR="005D242B">
        <w:rPr>
          <w:lang w:val="en"/>
        </w:rPr>
        <w:t xml:space="preserve"> of disputes that will arise, the extent, character, area of expertise</w:t>
      </w:r>
      <w:r w:rsidR="00D270D7">
        <w:rPr>
          <w:lang w:val="en"/>
        </w:rPr>
        <w:t xml:space="preserve"> </w:t>
      </w:r>
      <w:r w:rsidR="005D242B">
        <w:rPr>
          <w:lang w:val="en"/>
        </w:rPr>
        <w:t xml:space="preserve">and the need for procedure rules for such dispute resolution. </w:t>
      </w:r>
      <w:r w:rsidR="00D270D7">
        <w:rPr>
          <w:lang w:val="en"/>
        </w:rPr>
        <w:t xml:space="preserve">The investigation also states the fact that </w:t>
      </w:r>
      <w:bookmarkStart w:id="7" w:name="_Hlk202344073"/>
      <w:r w:rsidR="00D270D7">
        <w:rPr>
          <w:lang w:val="en"/>
        </w:rPr>
        <w:t>t</w:t>
      </w:r>
      <w:r w:rsidR="00D270D7" w:rsidRPr="00D270D7">
        <w:rPr>
          <w:lang w:val="en"/>
        </w:rPr>
        <w:t xml:space="preserve">he number, type and size of the providers of </w:t>
      </w:r>
      <w:r w:rsidR="00F060D8">
        <w:rPr>
          <w:lang w:val="en"/>
        </w:rPr>
        <w:t xml:space="preserve">intermediary </w:t>
      </w:r>
      <w:r w:rsidR="00D270D7" w:rsidRPr="00D270D7">
        <w:rPr>
          <w:lang w:val="en"/>
        </w:rPr>
        <w:t>services established in Sweden are also unclear</w:t>
      </w:r>
      <w:bookmarkEnd w:id="7"/>
      <w:r w:rsidR="00D270D7">
        <w:rPr>
          <w:lang w:val="en"/>
        </w:rPr>
        <w:t>.</w:t>
      </w:r>
      <w:r w:rsidR="00B31540">
        <w:rPr>
          <w:rStyle w:val="Fotnotsreferens"/>
          <w:lang w:val="en"/>
        </w:rPr>
        <w:footnoteReference w:id="20"/>
      </w:r>
      <w:r w:rsidR="00D270D7">
        <w:rPr>
          <w:lang w:val="en"/>
        </w:rPr>
        <w:t xml:space="preserve"> </w:t>
      </w:r>
    </w:p>
    <w:p w14:paraId="348B7362" w14:textId="0115BEA7" w:rsidR="00D21A85" w:rsidRPr="00D21E34" w:rsidRDefault="00D270D7" w:rsidP="001772FC">
      <w:pPr>
        <w:jc w:val="both"/>
        <w:rPr>
          <w:lang w:val="en"/>
        </w:rPr>
      </w:pPr>
      <w:r>
        <w:rPr>
          <w:lang w:val="en"/>
        </w:rPr>
        <w:t xml:space="preserve">Considering the above and that the service recipients </w:t>
      </w:r>
      <w:r w:rsidR="00904BCC">
        <w:rPr>
          <w:lang w:val="en"/>
        </w:rPr>
        <w:t xml:space="preserve">that are not content with the online </w:t>
      </w:r>
      <w:r w:rsidR="00DA6E3B">
        <w:rPr>
          <w:lang w:val="en"/>
        </w:rPr>
        <w:t>platform’s</w:t>
      </w:r>
      <w:r w:rsidR="00904BCC">
        <w:rPr>
          <w:lang w:val="en"/>
        </w:rPr>
        <w:t xml:space="preserve"> moderation decisions can complain</w:t>
      </w:r>
      <w:r w:rsidR="00D3601A">
        <w:rPr>
          <w:lang w:val="en"/>
        </w:rPr>
        <w:t xml:space="preserve"> directly</w:t>
      </w:r>
      <w:r w:rsidR="00904BCC">
        <w:rPr>
          <w:lang w:val="en"/>
        </w:rPr>
        <w:t xml:space="preserve"> to the Digital Services Coordinator</w:t>
      </w:r>
      <w:r w:rsidR="00D3601A">
        <w:rPr>
          <w:lang w:val="en"/>
        </w:rPr>
        <w:t xml:space="preserve"> (in Sweden </w:t>
      </w:r>
      <w:r w:rsidR="00B31540" w:rsidRPr="00D3601A">
        <w:rPr>
          <w:lang w:val="en-US"/>
        </w:rPr>
        <w:t>the</w:t>
      </w:r>
      <w:r w:rsidR="00D3601A" w:rsidRPr="00D3601A">
        <w:rPr>
          <w:lang w:val="en-US"/>
        </w:rPr>
        <w:t xml:space="preserve"> Swedish Post and Telecom Authority</w:t>
      </w:r>
      <w:r w:rsidR="00D3601A">
        <w:rPr>
          <w:lang w:val="en-US"/>
        </w:rPr>
        <w:t>)</w:t>
      </w:r>
      <w:r w:rsidR="00904BCC">
        <w:rPr>
          <w:lang w:val="en"/>
        </w:rPr>
        <w:t xml:space="preserve"> – the government has decided to wait to set up an out-of-</w:t>
      </w:r>
      <w:r w:rsidR="00D3601A">
        <w:rPr>
          <w:lang w:val="en"/>
        </w:rPr>
        <w:t>court</w:t>
      </w:r>
      <w:r w:rsidR="00904BCC">
        <w:rPr>
          <w:lang w:val="en"/>
        </w:rPr>
        <w:t xml:space="preserve"> dispute resolution alternative for complaints regarding the DSA. The government </w:t>
      </w:r>
      <w:r w:rsidR="00DA6E3B">
        <w:rPr>
          <w:lang w:val="en"/>
        </w:rPr>
        <w:t xml:space="preserve">believes that, with the knowledge it has today, there </w:t>
      </w:r>
      <w:r w:rsidR="00C06419">
        <w:rPr>
          <w:lang w:val="en"/>
        </w:rPr>
        <w:t>are lacking</w:t>
      </w:r>
      <w:r w:rsidR="00DA6E3B">
        <w:rPr>
          <w:lang w:val="en"/>
        </w:rPr>
        <w:t xml:space="preserve"> conditions to set up an out-of-court dispute resolution </w:t>
      </w:r>
      <w:r w:rsidR="007A6447">
        <w:rPr>
          <w:lang w:val="en"/>
        </w:rPr>
        <w:t xml:space="preserve">that will ensure a secure, </w:t>
      </w:r>
      <w:r w:rsidR="00D3601A" w:rsidRPr="007A6447">
        <w:rPr>
          <w:lang w:val="en"/>
        </w:rPr>
        <w:t>efficient,</w:t>
      </w:r>
      <w:r w:rsidR="007A6447" w:rsidRPr="007A6447">
        <w:rPr>
          <w:lang w:val="en"/>
        </w:rPr>
        <w:t xml:space="preserve"> and competent trial.</w:t>
      </w:r>
      <w:r w:rsidR="002E2A72">
        <w:rPr>
          <w:lang w:val="en"/>
        </w:rPr>
        <w:t xml:space="preserve"> Therefore, the government has stated that </w:t>
      </w:r>
      <w:r w:rsidR="00300DF9">
        <w:rPr>
          <w:lang w:val="en"/>
        </w:rPr>
        <w:t>when the DSA has been in force for a while,</w:t>
      </w:r>
      <w:r w:rsidR="00D3601A">
        <w:rPr>
          <w:lang w:val="en"/>
        </w:rPr>
        <w:t xml:space="preserve"> they will review this again</w:t>
      </w:r>
      <w:r w:rsidR="00300DF9">
        <w:rPr>
          <w:lang w:val="en"/>
        </w:rPr>
        <w:t xml:space="preserve"> with more robust basis for setting up an out-of-courts dispute resolution.</w:t>
      </w:r>
      <w:r w:rsidR="00226574">
        <w:rPr>
          <w:rStyle w:val="Fotnotsreferens"/>
          <w:lang w:val="en"/>
        </w:rPr>
        <w:footnoteReference w:id="21"/>
      </w:r>
      <w:r w:rsidR="00300DF9">
        <w:rPr>
          <w:lang w:val="en"/>
        </w:rPr>
        <w:t xml:space="preserve"> </w:t>
      </w:r>
    </w:p>
    <w:p w14:paraId="64D655FC" w14:textId="4F1774AE" w:rsidR="00DC6B1B" w:rsidRDefault="00260BCC" w:rsidP="00DC6B1B">
      <w:pPr>
        <w:jc w:val="both"/>
        <w:rPr>
          <w:rFonts w:cs="Times New Roman"/>
          <w:b/>
          <w:lang w:val="en-US"/>
        </w:rPr>
      </w:pPr>
      <w:r>
        <w:rPr>
          <w:rFonts w:cs="Times New Roman"/>
          <w:b/>
          <w:lang w:val="en-US"/>
        </w:rPr>
        <w:t>5</w:t>
      </w:r>
      <w:r w:rsidR="00DC6B1B" w:rsidRPr="0079651A">
        <w:rPr>
          <w:rFonts w:cs="Times New Roman"/>
          <w:b/>
          <w:lang w:val="en-US"/>
        </w:rPr>
        <w:t xml:space="preserve">. Fundamental Rights </w:t>
      </w:r>
      <w:r w:rsidR="004A1803">
        <w:rPr>
          <w:rFonts w:cs="Times New Roman"/>
          <w:b/>
          <w:lang w:val="en-US"/>
        </w:rPr>
        <w:t xml:space="preserve">and Case law </w:t>
      </w:r>
    </w:p>
    <w:p w14:paraId="54BCA59B" w14:textId="61D9E71A" w:rsidR="004A1803" w:rsidRPr="004A1803" w:rsidRDefault="00260BCC" w:rsidP="00DC6B1B">
      <w:pPr>
        <w:jc w:val="both"/>
        <w:rPr>
          <w:rFonts w:cs="Times New Roman"/>
          <w:bCs/>
          <w:i/>
          <w:iCs/>
          <w:lang w:val="en-US"/>
        </w:rPr>
      </w:pPr>
      <w:r>
        <w:rPr>
          <w:rFonts w:cs="Times New Roman"/>
          <w:bCs/>
          <w:i/>
          <w:iCs/>
          <w:lang w:val="en-US"/>
        </w:rPr>
        <w:t>5</w:t>
      </w:r>
      <w:r w:rsidR="004A1803" w:rsidRPr="004A1803">
        <w:rPr>
          <w:rFonts w:cs="Times New Roman"/>
          <w:bCs/>
          <w:i/>
          <w:iCs/>
          <w:lang w:val="en-US"/>
        </w:rPr>
        <w:t xml:space="preserve">.1 Freedom of expression in Swedish legal context </w:t>
      </w:r>
    </w:p>
    <w:p w14:paraId="0461AAF0" w14:textId="77777777" w:rsidR="00DA38D9" w:rsidRPr="00DA38D9" w:rsidRDefault="00DA38D9" w:rsidP="00DA38D9">
      <w:pPr>
        <w:jc w:val="both"/>
        <w:rPr>
          <w:rFonts w:cs="Times New Roman"/>
          <w:bCs/>
          <w:lang w:val="en-GB"/>
        </w:rPr>
      </w:pPr>
      <w:r w:rsidRPr="00DA38D9">
        <w:rPr>
          <w:rFonts w:cs="Times New Roman"/>
          <w:bCs/>
          <w:lang w:val="en-GB"/>
        </w:rPr>
        <w:t>In Swedish law, the enforcement of intellectual property rights, particularly copyright, is carefully balanced against fundamental rights such as freedom of expression and the right to a fair trial. These fundamental rights are protected not only by domestic constitutional instruments, the Instrument of Government, the Freedom of the Press Act and the Fundamental Law on Freedom of Expression, but also by international commitments, most importantly the European Convention on Human Rights, to which Sweden has been a party since 1953 and which has had the status of ordinary law since 1995.</w:t>
      </w:r>
      <w:r w:rsidRPr="00DA38D9">
        <w:rPr>
          <w:rFonts w:cs="Times New Roman"/>
          <w:bCs/>
          <w:vertAlign w:val="superscript"/>
          <w:lang w:val="en-GB"/>
        </w:rPr>
        <w:footnoteReference w:id="22"/>
      </w:r>
    </w:p>
    <w:p w14:paraId="31E77E6C" w14:textId="77777777" w:rsidR="00DA38D9" w:rsidRPr="00DA38D9" w:rsidRDefault="00DA38D9" w:rsidP="00DA38D9">
      <w:pPr>
        <w:jc w:val="both"/>
        <w:rPr>
          <w:rFonts w:cs="Times New Roman"/>
          <w:bCs/>
          <w:lang w:val="en-GB"/>
        </w:rPr>
      </w:pPr>
      <w:r w:rsidRPr="00DA38D9">
        <w:rPr>
          <w:rFonts w:cs="Times New Roman"/>
          <w:bCs/>
          <w:lang w:val="en-GB"/>
        </w:rPr>
        <w:lastRenderedPageBreak/>
        <w:t>The central tension arises from the fact that both copyright and freedom of expression serve vital societal interests. Copyright protects the creator’s right to control and benefit from their intellectual output, while freedom of expression guarantees the individual's ability to communicate ideas, opinions, and information without interference. These rights occasionally intersect in ways that require prioritisation or reconciliation through legal reasoning. The prevailing legal and academic view in Sweden is that neither of these rights is absolute, and that any restriction of one in favour of the other must be subjected to a proportionality test. This test examines whether the restriction is prescribed by law, pursues a legitimate aim, and is necessary and proportionate in a democratic society.</w:t>
      </w:r>
      <w:r w:rsidRPr="00DA38D9">
        <w:rPr>
          <w:rFonts w:cs="Times New Roman"/>
          <w:bCs/>
          <w:vertAlign w:val="superscript"/>
          <w:lang w:val="en-GB"/>
        </w:rPr>
        <w:footnoteReference w:id="23"/>
      </w:r>
    </w:p>
    <w:p w14:paraId="18E9C8C8" w14:textId="77777777" w:rsidR="00DA38D9" w:rsidRPr="00DA38D9" w:rsidRDefault="00DA38D9" w:rsidP="00DA38D9">
      <w:pPr>
        <w:jc w:val="both"/>
        <w:rPr>
          <w:rFonts w:cs="Times New Roman"/>
          <w:bCs/>
          <w:lang w:val="en-GB"/>
        </w:rPr>
      </w:pPr>
      <w:r w:rsidRPr="00DA38D9">
        <w:rPr>
          <w:rFonts w:cs="Times New Roman"/>
          <w:bCs/>
          <w:lang w:val="en-GB"/>
        </w:rPr>
        <w:t xml:space="preserve">The European Court of Human Rights has clarified that copyright enforcement can, under certain conditions, constitute a justified limitation of the right to freedom of expression under Article 10 of the European Convention on Human Rights. In the case Neij and </w:t>
      </w:r>
      <w:proofErr w:type="spellStart"/>
      <w:r w:rsidRPr="00DA38D9">
        <w:rPr>
          <w:rFonts w:cs="Times New Roman"/>
          <w:bCs/>
          <w:lang w:val="en-GB"/>
        </w:rPr>
        <w:t>Sunde</w:t>
      </w:r>
      <w:proofErr w:type="spellEnd"/>
      <w:r w:rsidRPr="00DA38D9">
        <w:rPr>
          <w:rFonts w:cs="Times New Roman"/>
          <w:bCs/>
          <w:lang w:val="en-GB"/>
        </w:rPr>
        <w:t xml:space="preserve"> </w:t>
      </w:r>
      <w:proofErr w:type="spellStart"/>
      <w:r w:rsidRPr="00DA38D9">
        <w:rPr>
          <w:rFonts w:cs="Times New Roman"/>
          <w:bCs/>
          <w:lang w:val="en-GB"/>
        </w:rPr>
        <w:t>Kolmisoppi</w:t>
      </w:r>
      <w:proofErr w:type="spellEnd"/>
      <w:r w:rsidRPr="00DA38D9">
        <w:rPr>
          <w:rFonts w:cs="Times New Roman"/>
          <w:bCs/>
          <w:lang w:val="en-GB"/>
        </w:rPr>
        <w:t xml:space="preserve"> v. Sweden,</w:t>
      </w:r>
      <w:r w:rsidRPr="00DA38D9">
        <w:rPr>
          <w:rFonts w:cs="Times New Roman"/>
          <w:bCs/>
          <w:vertAlign w:val="superscript"/>
          <w:lang w:val="en-GB"/>
        </w:rPr>
        <w:footnoteReference w:id="24"/>
      </w:r>
      <w:r w:rsidRPr="00DA38D9">
        <w:rPr>
          <w:rFonts w:cs="Times New Roman"/>
          <w:bCs/>
          <w:lang w:val="en-GB"/>
        </w:rPr>
        <w:t xml:space="preserve"> the applicants, two individuals behind The Pirate Bay, argued that their convictions for contributory copyright infringement infringed their freedom of expression. The Court found that their activities, which involved facilitating access to protected content on a large scale, fell within the scope of Article 10.</w:t>
      </w:r>
      <w:r w:rsidRPr="00DA38D9">
        <w:rPr>
          <w:rFonts w:cs="Times New Roman"/>
          <w:bCs/>
          <w:vertAlign w:val="superscript"/>
          <w:lang w:val="en-GB"/>
        </w:rPr>
        <w:footnoteReference w:id="25"/>
      </w:r>
      <w:r w:rsidRPr="00DA38D9">
        <w:rPr>
          <w:rFonts w:cs="Times New Roman"/>
          <w:bCs/>
          <w:lang w:val="en-GB"/>
        </w:rPr>
        <w:t xml:space="preserve"> Nevertheless, it concluded that the interference was proportionate and legitimate, particularly in light of the commercial nature of the platform and the Swedish authorities’ margin of appreciation in protecting intellectual property rights.</w:t>
      </w:r>
      <w:r w:rsidRPr="00DA38D9">
        <w:rPr>
          <w:rFonts w:cs="Times New Roman"/>
          <w:bCs/>
          <w:vertAlign w:val="superscript"/>
          <w:lang w:val="en-GB"/>
        </w:rPr>
        <w:footnoteReference w:id="26"/>
      </w:r>
    </w:p>
    <w:p w14:paraId="5BC86870" w14:textId="77777777" w:rsidR="00DA38D9" w:rsidRPr="00DA38D9" w:rsidRDefault="00DA38D9" w:rsidP="00DA38D9">
      <w:pPr>
        <w:jc w:val="both"/>
        <w:rPr>
          <w:rFonts w:cs="Times New Roman"/>
          <w:bCs/>
          <w:lang w:val="en-GB"/>
        </w:rPr>
      </w:pPr>
      <w:r w:rsidRPr="00DA38D9">
        <w:rPr>
          <w:rFonts w:cs="Times New Roman"/>
          <w:bCs/>
          <w:lang w:val="en-GB"/>
        </w:rPr>
        <w:t>The balancing exercise between copyright enforcement and fundamental rights is not limited to international jurisprudence but is deeply embedded in Swedish domestic case law. Swedish courts have, on several occasions, acknowledged that the enforcement of copyright must not be allowed to override constitutional rights such as the right to a fair trial and freedom of expression. These considerations are particularly evident in litigation involving evidentiary use of protected material, politically sensitive expression, or the procedural rights of parties.</w:t>
      </w:r>
    </w:p>
    <w:p w14:paraId="325B6AFA" w14:textId="0CCF760F" w:rsidR="00DA38D9" w:rsidRPr="00DA38D9" w:rsidRDefault="00DA38D9" w:rsidP="00DA38D9">
      <w:pPr>
        <w:jc w:val="both"/>
        <w:rPr>
          <w:rFonts w:cs="Times New Roman"/>
          <w:bCs/>
          <w:lang w:val="en-GB"/>
        </w:rPr>
      </w:pPr>
      <w:r w:rsidRPr="00DA38D9">
        <w:rPr>
          <w:rFonts w:cs="Times New Roman"/>
          <w:bCs/>
          <w:lang w:val="en-GB"/>
        </w:rPr>
        <w:t xml:space="preserve">In </w:t>
      </w:r>
      <w:r w:rsidR="00260BCC">
        <w:rPr>
          <w:rFonts w:cs="Times New Roman"/>
          <w:bCs/>
          <w:lang w:val="en-GB"/>
        </w:rPr>
        <w:t xml:space="preserve">case </w:t>
      </w:r>
      <w:r w:rsidRPr="00DA38D9">
        <w:rPr>
          <w:rFonts w:cs="Times New Roman"/>
          <w:bCs/>
          <w:lang w:val="en-GB"/>
        </w:rPr>
        <w:t>PMFT 4717-18, the Patent and Market Court of Appeal examined whether the use of copyrighted photographs submitted as evidence in civil proceedings constituted an infringement. Although the court found that the reproduction and use of the material did meet the formal criteria for infringement, it emphasi</w:t>
      </w:r>
      <w:r w:rsidR="009C01BE">
        <w:rPr>
          <w:rFonts w:cs="Times New Roman"/>
          <w:bCs/>
          <w:lang w:val="en-GB"/>
        </w:rPr>
        <w:t>s</w:t>
      </w:r>
      <w:r w:rsidRPr="00DA38D9">
        <w:rPr>
          <w:rFonts w:cs="Times New Roman"/>
          <w:bCs/>
          <w:lang w:val="en-GB"/>
        </w:rPr>
        <w:t>ed the procedural context in which the use occurred. Specifically, the photographs were submitted to substantiate factual claims in a legal dispute. The court held that, in light of Article 6 of the European Convention on Human Rights, which guarantees the right to a fair trial, such evidentiary use could not be treated as unlawful in the conventional sense. Consequently, the court awarded only symbolic damages and denied the claimant full reimbursement for litigation costs, underscoring that procedural fairness and access to justice may, in some instances, outweigh the exclusivity inherent in copyright protection.</w:t>
      </w:r>
      <w:r w:rsidRPr="00DA38D9">
        <w:rPr>
          <w:rFonts w:cs="Times New Roman"/>
          <w:bCs/>
          <w:vertAlign w:val="superscript"/>
          <w:lang w:val="en-GB"/>
        </w:rPr>
        <w:footnoteReference w:id="27"/>
      </w:r>
    </w:p>
    <w:p w14:paraId="7823CDF0" w14:textId="08A12276" w:rsidR="00DA38D9" w:rsidRPr="00DA38D9" w:rsidRDefault="00DA38D9" w:rsidP="00DA38D9">
      <w:pPr>
        <w:jc w:val="both"/>
        <w:rPr>
          <w:rFonts w:cs="Times New Roman"/>
          <w:bCs/>
          <w:lang w:val="en-GB"/>
        </w:rPr>
      </w:pPr>
      <w:r w:rsidRPr="00DA38D9">
        <w:rPr>
          <w:rFonts w:cs="Times New Roman"/>
          <w:bCs/>
          <w:lang w:val="en-GB"/>
        </w:rPr>
        <w:t xml:space="preserve">Similarly, in </w:t>
      </w:r>
      <w:r w:rsidR="00260BCC">
        <w:rPr>
          <w:rFonts w:cs="Times New Roman"/>
          <w:bCs/>
          <w:lang w:val="en-GB"/>
        </w:rPr>
        <w:t xml:space="preserve">case </w:t>
      </w:r>
      <w:r w:rsidRPr="00DA38D9">
        <w:rPr>
          <w:rFonts w:cs="Times New Roman"/>
          <w:bCs/>
          <w:lang w:val="en-GB"/>
        </w:rPr>
        <w:t xml:space="preserve">PMT 17286-19, the court dealt with the invocation of the so-called </w:t>
      </w:r>
      <w:r w:rsidR="009C01BE">
        <w:rPr>
          <w:rFonts w:cs="Times New Roman"/>
          <w:bCs/>
          <w:lang w:val="en-GB"/>
        </w:rPr>
        <w:t>‘</w:t>
      </w:r>
      <w:r w:rsidRPr="00DA38D9">
        <w:rPr>
          <w:rFonts w:cs="Times New Roman"/>
          <w:bCs/>
          <w:lang w:val="en-GB"/>
        </w:rPr>
        <w:t>classics protection</w:t>
      </w:r>
      <w:r w:rsidR="009C01BE">
        <w:rPr>
          <w:rFonts w:cs="Times New Roman"/>
          <w:bCs/>
          <w:lang w:val="en-GB"/>
        </w:rPr>
        <w:t>’</w:t>
      </w:r>
      <w:r w:rsidRPr="00DA38D9">
        <w:rPr>
          <w:rFonts w:cs="Times New Roman"/>
          <w:bCs/>
          <w:lang w:val="en-GB"/>
        </w:rPr>
        <w:t xml:space="preserve"> under Section 51 of the Swedish Copyright Act, where the Swedish Academy sought to prohibit the use of national literary works in extremist political publications.</w:t>
      </w:r>
      <w:r w:rsidRPr="00DA38D9">
        <w:rPr>
          <w:rFonts w:cs="Times New Roman"/>
          <w:bCs/>
          <w:vertAlign w:val="superscript"/>
          <w:lang w:val="en-GB"/>
        </w:rPr>
        <w:footnoteReference w:id="28"/>
      </w:r>
      <w:r w:rsidRPr="00DA38D9">
        <w:rPr>
          <w:rFonts w:cs="Times New Roman"/>
          <w:bCs/>
          <w:lang w:val="en-GB"/>
        </w:rPr>
        <w:t xml:space="preserve"> While the infringement claim was formally structured around moral rights and protection of cultural integrity, the court placed decisive weight on the political context and the expressive character of the use. It found that the evidentiary and expressive functions of the quotations, even if controversial or offensive, did not meet the threshold for injunctive relief under Section 51. This ruling reflected a strong undercurrent of judicial restraint in cases where copyright enforcement risks encroaching upon ideological pluralism and public debate.</w:t>
      </w:r>
      <w:r w:rsidRPr="00DA38D9">
        <w:rPr>
          <w:rFonts w:cs="Times New Roman"/>
          <w:bCs/>
          <w:vertAlign w:val="superscript"/>
          <w:lang w:val="en-GB"/>
        </w:rPr>
        <w:footnoteReference w:id="29"/>
      </w:r>
    </w:p>
    <w:p w14:paraId="10A05738" w14:textId="4439DE24" w:rsidR="00DA38D9" w:rsidRPr="00DA38D9" w:rsidRDefault="00DA38D9" w:rsidP="00DA38D9">
      <w:pPr>
        <w:jc w:val="both"/>
        <w:rPr>
          <w:rFonts w:cs="Times New Roman"/>
          <w:bCs/>
          <w:lang w:val="en-GB"/>
        </w:rPr>
      </w:pPr>
      <w:r w:rsidRPr="00DA38D9">
        <w:rPr>
          <w:rFonts w:cs="Times New Roman"/>
          <w:bCs/>
          <w:lang w:val="en-GB"/>
        </w:rPr>
        <w:t xml:space="preserve">Further support for this rights-aware approach can be found in </w:t>
      </w:r>
      <w:r w:rsidR="00260BCC">
        <w:rPr>
          <w:rFonts w:cs="Times New Roman"/>
          <w:bCs/>
          <w:lang w:val="en-GB"/>
        </w:rPr>
        <w:t xml:space="preserve">case </w:t>
      </w:r>
      <w:r w:rsidRPr="00DA38D9">
        <w:rPr>
          <w:rFonts w:cs="Times New Roman"/>
          <w:bCs/>
          <w:lang w:val="en-GB"/>
        </w:rPr>
        <w:t>PMT 17286-19’s companion case PMFT 2585-17, where the court reiterated that the copyright system must be interpreted in light of overriding constitutional principles.</w:t>
      </w:r>
      <w:r w:rsidRPr="00DA38D9">
        <w:rPr>
          <w:rFonts w:cs="Times New Roman"/>
          <w:bCs/>
          <w:vertAlign w:val="superscript"/>
          <w:lang w:val="en-GB"/>
        </w:rPr>
        <w:footnoteReference w:id="30"/>
      </w:r>
      <w:r w:rsidRPr="00DA38D9">
        <w:rPr>
          <w:rFonts w:cs="Times New Roman"/>
          <w:bCs/>
          <w:lang w:val="en-GB"/>
        </w:rPr>
        <w:t xml:space="preserve"> It held that even where an infringement is technically established, the purpose and necessity of </w:t>
      </w:r>
      <w:r w:rsidRPr="00DA38D9">
        <w:rPr>
          <w:rFonts w:cs="Times New Roman"/>
          <w:bCs/>
          <w:lang w:val="en-GB"/>
        </w:rPr>
        <w:lastRenderedPageBreak/>
        <w:t>enforcement must be scrutinized. The court noted that disproportionate enforcement could deter legitimate uses, and that courts must avoid granting remedies that result in a chilling effect on constitutionally protected expression.</w:t>
      </w:r>
    </w:p>
    <w:p w14:paraId="723EA987" w14:textId="77777777" w:rsidR="00DA38D9" w:rsidRPr="00DA38D9" w:rsidRDefault="00DA38D9" w:rsidP="00DA38D9">
      <w:pPr>
        <w:jc w:val="both"/>
        <w:rPr>
          <w:rFonts w:cs="Times New Roman"/>
          <w:bCs/>
          <w:lang w:val="en-GB"/>
        </w:rPr>
      </w:pPr>
      <w:r w:rsidRPr="00DA38D9">
        <w:rPr>
          <w:rFonts w:cs="Times New Roman"/>
          <w:bCs/>
          <w:lang w:val="en-GB"/>
        </w:rPr>
        <w:t xml:space="preserve">The approach adopted in these cases aligns with the proportionality doctrine, which requires that restrictions on fundamental rights, such as freedom of expression or the right to present evidence, must be suitable, necessary, and proportionate to the legitimate aim pursued. This principle has been affirmed by the Court of Justice of the European Union in C 469/17 Funke </w:t>
      </w:r>
      <w:proofErr w:type="spellStart"/>
      <w:r w:rsidRPr="00DA38D9">
        <w:rPr>
          <w:rFonts w:cs="Times New Roman"/>
          <w:bCs/>
          <w:lang w:val="en-GB"/>
        </w:rPr>
        <w:t>Medien</w:t>
      </w:r>
      <w:proofErr w:type="spellEnd"/>
      <w:r w:rsidRPr="00DA38D9">
        <w:rPr>
          <w:rFonts w:cs="Times New Roman"/>
          <w:bCs/>
          <w:lang w:val="en-GB"/>
        </w:rPr>
        <w:t>, where the Court emphasized that any limitation of fundamental rights, such as those protected under the Charter of Fundamental Rights of the European Union, must comply with the principle of proportionality. Swedish courts do not rely on rigid hierarchies of norms but rather conduct a case-by-case balancing based on the function and context of the expression in question. The courts often apply implicit constitutional interpretation, recognizing when copyright enforcement would unduly interfere with democratic discourse or procedural equity.</w:t>
      </w:r>
      <w:r w:rsidRPr="00DA38D9">
        <w:rPr>
          <w:rFonts w:cs="Times New Roman"/>
          <w:bCs/>
          <w:vertAlign w:val="superscript"/>
          <w:lang w:val="en-GB"/>
        </w:rPr>
        <w:footnoteReference w:id="31"/>
      </w:r>
    </w:p>
    <w:p w14:paraId="2F3FB04D" w14:textId="372AB808" w:rsidR="00DA38D9" w:rsidRPr="00DA38D9" w:rsidRDefault="00DA38D9" w:rsidP="00DA38D9">
      <w:pPr>
        <w:jc w:val="both"/>
        <w:rPr>
          <w:rFonts w:cs="Times New Roman"/>
          <w:bCs/>
          <w:lang w:val="en-GB"/>
        </w:rPr>
      </w:pPr>
      <w:r w:rsidRPr="00DA38D9">
        <w:rPr>
          <w:rFonts w:cs="Times New Roman"/>
          <w:bCs/>
          <w:lang w:val="en-GB"/>
        </w:rPr>
        <w:t xml:space="preserve">Statutory limitations within the Swedish Copyright Act function as further safeguards for expressive uses. The Act includes exceptions for quotation, parody, news reporting, and critique, mechanisms that ensure copyright enforcement does not disproportionately limit </w:t>
      </w:r>
      <w:r w:rsidR="007A3389">
        <w:rPr>
          <w:rFonts w:cs="Times New Roman"/>
          <w:bCs/>
          <w:lang w:val="en-GB"/>
        </w:rPr>
        <w:t>freedom of speech</w:t>
      </w:r>
      <w:r w:rsidRPr="00DA38D9">
        <w:rPr>
          <w:rFonts w:cs="Times New Roman"/>
          <w:bCs/>
          <w:lang w:val="en-GB"/>
        </w:rPr>
        <w:t>. These exceptions, codified in sections 22 to 26 of the Act, have been interpreted in light of both domestic constitutional provisions and Article 10 ECHR</w:t>
      </w:r>
      <w:r w:rsidRPr="00DA38D9">
        <w:rPr>
          <w:rFonts w:cs="Times New Roman"/>
          <w:bCs/>
          <w:vertAlign w:val="superscript"/>
          <w:lang w:val="en-GB"/>
        </w:rPr>
        <w:footnoteReference w:id="32"/>
      </w:r>
      <w:r w:rsidRPr="00DA38D9">
        <w:rPr>
          <w:rFonts w:cs="Times New Roman"/>
          <w:bCs/>
          <w:lang w:val="en-GB"/>
        </w:rPr>
        <w:t>. For instance, the exception for parody under section 23 has been used as a shield in cases involving satirical reinterpretation of protected works, consistent with the view that humour and social commentary lie at the heart of</w:t>
      </w:r>
      <w:r w:rsidR="00260BCC">
        <w:rPr>
          <w:rFonts w:cs="Times New Roman"/>
          <w:bCs/>
          <w:lang w:val="en-GB"/>
        </w:rPr>
        <w:t xml:space="preserve"> freedom of expression</w:t>
      </w:r>
      <w:r w:rsidRPr="00DA38D9">
        <w:rPr>
          <w:rFonts w:cs="Times New Roman"/>
          <w:bCs/>
          <w:lang w:val="en-GB"/>
        </w:rPr>
        <w:t>.</w:t>
      </w:r>
      <w:r w:rsidRPr="00DA38D9">
        <w:rPr>
          <w:rFonts w:cs="Times New Roman"/>
          <w:bCs/>
          <w:vertAlign w:val="superscript"/>
          <w:lang w:val="en-GB"/>
        </w:rPr>
        <w:footnoteReference w:id="33"/>
      </w:r>
    </w:p>
    <w:p w14:paraId="395B4C52" w14:textId="77777777" w:rsidR="00DA38D9" w:rsidRPr="00DA38D9" w:rsidRDefault="00DA38D9" w:rsidP="00DA38D9">
      <w:pPr>
        <w:jc w:val="both"/>
        <w:rPr>
          <w:rFonts w:cs="Times New Roman"/>
          <w:bCs/>
          <w:lang w:val="en-GB"/>
        </w:rPr>
      </w:pPr>
      <w:r w:rsidRPr="00DA38D9">
        <w:rPr>
          <w:rFonts w:cs="Times New Roman"/>
          <w:bCs/>
          <w:lang w:val="en-GB"/>
        </w:rPr>
        <w:t>At a structural level, Swedish courts do not grant copyright enforcement automatic priority over expressive rights. Rather, the courts engage in a case-by-case assessment of all relevant circumstances, including the type and severity of the infringement, the function of the expression in question, the public interest in its dissemination, and the availability of alternative channels for expression.</w:t>
      </w:r>
      <w:r w:rsidRPr="00DA38D9">
        <w:rPr>
          <w:rFonts w:cs="Times New Roman"/>
          <w:bCs/>
          <w:vertAlign w:val="superscript"/>
          <w:lang w:val="en-GB"/>
        </w:rPr>
        <w:footnoteReference w:id="34"/>
      </w:r>
      <w:r w:rsidRPr="00DA38D9">
        <w:rPr>
          <w:rFonts w:cs="Times New Roman"/>
          <w:bCs/>
          <w:lang w:val="en-GB"/>
        </w:rPr>
        <w:t xml:space="preserve"> This nuanced approach avoids formal hierarchies between rights and instead relies on principled balancing under the auspices of proportionality.</w:t>
      </w:r>
      <w:r w:rsidRPr="00DA38D9">
        <w:rPr>
          <w:rFonts w:cs="Times New Roman"/>
          <w:bCs/>
          <w:vertAlign w:val="superscript"/>
          <w:lang w:val="en-GB"/>
        </w:rPr>
        <w:footnoteReference w:id="35"/>
      </w:r>
    </w:p>
    <w:p w14:paraId="50188E1F" w14:textId="0724AFC7" w:rsidR="00DA38D9" w:rsidRPr="004A1803" w:rsidRDefault="00B065F5" w:rsidP="00DA38D9">
      <w:pPr>
        <w:jc w:val="both"/>
        <w:rPr>
          <w:rFonts w:cs="Times New Roman"/>
          <w:bCs/>
          <w:i/>
          <w:iCs/>
          <w:lang w:val="en-GB"/>
        </w:rPr>
      </w:pPr>
      <w:r>
        <w:rPr>
          <w:rFonts w:cs="Times New Roman"/>
          <w:bCs/>
          <w:i/>
          <w:iCs/>
          <w:lang w:val="en-GB"/>
        </w:rPr>
        <w:t>5</w:t>
      </w:r>
      <w:r w:rsidR="004A1803" w:rsidRPr="004A1803">
        <w:rPr>
          <w:rFonts w:cs="Times New Roman"/>
          <w:bCs/>
          <w:i/>
          <w:iCs/>
          <w:lang w:val="en-GB"/>
        </w:rPr>
        <w:t xml:space="preserve">.2 </w:t>
      </w:r>
      <w:r w:rsidR="00DA38D9" w:rsidRPr="004A1803">
        <w:rPr>
          <w:rFonts w:cs="Times New Roman"/>
          <w:bCs/>
          <w:i/>
          <w:iCs/>
          <w:lang w:val="en-GB"/>
        </w:rPr>
        <w:t xml:space="preserve">Case Law </w:t>
      </w:r>
      <w:r w:rsidR="004D19D3">
        <w:rPr>
          <w:rFonts w:cs="Times New Roman"/>
          <w:bCs/>
          <w:i/>
          <w:iCs/>
          <w:lang w:val="en-GB"/>
        </w:rPr>
        <w:t>-</w:t>
      </w:r>
      <w:r w:rsidR="004A1803" w:rsidRPr="004A1803">
        <w:rPr>
          <w:rFonts w:cs="Times New Roman"/>
          <w:bCs/>
          <w:i/>
          <w:iCs/>
          <w:lang w:val="en-GB"/>
        </w:rPr>
        <w:t xml:space="preserve"> </w:t>
      </w:r>
      <w:r w:rsidR="004A1803">
        <w:rPr>
          <w:rFonts w:cs="Times New Roman"/>
          <w:bCs/>
          <w:i/>
          <w:iCs/>
          <w:lang w:val="en-GB"/>
        </w:rPr>
        <w:t xml:space="preserve">The </w:t>
      </w:r>
      <w:r w:rsidR="004A1803" w:rsidRPr="004A1803">
        <w:rPr>
          <w:rFonts w:cs="Times New Roman"/>
          <w:bCs/>
          <w:i/>
          <w:iCs/>
          <w:lang w:val="en-GB"/>
        </w:rPr>
        <w:t>Balance</w:t>
      </w:r>
      <w:r w:rsidR="00DA38D9" w:rsidRPr="004A1803">
        <w:rPr>
          <w:rFonts w:cs="Times New Roman"/>
          <w:bCs/>
          <w:i/>
          <w:iCs/>
          <w:lang w:val="en-GB"/>
        </w:rPr>
        <w:t xml:space="preserve"> Between Copyright Enforcement and Fundamental Rights</w:t>
      </w:r>
    </w:p>
    <w:p w14:paraId="7DCB2A7A" w14:textId="77777777" w:rsidR="00DA38D9" w:rsidRPr="00DA38D9" w:rsidRDefault="00DA38D9" w:rsidP="00DA38D9">
      <w:pPr>
        <w:jc w:val="both"/>
        <w:rPr>
          <w:rFonts w:cs="Times New Roman"/>
          <w:bCs/>
          <w:lang w:val="en-GB"/>
        </w:rPr>
      </w:pPr>
      <w:r w:rsidRPr="00DA38D9">
        <w:rPr>
          <w:rFonts w:cs="Times New Roman"/>
          <w:bCs/>
          <w:lang w:val="en-GB"/>
        </w:rPr>
        <w:t xml:space="preserve">Swedish case law contains several notable examples where the enforcement of copyright has been legally challenged, either explicitly or implicitly, on the basis of fundamental rights such as freedom of expression and </w:t>
      </w:r>
      <w:r w:rsidRPr="00DA38D9">
        <w:rPr>
          <w:rFonts w:cs="Times New Roman"/>
          <w:bCs/>
          <w:lang w:val="en-GB"/>
        </w:rPr>
        <w:lastRenderedPageBreak/>
        <w:t>the right to a fair trial. These cases demonstrate that Swedish courts are sensitive to the potential for disproportionate enforcement and often invoke principles of necessity and proportionality to reconcile competing legal interests.</w:t>
      </w:r>
      <w:r w:rsidRPr="00DA38D9">
        <w:rPr>
          <w:rFonts w:cs="Times New Roman"/>
          <w:bCs/>
          <w:vertAlign w:val="superscript"/>
          <w:lang w:val="en-GB"/>
        </w:rPr>
        <w:footnoteReference w:id="36"/>
      </w:r>
    </w:p>
    <w:p w14:paraId="34187864" w14:textId="77777777" w:rsidR="00DA38D9" w:rsidRPr="00DA38D9" w:rsidRDefault="00DA38D9" w:rsidP="00DA38D9">
      <w:pPr>
        <w:jc w:val="both"/>
        <w:rPr>
          <w:rFonts w:cs="Times New Roman"/>
          <w:bCs/>
          <w:lang w:val="en-GB"/>
        </w:rPr>
      </w:pPr>
      <w:r w:rsidRPr="00DA38D9">
        <w:rPr>
          <w:rFonts w:cs="Times New Roman"/>
          <w:bCs/>
          <w:lang w:val="en-GB"/>
        </w:rPr>
        <w:t>One of the most prominent and legally significant cases concerning the intersection between copyright regulation and fundamental rights is RH 2013:27, involving the four founders of the digital file-sharing service The Pirate Bay.</w:t>
      </w:r>
      <w:r w:rsidRPr="00DA38D9">
        <w:rPr>
          <w:rFonts w:cs="Times New Roman"/>
          <w:bCs/>
          <w:vertAlign w:val="superscript"/>
          <w:lang w:val="en-GB"/>
        </w:rPr>
        <w:footnoteReference w:id="37"/>
      </w:r>
      <w:r w:rsidRPr="00DA38D9">
        <w:rPr>
          <w:rFonts w:cs="Times New Roman"/>
          <w:bCs/>
          <w:lang w:val="en-GB"/>
        </w:rPr>
        <w:t xml:space="preserve"> The defendants were convicted by Swedish courts for aiding and abetting extensive copyright infringement by enabling and promoting the illegal dissemination of protected works via a peer-to-peer-based platform. Although the case was primarily criminal in nature, it raised fundamental legal questions regarding the boundary between copyright protection and freedom of expression, particularly in the context of a digital information society where traditional distribution channels have been replaced by decentralized mass-distribution platforms.</w:t>
      </w:r>
    </w:p>
    <w:p w14:paraId="29CF6879" w14:textId="77777777" w:rsidR="00DA38D9" w:rsidRPr="00DA38D9" w:rsidRDefault="00DA38D9" w:rsidP="00DA38D9">
      <w:pPr>
        <w:jc w:val="both"/>
        <w:rPr>
          <w:rFonts w:cs="Times New Roman"/>
          <w:bCs/>
          <w:lang w:val="en-GB"/>
        </w:rPr>
      </w:pPr>
      <w:r w:rsidRPr="00DA38D9">
        <w:rPr>
          <w:rFonts w:cs="Times New Roman"/>
          <w:bCs/>
          <w:lang w:val="en-GB"/>
        </w:rPr>
        <w:t>The defendants brought their case before the European Court of Human Rights, arguing that the Swedish state's criminal enforcement of copyright law constituted a disproportionate interference with their right to freedom of expression under Article 10 of the European Convention on Human Rights. The Court acknowledged that Article 10 was applicable and that the provision of technical infrastructure for information sharing could fall within the scope of protected expression. Nevertheless, the Court found that the restriction pursued a legitimate aim, namely, the protection of property rights under Article 1 of Protocol No. 1 to the Convention, was prescribed by law, and was necessary in a democratic society.</w:t>
      </w:r>
      <w:r w:rsidRPr="00DA38D9">
        <w:rPr>
          <w:rFonts w:cs="Times New Roman"/>
          <w:bCs/>
          <w:vertAlign w:val="superscript"/>
          <w:lang w:val="en-GB"/>
        </w:rPr>
        <w:footnoteReference w:id="38"/>
      </w:r>
      <w:r w:rsidRPr="00DA38D9">
        <w:rPr>
          <w:rFonts w:cs="Times New Roman"/>
          <w:bCs/>
          <w:lang w:val="en-GB"/>
        </w:rPr>
        <w:t xml:space="preserve"> In its proportionality assessment, the Court placed particular emphasis on the scale of the infringement facilitated by the platform, its commercial nature, and the defendants’ failure to take any meaningful steps to prevent or limit the dissemination of protected material.</w:t>
      </w:r>
    </w:p>
    <w:p w14:paraId="14E7C320" w14:textId="77777777" w:rsidR="00DA38D9" w:rsidRPr="00DA38D9" w:rsidRDefault="00DA38D9" w:rsidP="00DA38D9">
      <w:pPr>
        <w:jc w:val="both"/>
        <w:rPr>
          <w:rFonts w:cs="Times New Roman"/>
          <w:bCs/>
          <w:lang w:val="en-GB"/>
        </w:rPr>
      </w:pPr>
      <w:r w:rsidRPr="00DA38D9">
        <w:rPr>
          <w:rFonts w:cs="Times New Roman"/>
          <w:bCs/>
          <w:lang w:val="en-GB"/>
        </w:rPr>
        <w:t>The case clarified that although freedom of expression is a cornerstone of any democratic society, it is not absolute and cannot be extended to protect conduct that is, in essence, aimed at facilitating systematic copyright infringement. The Court thus established that freedom of expression cannot be invoked as a general defence against copyright enforcement where the act of expression consists in enabling the large-scale unlawful dissemination of protected works. The judgment has since gained precedent-setting significance both in Sweden and at the European level and has been reaffirmed in later case law and extensively discussed in academic literature.</w:t>
      </w:r>
    </w:p>
    <w:p w14:paraId="0C152B09" w14:textId="3FDDFC03" w:rsidR="00DA38D9" w:rsidRPr="00DA38D9" w:rsidRDefault="00260BCC" w:rsidP="00DA38D9">
      <w:pPr>
        <w:jc w:val="both"/>
        <w:rPr>
          <w:rFonts w:cs="Times New Roman"/>
          <w:bCs/>
          <w:lang w:val="en-GB"/>
        </w:rPr>
      </w:pPr>
      <w:r>
        <w:rPr>
          <w:rFonts w:cs="Times New Roman"/>
          <w:bCs/>
          <w:lang w:val="en-GB"/>
        </w:rPr>
        <w:t xml:space="preserve">Another important decision </w:t>
      </w:r>
      <w:r w:rsidR="00DA38D9" w:rsidRPr="00DA38D9">
        <w:rPr>
          <w:rFonts w:cs="Times New Roman"/>
          <w:bCs/>
          <w:lang w:val="en-GB"/>
        </w:rPr>
        <w:t xml:space="preserve">involving the interplay of fundamental rights is </w:t>
      </w:r>
      <w:r>
        <w:rPr>
          <w:rFonts w:cs="Times New Roman"/>
          <w:bCs/>
          <w:lang w:val="en-GB"/>
        </w:rPr>
        <w:t xml:space="preserve">case </w:t>
      </w:r>
      <w:r w:rsidR="00DA38D9" w:rsidRPr="00DA38D9">
        <w:rPr>
          <w:rFonts w:cs="Times New Roman"/>
          <w:bCs/>
          <w:lang w:val="en-GB"/>
        </w:rPr>
        <w:t>PMFT 4717-18, which concerned the use of copyright-protected photographs as evidence in civil proceedings.</w:t>
      </w:r>
      <w:r w:rsidR="00DA38D9" w:rsidRPr="00DA38D9">
        <w:rPr>
          <w:rFonts w:cs="Times New Roman"/>
          <w:bCs/>
          <w:vertAlign w:val="superscript"/>
          <w:lang w:val="en-GB"/>
        </w:rPr>
        <w:footnoteReference w:id="39"/>
      </w:r>
      <w:r w:rsidR="00DA38D9" w:rsidRPr="00DA38D9">
        <w:rPr>
          <w:rFonts w:cs="Times New Roman"/>
          <w:bCs/>
          <w:lang w:val="en-GB"/>
        </w:rPr>
        <w:t xml:space="preserve"> The photographer brought an infringement claim, arguing that the opposing party had reproduced and disseminated the photographs without authorisation. While the court acknowledged that technical infringement had occurred, it considered the context, namely, the use of the material as part of the defendant’s evidentiary submissions, and held that such use must, in certain circumstances, be accepted in order to satisfy the right to a fair trial under Article 6 of the ECHR.</w:t>
      </w:r>
      <w:r w:rsidR="00DA38D9" w:rsidRPr="00DA38D9">
        <w:rPr>
          <w:rFonts w:cs="Times New Roman"/>
          <w:bCs/>
          <w:vertAlign w:val="superscript"/>
          <w:lang w:val="en-GB"/>
        </w:rPr>
        <w:footnoteReference w:id="40"/>
      </w:r>
      <w:r w:rsidR="00DA38D9" w:rsidRPr="00DA38D9">
        <w:rPr>
          <w:rFonts w:cs="Times New Roman"/>
          <w:bCs/>
          <w:lang w:val="en-GB"/>
        </w:rPr>
        <w:t xml:space="preserve"> The court therefore awarded only symbolic damages and denied the claimant full reimbursement of litigation costs. This </w:t>
      </w:r>
      <w:r w:rsidR="00DA38D9" w:rsidRPr="00DA38D9">
        <w:rPr>
          <w:rFonts w:cs="Times New Roman"/>
          <w:bCs/>
          <w:lang w:val="en-GB"/>
        </w:rPr>
        <w:lastRenderedPageBreak/>
        <w:t>ruling is particularly significant as it indicates that procedural rights may, in some instances, outweigh the exclusivity conferred by copyright. It thus contributes to the development of Swedish law in addressing cases involving conflicting protected rights, where evidentiary interests and procedural fairness must be balanced against intellectual property claims.</w:t>
      </w:r>
    </w:p>
    <w:p w14:paraId="23209CC3" w14:textId="5CD7FABA" w:rsidR="00DA38D9" w:rsidRPr="00DA38D9" w:rsidRDefault="00DA38D9" w:rsidP="00DA38D9">
      <w:pPr>
        <w:jc w:val="both"/>
        <w:rPr>
          <w:rFonts w:cs="Times New Roman"/>
          <w:bCs/>
          <w:lang w:val="en-GB"/>
        </w:rPr>
      </w:pPr>
      <w:r w:rsidRPr="00DA38D9">
        <w:rPr>
          <w:rFonts w:cs="Times New Roman"/>
          <w:bCs/>
          <w:lang w:val="en-GB"/>
        </w:rPr>
        <w:t xml:space="preserve">Taken together, these cases demonstrate that Swedish courts apply a contextual and rights-conscious approach when copyright protection potentially conflicts with fundamental rights. Courts acknowledge, either expressly or implicitly, that both freedom of expression and the right to a fair trial enjoy constitutional and Convention-based status, and that copyright must be exercised within the boundaries set by these rights. Accordingly, there is a clear tendency in Swedish jurisprudence to avoid granting copyright claims automatic precedence. Rather, each case is assessed individually, considering the nature of the expression, the purpose of the use, its context, and the broader public interest in protecting </w:t>
      </w:r>
      <w:r w:rsidR="00260BCC">
        <w:rPr>
          <w:rFonts w:cs="Times New Roman"/>
          <w:bCs/>
          <w:lang w:val="en-GB"/>
        </w:rPr>
        <w:t xml:space="preserve">freedom of speech. </w:t>
      </w:r>
    </w:p>
    <w:p w14:paraId="1C81C5FA" w14:textId="7EB71201" w:rsidR="00DA38D9" w:rsidRPr="00DA38D9" w:rsidRDefault="00DA38D9" w:rsidP="00DC6B1B">
      <w:pPr>
        <w:jc w:val="both"/>
        <w:rPr>
          <w:rFonts w:cs="Times New Roman"/>
          <w:bCs/>
          <w:lang w:val="en-GB"/>
        </w:rPr>
      </w:pPr>
      <w:r w:rsidRPr="00DA38D9">
        <w:rPr>
          <w:rFonts w:cs="Times New Roman"/>
          <w:bCs/>
          <w:lang w:val="en-GB"/>
        </w:rPr>
        <w:t xml:space="preserve">In conclusion, Swedish case law and doctrine show that courts are increasingly attentive to the constitutional and human rights implications of copyright enforcement. </w:t>
      </w:r>
      <w:r w:rsidR="00260BCC">
        <w:rPr>
          <w:rFonts w:cs="Times New Roman"/>
          <w:bCs/>
          <w:lang w:val="en-GB"/>
        </w:rPr>
        <w:t>T</w:t>
      </w:r>
      <w:r w:rsidRPr="00DA38D9">
        <w:rPr>
          <w:rFonts w:cs="Times New Roman"/>
          <w:bCs/>
          <w:lang w:val="en-GB"/>
        </w:rPr>
        <w:t>he jurisprudence indicates a consistent judicial effort to avoid disproportionate outcomes. The Swedish legal system recognises that copyright must not only serve the interests of creators but also be exercised in a manner consistent with democratic values and protected freedoms.</w:t>
      </w:r>
    </w:p>
    <w:p w14:paraId="0DAD8728" w14:textId="5F450F8B" w:rsidR="00CF425B" w:rsidRDefault="00CF425B" w:rsidP="00CF425B">
      <w:pPr>
        <w:jc w:val="both"/>
        <w:rPr>
          <w:rFonts w:cs="Times New Roman"/>
          <w:b/>
          <w:lang w:val="en-US"/>
        </w:rPr>
      </w:pPr>
      <w:r>
        <w:rPr>
          <w:rFonts w:cs="Times New Roman"/>
          <w:b/>
          <w:lang w:val="en-US"/>
        </w:rPr>
        <w:t>7</w:t>
      </w:r>
      <w:r w:rsidRPr="00DC6B1B">
        <w:rPr>
          <w:rFonts w:cs="Times New Roman"/>
          <w:b/>
          <w:lang w:val="en-US"/>
        </w:rPr>
        <w:t xml:space="preserve">. </w:t>
      </w:r>
      <w:r>
        <w:rPr>
          <w:rFonts w:cs="Times New Roman"/>
          <w:b/>
          <w:lang w:val="en-US"/>
        </w:rPr>
        <w:t xml:space="preserve">Reflection </w:t>
      </w:r>
      <w:r w:rsidR="00E43078">
        <w:rPr>
          <w:rFonts w:cs="Times New Roman"/>
          <w:b/>
          <w:lang w:val="en-US"/>
        </w:rPr>
        <w:t xml:space="preserve">and </w:t>
      </w:r>
      <w:r w:rsidR="008E5498">
        <w:rPr>
          <w:rFonts w:cs="Times New Roman"/>
          <w:b/>
          <w:lang w:val="en-US"/>
        </w:rPr>
        <w:t>C</w:t>
      </w:r>
      <w:r w:rsidR="00E43078">
        <w:rPr>
          <w:rFonts w:cs="Times New Roman"/>
          <w:b/>
          <w:lang w:val="en-US"/>
        </w:rPr>
        <w:t xml:space="preserve">oncluding </w:t>
      </w:r>
      <w:r w:rsidR="008E5498">
        <w:rPr>
          <w:rFonts w:cs="Times New Roman"/>
          <w:b/>
          <w:lang w:val="en-US"/>
        </w:rPr>
        <w:t>R</w:t>
      </w:r>
      <w:r w:rsidR="00E43078">
        <w:rPr>
          <w:rFonts w:cs="Times New Roman"/>
          <w:b/>
          <w:lang w:val="en-US"/>
        </w:rPr>
        <w:t xml:space="preserve">emarks </w:t>
      </w:r>
    </w:p>
    <w:p w14:paraId="709D3C8E" w14:textId="2A009E4E" w:rsidR="008E5498" w:rsidRDefault="00AE55CB" w:rsidP="009969B4">
      <w:pPr>
        <w:jc w:val="both"/>
        <w:rPr>
          <w:rFonts w:cs="Times New Roman"/>
          <w:bCs/>
          <w:lang w:val="en-US"/>
        </w:rPr>
      </w:pPr>
      <w:r>
        <w:rPr>
          <w:rFonts w:cs="Times New Roman"/>
          <w:bCs/>
          <w:lang w:val="en-US"/>
        </w:rPr>
        <w:t xml:space="preserve">Online platforms are required to adopt measures to remove and tackle </w:t>
      </w:r>
      <w:r w:rsidR="00945089">
        <w:rPr>
          <w:rFonts w:cs="Times New Roman"/>
          <w:bCs/>
          <w:lang w:val="en-US"/>
        </w:rPr>
        <w:t>unlawful</w:t>
      </w:r>
      <w:r>
        <w:rPr>
          <w:rFonts w:cs="Times New Roman"/>
          <w:bCs/>
          <w:lang w:val="en-US"/>
        </w:rPr>
        <w:t xml:space="preserve"> content published on their platforms</w:t>
      </w:r>
      <w:r w:rsidR="00CB018B">
        <w:rPr>
          <w:rFonts w:cs="Times New Roman"/>
          <w:bCs/>
          <w:lang w:val="en-US"/>
        </w:rPr>
        <w:t xml:space="preserve"> by users</w:t>
      </w:r>
      <w:r>
        <w:rPr>
          <w:rFonts w:cs="Times New Roman"/>
          <w:bCs/>
          <w:lang w:val="en-US"/>
        </w:rPr>
        <w:t>. To avoid being liable for</w:t>
      </w:r>
      <w:r w:rsidR="00AB027E">
        <w:rPr>
          <w:rFonts w:cs="Times New Roman"/>
          <w:bCs/>
          <w:lang w:val="en-US"/>
        </w:rPr>
        <w:t xml:space="preserve"> content that entails infringements</w:t>
      </w:r>
      <w:r w:rsidR="008E5498">
        <w:rPr>
          <w:rFonts w:cs="Times New Roman"/>
          <w:bCs/>
          <w:lang w:val="en-US"/>
        </w:rPr>
        <w:t>,</w:t>
      </w:r>
      <w:r>
        <w:rPr>
          <w:rFonts w:cs="Times New Roman"/>
          <w:bCs/>
          <w:lang w:val="en-US"/>
        </w:rPr>
        <w:t xml:space="preserve"> they need to take effective measures to remove content. Online platforms can be held liable in the act of not removing </w:t>
      </w:r>
      <w:r w:rsidR="00945089">
        <w:rPr>
          <w:rFonts w:cs="Times New Roman"/>
          <w:bCs/>
          <w:lang w:val="en-US"/>
        </w:rPr>
        <w:t>unlawful</w:t>
      </w:r>
      <w:r>
        <w:rPr>
          <w:rFonts w:cs="Times New Roman"/>
          <w:bCs/>
          <w:lang w:val="en-US"/>
        </w:rPr>
        <w:t xml:space="preserve"> content, but also</w:t>
      </w:r>
      <w:r w:rsidR="00FD14FC">
        <w:rPr>
          <w:rFonts w:cs="Times New Roman"/>
          <w:bCs/>
          <w:lang w:val="en-US"/>
        </w:rPr>
        <w:t xml:space="preserve"> directly</w:t>
      </w:r>
      <w:r>
        <w:rPr>
          <w:rFonts w:cs="Times New Roman"/>
          <w:bCs/>
          <w:lang w:val="en-US"/>
        </w:rPr>
        <w:t xml:space="preserve"> liable for the content being uploaded. </w:t>
      </w:r>
      <w:r w:rsidR="00FD14FC">
        <w:rPr>
          <w:rFonts w:cs="Times New Roman"/>
          <w:bCs/>
          <w:lang w:val="en-US"/>
        </w:rPr>
        <w:t>There is no responsibility for platforms to monitor their site or use specific measures to take down content such as algorithms or technical filters</w:t>
      </w:r>
      <w:r w:rsidR="00260BCC">
        <w:rPr>
          <w:rFonts w:cs="Times New Roman"/>
          <w:bCs/>
          <w:lang w:val="en-US"/>
        </w:rPr>
        <w:t xml:space="preserve">, </w:t>
      </w:r>
      <w:r w:rsidR="00E43078">
        <w:rPr>
          <w:rFonts w:cs="Times New Roman"/>
          <w:bCs/>
          <w:lang w:val="en-US"/>
        </w:rPr>
        <w:t xml:space="preserve">in respect </w:t>
      </w:r>
      <w:r w:rsidR="008E5498">
        <w:rPr>
          <w:rFonts w:cs="Times New Roman"/>
          <w:bCs/>
          <w:lang w:val="en-US"/>
        </w:rPr>
        <w:t>to</w:t>
      </w:r>
      <w:r w:rsidR="00E43078">
        <w:rPr>
          <w:rFonts w:cs="Times New Roman"/>
          <w:bCs/>
          <w:lang w:val="en-US"/>
        </w:rPr>
        <w:t xml:space="preserve"> freedom of expression</w:t>
      </w:r>
      <w:r w:rsidR="00FD14FC">
        <w:rPr>
          <w:rFonts w:cs="Times New Roman"/>
          <w:bCs/>
          <w:lang w:val="en-US"/>
        </w:rPr>
        <w:t xml:space="preserve"> </w:t>
      </w:r>
      <w:r w:rsidR="00E43078">
        <w:rPr>
          <w:rFonts w:cs="Times New Roman"/>
          <w:bCs/>
          <w:lang w:val="en-US"/>
        </w:rPr>
        <w:t>and</w:t>
      </w:r>
      <w:r w:rsidR="00FD14FC">
        <w:rPr>
          <w:rFonts w:cs="Times New Roman"/>
          <w:bCs/>
          <w:lang w:val="en-US"/>
        </w:rPr>
        <w:t xml:space="preserve"> the risk of over</w:t>
      </w:r>
      <w:r w:rsidR="00E43078">
        <w:rPr>
          <w:rFonts w:cs="Times New Roman"/>
          <w:bCs/>
          <w:lang w:val="en-US"/>
        </w:rPr>
        <w:t>-</w:t>
      </w:r>
      <w:r w:rsidR="00FD14FC">
        <w:rPr>
          <w:rFonts w:cs="Times New Roman"/>
          <w:bCs/>
          <w:lang w:val="en-US"/>
        </w:rPr>
        <w:t xml:space="preserve">removal of content. Any material taken down by online platforms shall be done with proportionality in mind. </w:t>
      </w:r>
    </w:p>
    <w:p w14:paraId="6203C83C" w14:textId="60C1156C" w:rsidR="00651E76" w:rsidRDefault="00E43078" w:rsidP="009969B4">
      <w:pPr>
        <w:jc w:val="both"/>
        <w:rPr>
          <w:rFonts w:cs="Times New Roman"/>
          <w:bCs/>
          <w:lang w:val="en-US"/>
        </w:rPr>
      </w:pPr>
      <w:r>
        <w:rPr>
          <w:rFonts w:cs="Times New Roman"/>
          <w:bCs/>
          <w:lang w:val="en-US"/>
        </w:rPr>
        <w:t xml:space="preserve">There is case law in Sweden which shows that we as many other European and non-European countries have intermediary services </w:t>
      </w:r>
      <w:r w:rsidR="00A1769D">
        <w:rPr>
          <w:rFonts w:cs="Times New Roman"/>
          <w:bCs/>
          <w:lang w:val="en-US"/>
        </w:rPr>
        <w:t xml:space="preserve">and </w:t>
      </w:r>
      <w:r>
        <w:rPr>
          <w:rFonts w:cs="Times New Roman"/>
          <w:bCs/>
          <w:lang w:val="en-US"/>
        </w:rPr>
        <w:t>face the difficulties in determining the</w:t>
      </w:r>
      <w:r w:rsidR="002306E5">
        <w:rPr>
          <w:rFonts w:cs="Times New Roman"/>
          <w:bCs/>
          <w:lang w:val="en-US"/>
        </w:rPr>
        <w:t xml:space="preserve"> exact</w:t>
      </w:r>
      <w:r>
        <w:rPr>
          <w:rFonts w:cs="Times New Roman"/>
          <w:bCs/>
          <w:lang w:val="en-US"/>
        </w:rPr>
        <w:t xml:space="preserve"> responsibilit</w:t>
      </w:r>
      <w:r w:rsidR="002306E5">
        <w:rPr>
          <w:rFonts w:cs="Times New Roman"/>
          <w:bCs/>
          <w:lang w:val="en-US"/>
        </w:rPr>
        <w:t>ies</w:t>
      </w:r>
      <w:r>
        <w:rPr>
          <w:rFonts w:cs="Times New Roman"/>
          <w:bCs/>
          <w:lang w:val="en-US"/>
        </w:rPr>
        <w:t xml:space="preserve"> of online platforms </w:t>
      </w:r>
      <w:r w:rsidR="002306E5">
        <w:rPr>
          <w:rFonts w:cs="Times New Roman"/>
          <w:bCs/>
          <w:lang w:val="en-US"/>
        </w:rPr>
        <w:t xml:space="preserve">with respect </w:t>
      </w:r>
      <w:r w:rsidR="00A1769D">
        <w:rPr>
          <w:rFonts w:cs="Times New Roman"/>
          <w:bCs/>
          <w:lang w:val="en-US"/>
        </w:rPr>
        <w:t xml:space="preserve">to </w:t>
      </w:r>
      <w:r w:rsidR="002306E5">
        <w:rPr>
          <w:rFonts w:cs="Times New Roman"/>
          <w:bCs/>
          <w:lang w:val="en-US"/>
        </w:rPr>
        <w:t xml:space="preserve">fundamental freedoms such as freedom of expression. To tackle the spread of </w:t>
      </w:r>
      <w:r w:rsidR="00AB027E">
        <w:rPr>
          <w:rFonts w:cs="Times New Roman"/>
          <w:bCs/>
          <w:lang w:val="en-US"/>
        </w:rPr>
        <w:t xml:space="preserve">unlawful content </w:t>
      </w:r>
      <w:r w:rsidR="002306E5">
        <w:rPr>
          <w:rFonts w:cs="Times New Roman"/>
          <w:bCs/>
          <w:lang w:val="en-US"/>
        </w:rPr>
        <w:t>through the global network, online platforms play a vital role.</w:t>
      </w:r>
      <w:r w:rsidR="00945089">
        <w:rPr>
          <w:rFonts w:cs="Times New Roman"/>
          <w:bCs/>
          <w:lang w:val="en-US"/>
        </w:rPr>
        <w:t xml:space="preserve"> Online platforms are known for not only storing content, but also</w:t>
      </w:r>
      <w:r w:rsidR="00B939DF" w:rsidRPr="00B939DF">
        <w:rPr>
          <w:lang w:val="en-US"/>
        </w:rPr>
        <w:t xml:space="preserve"> </w:t>
      </w:r>
      <w:r w:rsidR="00B939DF" w:rsidRPr="00B939DF">
        <w:rPr>
          <w:rFonts w:cs="Times New Roman"/>
          <w:bCs/>
          <w:lang w:val="en-US"/>
        </w:rPr>
        <w:t>where the dissemination to the public</w:t>
      </w:r>
      <w:r w:rsidR="00B939DF">
        <w:rPr>
          <w:rFonts w:cs="Times New Roman"/>
          <w:bCs/>
          <w:lang w:val="en-US"/>
        </w:rPr>
        <w:t xml:space="preserve"> is a main part of the organisation.</w:t>
      </w:r>
      <w:r w:rsidR="00945089">
        <w:rPr>
          <w:rFonts w:cs="Times New Roman"/>
          <w:bCs/>
          <w:lang w:val="en-US"/>
        </w:rPr>
        <w:t xml:space="preserve"> </w:t>
      </w:r>
      <w:r w:rsidR="0054014E">
        <w:rPr>
          <w:rFonts w:cs="Times New Roman"/>
          <w:bCs/>
          <w:lang w:val="en-US"/>
        </w:rPr>
        <w:t xml:space="preserve">For decades of not having enough mechanisms in place to give the platforms incentives to </w:t>
      </w:r>
      <w:r w:rsidR="00A34CB2">
        <w:rPr>
          <w:rFonts w:cs="Times New Roman"/>
          <w:bCs/>
          <w:lang w:val="en-US"/>
        </w:rPr>
        <w:t xml:space="preserve">take measures and </w:t>
      </w:r>
      <w:r w:rsidR="0054014E">
        <w:rPr>
          <w:rFonts w:cs="Times New Roman"/>
          <w:bCs/>
          <w:lang w:val="en-US"/>
        </w:rPr>
        <w:t xml:space="preserve">adopt stricter measures themselves </w:t>
      </w:r>
      <w:r w:rsidR="00CE1959">
        <w:rPr>
          <w:rFonts w:cs="Times New Roman"/>
          <w:bCs/>
          <w:lang w:val="en-US"/>
        </w:rPr>
        <w:t>to</w:t>
      </w:r>
      <w:r w:rsidR="0054014E">
        <w:rPr>
          <w:rFonts w:cs="Times New Roman"/>
          <w:bCs/>
          <w:lang w:val="en-US"/>
        </w:rPr>
        <w:t xml:space="preserve"> tackle the issue, </w:t>
      </w:r>
      <w:r w:rsidR="00C84F05">
        <w:rPr>
          <w:rFonts w:cs="Times New Roman"/>
          <w:bCs/>
          <w:lang w:val="en-US"/>
        </w:rPr>
        <w:t xml:space="preserve">with the introduction of the DSM and the DSA stricter measures and further mechanisms have been put into place. </w:t>
      </w:r>
    </w:p>
    <w:p w14:paraId="6E42B834" w14:textId="605D7A1D" w:rsidR="00E40047" w:rsidRDefault="00B31540" w:rsidP="009969B4">
      <w:pPr>
        <w:jc w:val="both"/>
        <w:rPr>
          <w:rFonts w:cs="Times New Roman"/>
          <w:bCs/>
          <w:lang w:val="en"/>
        </w:rPr>
      </w:pPr>
      <w:r>
        <w:rPr>
          <w:rFonts w:cs="Times New Roman"/>
          <w:bCs/>
          <w:lang w:val="en-US"/>
        </w:rPr>
        <w:t xml:space="preserve">As </w:t>
      </w:r>
      <w:r w:rsidR="00F060D8">
        <w:rPr>
          <w:rFonts w:cs="Times New Roman"/>
          <w:bCs/>
          <w:lang w:val="en-US"/>
        </w:rPr>
        <w:t xml:space="preserve">was raised in the preparatory work to the implementation of the DSA in Sweden, </w:t>
      </w:r>
      <w:r w:rsidR="00FE7482" w:rsidRPr="00FE7482">
        <w:rPr>
          <w:rFonts w:cs="Times New Roman"/>
          <w:bCs/>
          <w:lang w:val="en"/>
        </w:rPr>
        <w:t>the number, type and size of the providers of intermediary services established in Sweden are unclear</w:t>
      </w:r>
      <w:r w:rsidR="00FE7482">
        <w:rPr>
          <w:rFonts w:cs="Times New Roman"/>
          <w:bCs/>
          <w:lang w:val="en"/>
        </w:rPr>
        <w:t xml:space="preserve">. </w:t>
      </w:r>
      <w:r w:rsidR="00771236">
        <w:rPr>
          <w:rFonts w:cs="Times New Roman"/>
          <w:bCs/>
          <w:lang w:val="en"/>
        </w:rPr>
        <w:t xml:space="preserve">The evaluation of the online platforms measures for take down and how they adhere to their responsibilities is still yet to be done. </w:t>
      </w:r>
      <w:r w:rsidR="00817737">
        <w:rPr>
          <w:rFonts w:cs="Times New Roman"/>
          <w:bCs/>
          <w:lang w:val="en"/>
        </w:rPr>
        <w:t xml:space="preserve">There </w:t>
      </w:r>
      <w:r w:rsidR="00E472F3">
        <w:rPr>
          <w:rFonts w:cs="Times New Roman"/>
          <w:bCs/>
          <w:lang w:val="en"/>
        </w:rPr>
        <w:t>have</w:t>
      </w:r>
      <w:r w:rsidR="00817737">
        <w:rPr>
          <w:rFonts w:cs="Times New Roman"/>
          <w:bCs/>
          <w:lang w:val="en"/>
        </w:rPr>
        <w:t xml:space="preserve"> not yet been any published policies clarifying </w:t>
      </w:r>
      <w:r w:rsidR="008108A0">
        <w:rPr>
          <w:rFonts w:cs="Times New Roman"/>
          <w:bCs/>
          <w:lang w:val="en"/>
        </w:rPr>
        <w:t>the responsibilities of how to limit uploads of content or which measures that are more appropriate than others</w:t>
      </w:r>
      <w:r w:rsidR="00E40047">
        <w:rPr>
          <w:rFonts w:cs="Times New Roman"/>
          <w:bCs/>
          <w:lang w:val="en"/>
        </w:rPr>
        <w:t xml:space="preserve"> – which could be due to the uncertainty as to how many platforms established in Sweden that are affected</w:t>
      </w:r>
      <w:r w:rsidR="00A34CB2">
        <w:rPr>
          <w:rFonts w:cs="Times New Roman"/>
          <w:bCs/>
          <w:lang w:val="en"/>
        </w:rPr>
        <w:t xml:space="preserve"> by this legislation</w:t>
      </w:r>
      <w:r w:rsidR="00E40047">
        <w:rPr>
          <w:rFonts w:cs="Times New Roman"/>
          <w:bCs/>
          <w:lang w:val="en"/>
        </w:rPr>
        <w:t xml:space="preserve">. </w:t>
      </w:r>
    </w:p>
    <w:p w14:paraId="544E141C" w14:textId="1895CDB9" w:rsidR="00B31540" w:rsidRDefault="00E472F3" w:rsidP="009969B4">
      <w:pPr>
        <w:jc w:val="both"/>
        <w:rPr>
          <w:rFonts w:cs="Times New Roman"/>
          <w:bCs/>
          <w:lang w:val="en-US"/>
        </w:rPr>
      </w:pPr>
      <w:r>
        <w:rPr>
          <w:rFonts w:cs="Times New Roman"/>
          <w:bCs/>
          <w:lang w:val="en"/>
        </w:rPr>
        <w:t>Copyright infringements have historically been prioritized as actions that need to be prevented by online platforms</w:t>
      </w:r>
      <w:r w:rsidR="00594CE5">
        <w:rPr>
          <w:rFonts w:cs="Times New Roman"/>
          <w:bCs/>
          <w:lang w:val="en"/>
        </w:rPr>
        <w:t xml:space="preserve">, although there is no case indicating that this should be more valued than hate speech or other crimes that occur on these platforms. </w:t>
      </w:r>
      <w:r w:rsidR="002A78FE">
        <w:rPr>
          <w:rFonts w:cs="Times New Roman"/>
          <w:bCs/>
          <w:lang w:val="en"/>
        </w:rPr>
        <w:t xml:space="preserve">Approved </w:t>
      </w:r>
      <w:r w:rsidR="008E5498">
        <w:rPr>
          <w:rFonts w:cs="Times New Roman"/>
          <w:bCs/>
          <w:lang w:val="en"/>
        </w:rPr>
        <w:t>t</w:t>
      </w:r>
      <w:r w:rsidR="002A78FE">
        <w:rPr>
          <w:rFonts w:cs="Times New Roman"/>
          <w:bCs/>
          <w:lang w:val="en"/>
        </w:rPr>
        <w:t xml:space="preserve">rusted </w:t>
      </w:r>
      <w:r w:rsidR="008E5498">
        <w:rPr>
          <w:rFonts w:cs="Times New Roman"/>
          <w:bCs/>
          <w:lang w:val="en"/>
        </w:rPr>
        <w:t>f</w:t>
      </w:r>
      <w:r w:rsidR="002A78FE">
        <w:rPr>
          <w:rFonts w:cs="Times New Roman"/>
          <w:bCs/>
          <w:lang w:val="en"/>
        </w:rPr>
        <w:t>laggers</w:t>
      </w:r>
      <w:r w:rsidR="00A34CB2">
        <w:rPr>
          <w:rFonts w:cs="Times New Roman"/>
          <w:bCs/>
          <w:lang w:val="en"/>
        </w:rPr>
        <w:t xml:space="preserve">, which purpose is to notify platforms of illegal contents, </w:t>
      </w:r>
      <w:r w:rsidR="002A78FE">
        <w:rPr>
          <w:rFonts w:cs="Times New Roman"/>
          <w:bCs/>
          <w:lang w:val="en"/>
        </w:rPr>
        <w:t xml:space="preserve">in Sweden are as today </w:t>
      </w:r>
      <w:r w:rsidR="002A78FE" w:rsidRPr="002A78FE">
        <w:rPr>
          <w:rFonts w:cs="Times New Roman"/>
          <w:bCs/>
          <w:lang w:val="en-US"/>
        </w:rPr>
        <w:t>ECPAT Sweden and the Swedish Theft Preventions Association (SSF)</w:t>
      </w:r>
      <w:r w:rsidR="008E5498">
        <w:rPr>
          <w:rFonts w:cs="Times New Roman"/>
          <w:bCs/>
          <w:lang w:val="en-US"/>
        </w:rPr>
        <w:t xml:space="preserve">. From an IP-perspective and the interest of right </w:t>
      </w:r>
      <w:r w:rsidR="002A78FE">
        <w:rPr>
          <w:rFonts w:cs="Times New Roman"/>
          <w:bCs/>
          <w:lang w:val="en-US"/>
        </w:rPr>
        <w:t>holders</w:t>
      </w:r>
      <w:r w:rsidR="008E5498">
        <w:rPr>
          <w:rFonts w:cs="Times New Roman"/>
          <w:bCs/>
          <w:lang w:val="en-US"/>
        </w:rPr>
        <w:t xml:space="preserve">, </w:t>
      </w:r>
      <w:r w:rsidR="00A34CB2">
        <w:rPr>
          <w:rFonts w:cs="Times New Roman"/>
          <w:bCs/>
          <w:lang w:val="en-US"/>
        </w:rPr>
        <w:t>there is a need for</w:t>
      </w:r>
      <w:r w:rsidR="002A78FE">
        <w:rPr>
          <w:rFonts w:cs="Times New Roman"/>
          <w:bCs/>
          <w:lang w:val="en-US"/>
        </w:rPr>
        <w:t xml:space="preserve"> an organisation within the expertise of </w:t>
      </w:r>
      <w:r w:rsidR="008E5498">
        <w:rPr>
          <w:rFonts w:cs="Times New Roman"/>
          <w:bCs/>
          <w:lang w:val="en-US"/>
        </w:rPr>
        <w:t>IP</w:t>
      </w:r>
      <w:r w:rsidR="002A78FE">
        <w:rPr>
          <w:rFonts w:cs="Times New Roman"/>
          <w:bCs/>
          <w:lang w:val="en-US"/>
        </w:rPr>
        <w:t xml:space="preserve"> </w:t>
      </w:r>
      <w:r w:rsidR="00A34CB2">
        <w:rPr>
          <w:rFonts w:cs="Times New Roman"/>
          <w:bCs/>
          <w:lang w:val="en-US"/>
        </w:rPr>
        <w:t xml:space="preserve">to </w:t>
      </w:r>
      <w:r w:rsidR="002A78FE">
        <w:rPr>
          <w:rFonts w:cs="Times New Roman"/>
          <w:bCs/>
          <w:lang w:val="en-US"/>
        </w:rPr>
        <w:t xml:space="preserve">be appointed as trusted flagger as well. Naming a trusted flagger within this area of expertise would be </w:t>
      </w:r>
      <w:r w:rsidR="00C15F51">
        <w:rPr>
          <w:rFonts w:cs="Times New Roman"/>
          <w:bCs/>
          <w:lang w:val="en-US"/>
        </w:rPr>
        <w:t xml:space="preserve">the next step in strengthening the protection of </w:t>
      </w:r>
      <w:r w:rsidR="008E5498">
        <w:rPr>
          <w:rFonts w:cs="Times New Roman"/>
          <w:bCs/>
          <w:lang w:val="en-US"/>
        </w:rPr>
        <w:t>IP-</w:t>
      </w:r>
      <w:r w:rsidR="00C15F51">
        <w:rPr>
          <w:rFonts w:cs="Times New Roman"/>
          <w:bCs/>
          <w:lang w:val="en-US"/>
        </w:rPr>
        <w:t xml:space="preserve">material on online platforms. </w:t>
      </w:r>
      <w:r w:rsidR="00CD0F39">
        <w:rPr>
          <w:rFonts w:cs="Times New Roman"/>
          <w:bCs/>
          <w:lang w:val="en-US"/>
        </w:rPr>
        <w:t xml:space="preserve">Considering the interest in maintaining </w:t>
      </w:r>
      <w:r w:rsidR="00C15F51">
        <w:rPr>
          <w:rFonts w:cs="Times New Roman"/>
          <w:bCs/>
          <w:lang w:val="en-US"/>
        </w:rPr>
        <w:t xml:space="preserve">fair competition, it is necessary that the </w:t>
      </w:r>
      <w:r w:rsidR="00A71050">
        <w:rPr>
          <w:rFonts w:cs="Times New Roman"/>
          <w:bCs/>
          <w:lang w:val="en-US"/>
        </w:rPr>
        <w:t xml:space="preserve">trusted flagger can be deemed to be objective. </w:t>
      </w:r>
    </w:p>
    <w:p w14:paraId="06EEC17B" w14:textId="1F8F5F65" w:rsidR="00AB43F4" w:rsidRDefault="00AB43F4" w:rsidP="009969B4">
      <w:pPr>
        <w:jc w:val="both"/>
        <w:rPr>
          <w:rFonts w:cs="Times New Roman"/>
          <w:bCs/>
          <w:lang w:val="en-US"/>
        </w:rPr>
      </w:pPr>
      <w:r>
        <w:rPr>
          <w:rFonts w:cs="Times New Roman"/>
          <w:bCs/>
          <w:lang w:val="en-US"/>
        </w:rPr>
        <w:t xml:space="preserve">To conclude, the legal landscape for online platforms have </w:t>
      </w:r>
      <w:r w:rsidR="00CD0F39">
        <w:rPr>
          <w:rFonts w:cs="Times New Roman"/>
          <w:bCs/>
          <w:lang w:val="en-US"/>
        </w:rPr>
        <w:t xml:space="preserve">evolved during the past 20 years since the first attempt to regulate these platforms. As they play a vital role in preventing the spread of unlawful content, legislators and right holder’s need there to be responsibilities for these platforms. As monitoring </w:t>
      </w:r>
      <w:r w:rsidR="00A34CB2">
        <w:rPr>
          <w:rFonts w:cs="Times New Roman"/>
          <w:bCs/>
          <w:lang w:val="en-US"/>
        </w:rPr>
        <w:t>could be considered an overly-</w:t>
      </w:r>
      <w:r w:rsidR="00A34CB2">
        <w:rPr>
          <w:rFonts w:cs="Times New Roman"/>
          <w:bCs/>
          <w:lang w:val="en-US"/>
        </w:rPr>
        <w:lastRenderedPageBreak/>
        <w:t xml:space="preserve">far </w:t>
      </w:r>
      <w:r w:rsidR="00CD0F39">
        <w:rPr>
          <w:rFonts w:cs="Times New Roman"/>
          <w:bCs/>
          <w:lang w:val="en-US"/>
        </w:rPr>
        <w:t>responsibility</w:t>
      </w:r>
      <w:r w:rsidR="00A34CB2">
        <w:rPr>
          <w:rFonts w:cs="Times New Roman"/>
          <w:bCs/>
          <w:lang w:val="en-US"/>
        </w:rPr>
        <w:t xml:space="preserve">, lead to </w:t>
      </w:r>
      <w:r w:rsidR="00CD0F39">
        <w:rPr>
          <w:rFonts w:cs="Times New Roman"/>
          <w:bCs/>
          <w:lang w:val="en-US"/>
        </w:rPr>
        <w:t xml:space="preserve">risk </w:t>
      </w:r>
      <w:r w:rsidR="00A34CB2">
        <w:rPr>
          <w:rFonts w:cs="Times New Roman"/>
          <w:bCs/>
          <w:lang w:val="en-US"/>
        </w:rPr>
        <w:t xml:space="preserve">of </w:t>
      </w:r>
      <w:r w:rsidR="00CD0F39">
        <w:rPr>
          <w:rFonts w:cs="Times New Roman"/>
          <w:bCs/>
          <w:lang w:val="en-US"/>
        </w:rPr>
        <w:t xml:space="preserve">over-removal </w:t>
      </w:r>
      <w:r w:rsidR="00A34CB2">
        <w:rPr>
          <w:rFonts w:cs="Times New Roman"/>
          <w:bCs/>
          <w:lang w:val="en-US"/>
        </w:rPr>
        <w:t>and provides legal uncertainty for intermediary services</w:t>
      </w:r>
      <w:r w:rsidR="00CD0F39">
        <w:rPr>
          <w:rFonts w:cs="Times New Roman"/>
          <w:bCs/>
          <w:lang w:val="en-US"/>
        </w:rPr>
        <w:t>– this responsibility has been removed from Swedish law and a so called ‘Good Samaritan’ clause has been introduced</w:t>
      </w:r>
      <w:r w:rsidR="00A34CB2">
        <w:rPr>
          <w:rFonts w:cs="Times New Roman"/>
          <w:bCs/>
          <w:lang w:val="en-US"/>
        </w:rPr>
        <w:t xml:space="preserve"> as a result of the DSA.</w:t>
      </w:r>
      <w:r w:rsidR="00CD0F39">
        <w:rPr>
          <w:rFonts w:cs="Times New Roman"/>
          <w:bCs/>
          <w:lang w:val="en-US"/>
        </w:rPr>
        <w:t xml:space="preserve"> To determine if this is the right approach to tackle unlawful content online, and especially copyright infringement</w:t>
      </w:r>
      <w:r w:rsidR="008E5498">
        <w:rPr>
          <w:rFonts w:cs="Times New Roman"/>
          <w:bCs/>
          <w:lang w:val="en-US"/>
        </w:rPr>
        <w:t xml:space="preserve">, </w:t>
      </w:r>
      <w:r w:rsidR="00CD0F39">
        <w:rPr>
          <w:rFonts w:cs="Times New Roman"/>
          <w:bCs/>
          <w:lang w:val="en-US"/>
        </w:rPr>
        <w:t xml:space="preserve">will need </w:t>
      </w:r>
      <w:r w:rsidR="00FB4E5F">
        <w:rPr>
          <w:rFonts w:cs="Times New Roman"/>
          <w:bCs/>
          <w:lang w:val="en-US"/>
        </w:rPr>
        <w:t xml:space="preserve">close examination of online platforms actions </w:t>
      </w:r>
      <w:r w:rsidR="00CD0F39">
        <w:rPr>
          <w:rFonts w:cs="Times New Roman"/>
          <w:bCs/>
          <w:lang w:val="en-US"/>
        </w:rPr>
        <w:t xml:space="preserve">moving forward when the DSA starts being tested </w:t>
      </w:r>
      <w:r w:rsidR="008E5498">
        <w:rPr>
          <w:rFonts w:cs="Times New Roman"/>
          <w:bCs/>
          <w:lang w:val="en-US"/>
        </w:rPr>
        <w:t xml:space="preserve">by courts </w:t>
      </w:r>
      <w:r w:rsidR="00CD0F39">
        <w:rPr>
          <w:rFonts w:cs="Times New Roman"/>
          <w:bCs/>
          <w:lang w:val="en-US"/>
        </w:rPr>
        <w:t>against online platforms</w:t>
      </w:r>
      <w:r w:rsidR="00A34CB2">
        <w:rPr>
          <w:rFonts w:cs="Times New Roman"/>
          <w:bCs/>
          <w:lang w:val="en-US"/>
        </w:rPr>
        <w:t xml:space="preserve"> in Sweden and within the EU. </w:t>
      </w:r>
    </w:p>
    <w:p w14:paraId="3644ABDE" w14:textId="77777777" w:rsidR="00CD0F39" w:rsidRDefault="00CD0F39" w:rsidP="009969B4">
      <w:pPr>
        <w:jc w:val="both"/>
        <w:rPr>
          <w:rFonts w:cs="Times New Roman"/>
          <w:bCs/>
          <w:lang w:val="en-US"/>
        </w:rPr>
      </w:pPr>
    </w:p>
    <w:p w14:paraId="12D99685" w14:textId="28D45A8B" w:rsidR="00CE1959" w:rsidRPr="00CE1959" w:rsidRDefault="00CE1959" w:rsidP="009969B4">
      <w:pPr>
        <w:jc w:val="both"/>
        <w:rPr>
          <w:rFonts w:cs="Times New Roman"/>
          <w:bCs/>
          <w:lang w:val="en-US"/>
        </w:rPr>
      </w:pPr>
    </w:p>
    <w:sectPr w:rsidR="00CE1959" w:rsidRPr="00CE1959" w:rsidSect="00AE2318">
      <w:headerReference w:type="default" r:id="rId9"/>
      <w:head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896FB" w14:textId="77777777" w:rsidR="00D45368" w:rsidRDefault="00D45368" w:rsidP="00C96CE1">
      <w:pPr>
        <w:spacing w:after="0" w:line="240" w:lineRule="auto"/>
      </w:pPr>
      <w:r>
        <w:separator/>
      </w:r>
    </w:p>
  </w:endnote>
  <w:endnote w:type="continuationSeparator" w:id="0">
    <w:p w14:paraId="7324DA25" w14:textId="77777777" w:rsidR="00D45368" w:rsidRDefault="00D45368" w:rsidP="00C9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B4DE5" w14:textId="77777777" w:rsidR="00D45368" w:rsidRDefault="00D45368" w:rsidP="00C96CE1">
      <w:pPr>
        <w:spacing w:after="0" w:line="240" w:lineRule="auto"/>
      </w:pPr>
      <w:r>
        <w:separator/>
      </w:r>
    </w:p>
  </w:footnote>
  <w:footnote w:type="continuationSeparator" w:id="0">
    <w:p w14:paraId="4C6BD546" w14:textId="77777777" w:rsidR="00D45368" w:rsidRDefault="00D45368" w:rsidP="00C96CE1">
      <w:pPr>
        <w:spacing w:after="0" w:line="240" w:lineRule="auto"/>
      </w:pPr>
      <w:r>
        <w:continuationSeparator/>
      </w:r>
    </w:p>
  </w:footnote>
  <w:footnote w:id="1">
    <w:p w14:paraId="677BB0D9" w14:textId="77777777" w:rsidR="00CF571A" w:rsidRPr="008909C0" w:rsidRDefault="00CF571A" w:rsidP="00CF571A">
      <w:pPr>
        <w:pStyle w:val="Fotnotstext"/>
        <w:rPr>
          <w:sz w:val="18"/>
          <w:szCs w:val="18"/>
          <w:lang w:val="en-US"/>
        </w:rPr>
      </w:pPr>
      <w:r w:rsidRPr="008909C0">
        <w:rPr>
          <w:rStyle w:val="Fotnotsreferens"/>
          <w:sz w:val="18"/>
          <w:szCs w:val="18"/>
        </w:rPr>
        <w:footnoteRef/>
      </w:r>
      <w:r w:rsidRPr="008909C0">
        <w:rPr>
          <w:sz w:val="18"/>
          <w:szCs w:val="18"/>
          <w:lang w:val="en-US"/>
        </w:rPr>
        <w:t>The Digital Services Act package</w:t>
      </w:r>
    </w:p>
    <w:p w14:paraId="6A158462" w14:textId="3A9FDA0A" w:rsidR="00CF571A" w:rsidRPr="008909C0" w:rsidRDefault="00CF571A">
      <w:pPr>
        <w:pStyle w:val="Fotnotstext"/>
        <w:rPr>
          <w:sz w:val="18"/>
          <w:szCs w:val="18"/>
          <w:lang w:val="en-US"/>
        </w:rPr>
      </w:pPr>
      <w:r w:rsidRPr="008909C0">
        <w:rPr>
          <w:sz w:val="18"/>
          <w:szCs w:val="18"/>
          <w:lang w:val="en-US"/>
        </w:rPr>
        <w:t xml:space="preserve"> </w:t>
      </w:r>
      <w:hyperlink r:id="rId1" w:history="1">
        <w:r w:rsidRPr="008909C0">
          <w:rPr>
            <w:rStyle w:val="Hyperlnk"/>
            <w:sz w:val="18"/>
            <w:szCs w:val="18"/>
            <w:lang w:val="en-US"/>
          </w:rPr>
          <w:t>https://digital-strategy.ec.europa.eu/en/policies/digital-services-act-package</w:t>
        </w:r>
      </w:hyperlink>
      <w:r w:rsidRPr="008909C0">
        <w:rPr>
          <w:sz w:val="18"/>
          <w:szCs w:val="18"/>
          <w:lang w:val="en-US"/>
        </w:rPr>
        <w:t xml:space="preserve">, retrieved 2025-05-15. </w:t>
      </w:r>
    </w:p>
  </w:footnote>
  <w:footnote w:id="2">
    <w:p w14:paraId="02FA22E0" w14:textId="77777777" w:rsidR="008B2DA6" w:rsidRPr="00EB31C4" w:rsidRDefault="008B2DA6" w:rsidP="008B2DA6">
      <w:pPr>
        <w:pStyle w:val="Fotnotstext"/>
        <w:rPr>
          <w:lang w:val="en-US"/>
        </w:rPr>
      </w:pPr>
      <w:r w:rsidRPr="008909C0">
        <w:rPr>
          <w:rStyle w:val="Fotnotsreferens"/>
          <w:sz w:val="18"/>
          <w:szCs w:val="18"/>
        </w:rPr>
        <w:footnoteRef/>
      </w:r>
      <w:r w:rsidRPr="008909C0">
        <w:rPr>
          <w:sz w:val="18"/>
          <w:szCs w:val="18"/>
          <w:lang w:val="en-US"/>
        </w:rPr>
        <w:t xml:space="preserve"> Article 288,The Treaty On The Functioning Of The European Union.</w:t>
      </w:r>
      <w:r>
        <w:rPr>
          <w:lang w:val="en-US"/>
        </w:rPr>
        <w:t xml:space="preserve"> </w:t>
      </w:r>
    </w:p>
  </w:footnote>
  <w:footnote w:id="3">
    <w:p w14:paraId="2A6F35F6" w14:textId="1AFABA9F" w:rsidR="00856866" w:rsidRPr="008909C0" w:rsidRDefault="00856866">
      <w:pPr>
        <w:pStyle w:val="Fotnotstext"/>
        <w:rPr>
          <w:sz w:val="18"/>
          <w:szCs w:val="18"/>
          <w:lang w:val="en-US"/>
        </w:rPr>
      </w:pPr>
      <w:r w:rsidRPr="008909C0">
        <w:rPr>
          <w:rStyle w:val="Fotnotsreferens"/>
          <w:sz w:val="18"/>
          <w:szCs w:val="18"/>
        </w:rPr>
        <w:footnoteRef/>
      </w:r>
      <w:r w:rsidRPr="008909C0">
        <w:rPr>
          <w:sz w:val="18"/>
          <w:szCs w:val="18"/>
          <w:lang w:val="en-US"/>
        </w:rPr>
        <w:t xml:space="preserve">EU Commission, Digital </w:t>
      </w:r>
      <w:r w:rsidR="008B2DA6" w:rsidRPr="008909C0">
        <w:rPr>
          <w:sz w:val="18"/>
          <w:szCs w:val="18"/>
          <w:lang w:val="en-US"/>
        </w:rPr>
        <w:t>Strategies</w:t>
      </w:r>
      <w:r w:rsidRPr="008909C0">
        <w:rPr>
          <w:sz w:val="18"/>
          <w:szCs w:val="18"/>
          <w:lang w:val="en-US"/>
        </w:rPr>
        <w:t>, Online Platforms  https://digital-strategy.ec.europa.eu/en/policies/online-platforms</w:t>
      </w:r>
    </w:p>
  </w:footnote>
  <w:footnote w:id="4">
    <w:p w14:paraId="5089A19A" w14:textId="77777777" w:rsidR="00E12392" w:rsidRPr="00CF72A3" w:rsidRDefault="00E12392">
      <w:pPr>
        <w:pStyle w:val="Fotnotstext"/>
        <w:rPr>
          <w:sz w:val="18"/>
          <w:szCs w:val="18"/>
          <w:lang w:val="en-US"/>
        </w:rPr>
      </w:pPr>
      <w:r w:rsidRPr="008909C0">
        <w:rPr>
          <w:rStyle w:val="Fotnotsreferens"/>
          <w:sz w:val="18"/>
          <w:szCs w:val="18"/>
        </w:rPr>
        <w:footnoteRef/>
      </w:r>
      <w:r w:rsidRPr="008909C0">
        <w:rPr>
          <w:sz w:val="18"/>
          <w:szCs w:val="18"/>
          <w:lang w:val="en-US"/>
        </w:rPr>
        <w:t xml:space="preserve"> DIRECTIVE (EU) 2015/1535 OF THE EUROPEAN PARLIAMENT AND OF THE COUNCIL of 9 September 2015 laying down a procedure for the provision of information in the field of technical regulations and of rules on Information Society services (codification).</w:t>
      </w:r>
      <w:r w:rsidRPr="00CF72A3">
        <w:rPr>
          <w:sz w:val="18"/>
          <w:szCs w:val="18"/>
          <w:lang w:val="en-US"/>
        </w:rPr>
        <w:t xml:space="preserve"> </w:t>
      </w:r>
    </w:p>
  </w:footnote>
  <w:footnote w:id="5">
    <w:p w14:paraId="0274BEFF" w14:textId="63426DFC" w:rsidR="003E7CF9" w:rsidRPr="00EA7C27" w:rsidRDefault="003E7CF9">
      <w:pPr>
        <w:pStyle w:val="Fotnotstext"/>
        <w:rPr>
          <w:sz w:val="18"/>
          <w:szCs w:val="18"/>
        </w:rPr>
      </w:pPr>
      <w:r w:rsidRPr="00EA7C27">
        <w:rPr>
          <w:rStyle w:val="Fotnotsreferens"/>
          <w:sz w:val="18"/>
          <w:szCs w:val="18"/>
        </w:rPr>
        <w:footnoteRef/>
      </w:r>
      <w:r w:rsidRPr="00EA7C27">
        <w:rPr>
          <w:sz w:val="18"/>
          <w:szCs w:val="18"/>
        </w:rPr>
        <w:t xml:space="preserve"> </w:t>
      </w:r>
      <w:r w:rsidR="000A40D9" w:rsidRPr="00EA7C27">
        <w:rPr>
          <w:sz w:val="18"/>
          <w:szCs w:val="18"/>
        </w:rPr>
        <w:t>Regeringens proposition 2023/24:160 Kompletterande bestämmelser till EU:s förordning om digitala tjänster</w:t>
      </w:r>
      <w:r w:rsidRPr="00EA7C27">
        <w:rPr>
          <w:sz w:val="18"/>
          <w:szCs w:val="18"/>
        </w:rPr>
        <w:t xml:space="preserve">, </w:t>
      </w:r>
      <w:r w:rsidR="000A40D9" w:rsidRPr="00EA7C27">
        <w:rPr>
          <w:sz w:val="18"/>
          <w:szCs w:val="18"/>
        </w:rPr>
        <w:t>p</w:t>
      </w:r>
      <w:r w:rsidRPr="00EA7C27">
        <w:rPr>
          <w:sz w:val="18"/>
          <w:szCs w:val="18"/>
        </w:rPr>
        <w:t xml:space="preserve">. 19. </w:t>
      </w:r>
    </w:p>
  </w:footnote>
  <w:footnote w:id="6">
    <w:p w14:paraId="7393DEA5" w14:textId="3C15A5CF" w:rsidR="00383BFF" w:rsidRPr="000E512A" w:rsidRDefault="00383BFF" w:rsidP="00383BFF">
      <w:pPr>
        <w:pStyle w:val="Fotnotstext"/>
        <w:rPr>
          <w:sz w:val="18"/>
          <w:szCs w:val="18"/>
          <w:lang w:val="en-US"/>
        </w:rPr>
      </w:pPr>
      <w:r w:rsidRPr="000E512A">
        <w:rPr>
          <w:rStyle w:val="Fotnotsreferens"/>
          <w:sz w:val="18"/>
          <w:szCs w:val="18"/>
        </w:rPr>
        <w:footnoteRef/>
      </w:r>
      <w:r w:rsidRPr="000E512A">
        <w:rPr>
          <w:sz w:val="18"/>
          <w:szCs w:val="18"/>
          <w:lang w:val="en-US"/>
        </w:rPr>
        <w:t xml:space="preserve"> </w:t>
      </w:r>
      <w:r w:rsidR="000A40D9" w:rsidRPr="000E512A">
        <w:rPr>
          <w:sz w:val="18"/>
          <w:szCs w:val="18"/>
          <w:lang w:val="en-US"/>
        </w:rPr>
        <w:t xml:space="preserve">Ibid, </w:t>
      </w:r>
      <w:r w:rsidRPr="000E512A">
        <w:rPr>
          <w:sz w:val="18"/>
          <w:szCs w:val="18"/>
          <w:lang w:val="en-US"/>
        </w:rPr>
        <w:t>p. 104-105</w:t>
      </w:r>
      <w:r w:rsidR="000E512A" w:rsidRPr="000E512A">
        <w:rPr>
          <w:sz w:val="18"/>
          <w:szCs w:val="18"/>
          <w:lang w:val="en-US"/>
        </w:rPr>
        <w:t xml:space="preserve"> and see </w:t>
      </w:r>
      <w:proofErr w:type="spellStart"/>
      <w:r w:rsidR="000E512A" w:rsidRPr="000E512A">
        <w:rPr>
          <w:sz w:val="18"/>
          <w:szCs w:val="18"/>
          <w:lang w:val="en-US"/>
        </w:rPr>
        <w:t>see</w:t>
      </w:r>
      <w:proofErr w:type="spellEnd"/>
      <w:r w:rsidR="000E512A" w:rsidRPr="000E512A">
        <w:rPr>
          <w:sz w:val="18"/>
          <w:szCs w:val="18"/>
          <w:lang w:val="en-US"/>
        </w:rPr>
        <w:t xml:space="preserve"> the judgment of the Court of Justice of the European Union, </w:t>
      </w:r>
      <w:proofErr w:type="spellStart"/>
      <w:r w:rsidR="000E512A" w:rsidRPr="000E512A">
        <w:rPr>
          <w:sz w:val="18"/>
          <w:szCs w:val="18"/>
          <w:lang w:val="en-US"/>
        </w:rPr>
        <w:t>Doctipharma</w:t>
      </w:r>
      <w:proofErr w:type="spellEnd"/>
      <w:r w:rsidR="000E512A" w:rsidRPr="000E512A">
        <w:rPr>
          <w:sz w:val="18"/>
          <w:szCs w:val="18"/>
          <w:lang w:val="en-US"/>
        </w:rPr>
        <w:t xml:space="preserve">, C‑606/21, EU:C:2024:179. </w:t>
      </w:r>
    </w:p>
  </w:footnote>
  <w:footnote w:id="7">
    <w:p w14:paraId="317A9B95" w14:textId="2FEC07DF" w:rsidR="0061464B" w:rsidRPr="00281A7A" w:rsidRDefault="0061464B">
      <w:pPr>
        <w:pStyle w:val="Fotnotstext"/>
        <w:rPr>
          <w:sz w:val="18"/>
          <w:szCs w:val="18"/>
          <w:lang w:val="en-US"/>
        </w:rPr>
      </w:pPr>
      <w:r w:rsidRPr="00EA7C27">
        <w:rPr>
          <w:rStyle w:val="Fotnotsreferens"/>
          <w:sz w:val="18"/>
          <w:szCs w:val="18"/>
        </w:rPr>
        <w:footnoteRef/>
      </w:r>
      <w:r w:rsidRPr="00281A7A">
        <w:rPr>
          <w:sz w:val="18"/>
          <w:szCs w:val="18"/>
          <w:lang w:val="en-US"/>
        </w:rPr>
        <w:t xml:space="preserve"> Digital Services Act (DSA) – EU:s regler för säkrare internet</w:t>
      </w:r>
      <w:r w:rsidR="003708B2" w:rsidRPr="00281A7A">
        <w:rPr>
          <w:sz w:val="18"/>
          <w:szCs w:val="18"/>
          <w:lang w:val="en-US"/>
        </w:rPr>
        <w:t>, available at</w:t>
      </w:r>
      <w:r w:rsidR="00EA7C27" w:rsidRPr="00281A7A">
        <w:rPr>
          <w:sz w:val="18"/>
          <w:szCs w:val="18"/>
          <w:lang w:val="en-US"/>
        </w:rPr>
        <w:t xml:space="preserve"> </w:t>
      </w:r>
      <w:hyperlink r:id="rId2" w:history="1">
        <w:r w:rsidR="00EA7C27" w:rsidRPr="00281A7A">
          <w:rPr>
            <w:rStyle w:val="Hyperlnk"/>
            <w:sz w:val="18"/>
            <w:szCs w:val="18"/>
            <w:lang w:val="en-US"/>
          </w:rPr>
          <w:t>https://pts.se/internet-och-telefoni/dsa-forordningen---</w:t>
        </w:r>
        <w:proofErr w:type="spellStart"/>
        <w:r w:rsidR="00EA7C27" w:rsidRPr="00281A7A">
          <w:rPr>
            <w:rStyle w:val="Hyperlnk"/>
            <w:sz w:val="18"/>
            <w:szCs w:val="18"/>
            <w:lang w:val="en-US"/>
          </w:rPr>
          <w:t>regler</w:t>
        </w:r>
        <w:proofErr w:type="spellEnd"/>
        <w:r w:rsidR="00EA7C27" w:rsidRPr="00281A7A">
          <w:rPr>
            <w:rStyle w:val="Hyperlnk"/>
            <w:sz w:val="18"/>
            <w:szCs w:val="18"/>
            <w:lang w:val="en-US"/>
          </w:rPr>
          <w:t>-om-</w:t>
        </w:r>
        <w:proofErr w:type="spellStart"/>
        <w:r w:rsidR="00EA7C27" w:rsidRPr="00281A7A">
          <w:rPr>
            <w:rStyle w:val="Hyperlnk"/>
            <w:sz w:val="18"/>
            <w:szCs w:val="18"/>
            <w:lang w:val="en-US"/>
          </w:rPr>
          <w:t>digitala</w:t>
        </w:r>
        <w:proofErr w:type="spellEnd"/>
        <w:r w:rsidR="00EA7C27" w:rsidRPr="00281A7A">
          <w:rPr>
            <w:rStyle w:val="Hyperlnk"/>
            <w:sz w:val="18"/>
            <w:szCs w:val="18"/>
            <w:lang w:val="en-US"/>
          </w:rPr>
          <w:t>-</w:t>
        </w:r>
        <w:proofErr w:type="spellStart"/>
        <w:r w:rsidR="00EA7C27" w:rsidRPr="00281A7A">
          <w:rPr>
            <w:rStyle w:val="Hyperlnk"/>
            <w:sz w:val="18"/>
            <w:szCs w:val="18"/>
            <w:lang w:val="en-US"/>
          </w:rPr>
          <w:t>tjanster</w:t>
        </w:r>
        <w:proofErr w:type="spellEnd"/>
        <w:r w:rsidR="00EA7C27" w:rsidRPr="00281A7A">
          <w:rPr>
            <w:rStyle w:val="Hyperlnk"/>
            <w:sz w:val="18"/>
            <w:szCs w:val="18"/>
            <w:lang w:val="en-US"/>
          </w:rPr>
          <w:t>-for-</w:t>
        </w:r>
        <w:proofErr w:type="spellStart"/>
        <w:r w:rsidR="00EA7C27" w:rsidRPr="00281A7A">
          <w:rPr>
            <w:rStyle w:val="Hyperlnk"/>
            <w:sz w:val="18"/>
            <w:szCs w:val="18"/>
            <w:lang w:val="en-US"/>
          </w:rPr>
          <w:t>en</w:t>
        </w:r>
        <w:proofErr w:type="spellEnd"/>
        <w:r w:rsidR="00EA7C27" w:rsidRPr="00281A7A">
          <w:rPr>
            <w:rStyle w:val="Hyperlnk"/>
            <w:sz w:val="18"/>
            <w:szCs w:val="18"/>
            <w:lang w:val="en-US"/>
          </w:rPr>
          <w:t>-</w:t>
        </w:r>
        <w:proofErr w:type="spellStart"/>
        <w:r w:rsidR="00EA7C27" w:rsidRPr="00281A7A">
          <w:rPr>
            <w:rStyle w:val="Hyperlnk"/>
            <w:sz w:val="18"/>
            <w:szCs w:val="18"/>
            <w:lang w:val="en-US"/>
          </w:rPr>
          <w:t>sakrare-onlinemiljo</w:t>
        </w:r>
        <w:proofErr w:type="spellEnd"/>
        <w:r w:rsidR="00EA7C27" w:rsidRPr="00281A7A">
          <w:rPr>
            <w:rStyle w:val="Hyperlnk"/>
            <w:sz w:val="18"/>
            <w:szCs w:val="18"/>
            <w:lang w:val="en-US"/>
          </w:rPr>
          <w:t>/</w:t>
        </w:r>
      </w:hyperlink>
      <w:r w:rsidR="00EA7C27" w:rsidRPr="00281A7A">
        <w:rPr>
          <w:sz w:val="18"/>
          <w:szCs w:val="18"/>
          <w:lang w:val="en-US"/>
        </w:rPr>
        <w:t>, retrieved 2025-06-02.</w:t>
      </w:r>
    </w:p>
  </w:footnote>
  <w:footnote w:id="8">
    <w:p w14:paraId="401D30E4" w14:textId="2429CCEB" w:rsidR="001D15E3" w:rsidRPr="00EA7C27" w:rsidRDefault="001D15E3">
      <w:pPr>
        <w:pStyle w:val="Fotnotstext"/>
        <w:rPr>
          <w:sz w:val="18"/>
          <w:szCs w:val="18"/>
        </w:rPr>
      </w:pPr>
      <w:r w:rsidRPr="00EA7C27">
        <w:rPr>
          <w:rStyle w:val="Fotnotsreferens"/>
          <w:sz w:val="18"/>
          <w:szCs w:val="18"/>
        </w:rPr>
        <w:footnoteRef/>
      </w:r>
      <w:r w:rsidRPr="00EA7C27">
        <w:rPr>
          <w:sz w:val="18"/>
          <w:szCs w:val="18"/>
        </w:rPr>
        <w:t xml:space="preserve"> </w:t>
      </w:r>
      <w:bookmarkStart w:id="2" w:name="_Hlk202088628"/>
      <w:r w:rsidRPr="00EA7C27">
        <w:rPr>
          <w:sz w:val="18"/>
          <w:szCs w:val="18"/>
        </w:rPr>
        <w:t xml:space="preserve"> </w:t>
      </w:r>
      <w:bookmarkEnd w:id="2"/>
      <w:r w:rsidR="00397A7D" w:rsidRPr="00EA7C27">
        <w:rPr>
          <w:sz w:val="18"/>
          <w:szCs w:val="18"/>
        </w:rPr>
        <w:t xml:space="preserve">Regeringens proposition 1997/98:15 Ansvar för elektroniska anslagstavlor, p.1. </w:t>
      </w:r>
    </w:p>
  </w:footnote>
  <w:footnote w:id="9">
    <w:p w14:paraId="387C9930" w14:textId="42067293" w:rsidR="00307DE6" w:rsidRPr="00EA7C27" w:rsidRDefault="00307DE6">
      <w:pPr>
        <w:pStyle w:val="Fotnotstext"/>
        <w:rPr>
          <w:sz w:val="18"/>
          <w:szCs w:val="18"/>
          <w:lang w:val="en-US"/>
        </w:rPr>
      </w:pPr>
      <w:r w:rsidRPr="00EA7C27">
        <w:rPr>
          <w:rStyle w:val="Fotnotsreferens"/>
          <w:sz w:val="18"/>
          <w:szCs w:val="18"/>
        </w:rPr>
        <w:footnoteRef/>
      </w:r>
      <w:r w:rsidR="00397A7D" w:rsidRPr="00EA7C27">
        <w:rPr>
          <w:sz w:val="18"/>
          <w:szCs w:val="18"/>
          <w:lang w:val="en-US"/>
        </w:rPr>
        <w:t>Ibi</w:t>
      </w:r>
      <w:r w:rsidR="000A40D9" w:rsidRPr="00EA7C27">
        <w:rPr>
          <w:sz w:val="18"/>
          <w:szCs w:val="18"/>
          <w:lang w:val="en-US"/>
        </w:rPr>
        <w:t>d</w:t>
      </w:r>
      <w:r w:rsidRPr="00EA7C27">
        <w:rPr>
          <w:sz w:val="18"/>
          <w:szCs w:val="18"/>
          <w:lang w:val="en-US"/>
        </w:rPr>
        <w:t xml:space="preserve">, p.20. </w:t>
      </w:r>
    </w:p>
  </w:footnote>
  <w:footnote w:id="10">
    <w:p w14:paraId="25EBD684" w14:textId="3F2A7656" w:rsidR="007A444B" w:rsidRPr="00EA7C27" w:rsidRDefault="007A444B" w:rsidP="007A444B">
      <w:pPr>
        <w:pStyle w:val="Fotnotstext"/>
        <w:rPr>
          <w:lang w:val="en-US"/>
        </w:rPr>
      </w:pPr>
      <w:r w:rsidRPr="00EA7C27">
        <w:rPr>
          <w:rStyle w:val="Fotnotsreferens"/>
          <w:sz w:val="18"/>
          <w:szCs w:val="18"/>
        </w:rPr>
        <w:footnoteRef/>
      </w:r>
      <w:r w:rsidRPr="00EA7C27">
        <w:rPr>
          <w:sz w:val="18"/>
          <w:szCs w:val="18"/>
          <w:lang w:val="en-US"/>
        </w:rPr>
        <w:t xml:space="preserve"> NJA 1996 s. 79</w:t>
      </w:r>
      <w:r w:rsidR="00AF314E" w:rsidRPr="00EA7C27">
        <w:rPr>
          <w:sz w:val="18"/>
          <w:szCs w:val="18"/>
          <w:lang w:val="en-US"/>
        </w:rPr>
        <w:t xml:space="preserve"> (Swedish Supreme Court)</w:t>
      </w:r>
      <w:r w:rsidR="007274C3" w:rsidRPr="00EA7C27">
        <w:rPr>
          <w:sz w:val="18"/>
          <w:szCs w:val="18"/>
          <w:lang w:val="en-US"/>
        </w:rPr>
        <w:t xml:space="preserve">, </w:t>
      </w:r>
      <w:r w:rsidRPr="00EA7C27">
        <w:rPr>
          <w:sz w:val="18"/>
          <w:szCs w:val="18"/>
          <w:lang w:val="en-US"/>
        </w:rPr>
        <w:t>p. 92.</w:t>
      </w:r>
      <w:r w:rsidRPr="00EA7C27">
        <w:rPr>
          <w:lang w:val="en-US"/>
        </w:rPr>
        <w:t xml:space="preserve"> </w:t>
      </w:r>
    </w:p>
  </w:footnote>
  <w:footnote w:id="11">
    <w:p w14:paraId="5439DBB1" w14:textId="497B0327" w:rsidR="00AE6A64" w:rsidRPr="00CB6B51" w:rsidRDefault="00AE6A64" w:rsidP="00AE6A64">
      <w:pPr>
        <w:pStyle w:val="Fotnotstext"/>
        <w:rPr>
          <w:sz w:val="18"/>
          <w:szCs w:val="18"/>
        </w:rPr>
      </w:pPr>
      <w:r w:rsidRPr="00CB6B51">
        <w:rPr>
          <w:rStyle w:val="Fotnotsreferens"/>
          <w:sz w:val="18"/>
          <w:szCs w:val="18"/>
        </w:rPr>
        <w:footnoteRef/>
      </w:r>
      <w:r w:rsidRPr="00CB6B51">
        <w:rPr>
          <w:sz w:val="18"/>
          <w:szCs w:val="18"/>
        </w:rPr>
        <w:t xml:space="preserve"> </w:t>
      </w:r>
      <w:bookmarkStart w:id="3" w:name="_Hlk202257662"/>
      <w:r w:rsidR="007274C3" w:rsidRPr="00CB6B51">
        <w:rPr>
          <w:sz w:val="18"/>
          <w:szCs w:val="18"/>
        </w:rPr>
        <w:t xml:space="preserve">Regeringens proposition 2023/24:160 Kompletterande bestämmelser till EU:s förordning om digitala tjänster, </w:t>
      </w:r>
      <w:r w:rsidRPr="00CB6B51">
        <w:rPr>
          <w:sz w:val="18"/>
          <w:szCs w:val="18"/>
        </w:rPr>
        <w:t>p. 135</w:t>
      </w:r>
      <w:r w:rsidR="007274C3" w:rsidRPr="00CB6B51">
        <w:rPr>
          <w:sz w:val="18"/>
          <w:szCs w:val="18"/>
        </w:rPr>
        <w:t xml:space="preserve">. </w:t>
      </w:r>
      <w:r w:rsidRPr="00CB6B51">
        <w:rPr>
          <w:sz w:val="18"/>
          <w:szCs w:val="18"/>
        </w:rPr>
        <w:t xml:space="preserve"> </w:t>
      </w:r>
      <w:bookmarkEnd w:id="3"/>
    </w:p>
  </w:footnote>
  <w:footnote w:id="12">
    <w:p w14:paraId="233A548F" w14:textId="182F0532" w:rsidR="00425CC4" w:rsidRPr="007274C3" w:rsidRDefault="00425CC4" w:rsidP="00425CC4">
      <w:pPr>
        <w:pStyle w:val="Fotnotstext"/>
        <w:rPr>
          <w:lang w:val="en-US"/>
        </w:rPr>
      </w:pPr>
      <w:r w:rsidRPr="00CB6B51">
        <w:rPr>
          <w:rStyle w:val="Fotnotsreferens"/>
          <w:sz w:val="18"/>
          <w:szCs w:val="18"/>
        </w:rPr>
        <w:footnoteRef/>
      </w:r>
      <w:r w:rsidRPr="00CB6B51">
        <w:rPr>
          <w:sz w:val="18"/>
          <w:szCs w:val="18"/>
          <w:lang w:val="en-US"/>
        </w:rPr>
        <w:t xml:space="preserve"> </w:t>
      </w:r>
      <w:proofErr w:type="spellStart"/>
      <w:r w:rsidR="00FB3431" w:rsidRPr="00CB6B51">
        <w:rPr>
          <w:sz w:val="18"/>
          <w:szCs w:val="18"/>
          <w:lang w:val="en-GB"/>
        </w:rPr>
        <w:t>Svea</w:t>
      </w:r>
      <w:proofErr w:type="spellEnd"/>
      <w:r w:rsidR="00FB3431" w:rsidRPr="00CB6B51">
        <w:rPr>
          <w:sz w:val="18"/>
          <w:szCs w:val="18"/>
          <w:lang w:val="en-GB"/>
        </w:rPr>
        <w:t xml:space="preserve"> Court of Appeal, judgement of 26 November 2010, reference RH 2013:27, F.N. et al v Sweden.</w:t>
      </w:r>
      <w:r w:rsidR="007274C3" w:rsidRPr="00CB6B51">
        <w:rPr>
          <w:sz w:val="18"/>
          <w:szCs w:val="18"/>
          <w:lang w:val="en-US"/>
        </w:rPr>
        <w:t>, p. 49.</w:t>
      </w:r>
      <w:r w:rsidR="007274C3">
        <w:rPr>
          <w:lang w:val="en-US"/>
        </w:rPr>
        <w:t xml:space="preserve"> </w:t>
      </w:r>
    </w:p>
  </w:footnote>
  <w:footnote w:id="13">
    <w:p w14:paraId="0FCAC0DA" w14:textId="6474943E" w:rsidR="00CD1D9F" w:rsidRPr="00CB6B51" w:rsidRDefault="00CD1D9F">
      <w:pPr>
        <w:pStyle w:val="Fotnotstext"/>
        <w:rPr>
          <w:sz w:val="18"/>
          <w:szCs w:val="18"/>
          <w:lang w:val="en-US"/>
        </w:rPr>
      </w:pPr>
      <w:r w:rsidRPr="00CB6B51">
        <w:rPr>
          <w:rStyle w:val="Fotnotsreferens"/>
          <w:sz w:val="18"/>
          <w:szCs w:val="18"/>
        </w:rPr>
        <w:footnoteRef/>
      </w:r>
      <w:r w:rsidRPr="00CB6B51">
        <w:rPr>
          <w:sz w:val="18"/>
          <w:szCs w:val="18"/>
          <w:lang w:val="en-US"/>
        </w:rPr>
        <w:t xml:space="preserve"> </w:t>
      </w:r>
      <w:proofErr w:type="spellStart"/>
      <w:r w:rsidR="00FB3431" w:rsidRPr="00CB6B51">
        <w:rPr>
          <w:sz w:val="18"/>
          <w:szCs w:val="18"/>
          <w:lang w:val="en-GB"/>
        </w:rPr>
        <w:t>Svea</w:t>
      </w:r>
      <w:proofErr w:type="spellEnd"/>
      <w:r w:rsidR="00FB3431" w:rsidRPr="00CB6B51">
        <w:rPr>
          <w:sz w:val="18"/>
          <w:szCs w:val="18"/>
          <w:lang w:val="en-GB"/>
        </w:rPr>
        <w:t xml:space="preserve"> Court of Appeal, judgement of 26 November 2010, reference RH 2013:27, F.N. et al v Sweden., </w:t>
      </w:r>
      <w:r w:rsidRPr="00CB6B51">
        <w:rPr>
          <w:sz w:val="18"/>
          <w:szCs w:val="18"/>
          <w:lang w:val="en-US"/>
        </w:rPr>
        <w:t xml:space="preserve">p. 24-25. </w:t>
      </w:r>
    </w:p>
  </w:footnote>
  <w:footnote w:id="14">
    <w:p w14:paraId="57F7B163" w14:textId="77777777" w:rsidR="007B02B9" w:rsidRPr="00CB6B51" w:rsidRDefault="007B02B9" w:rsidP="007B02B9">
      <w:pPr>
        <w:pStyle w:val="Fotnotstext"/>
        <w:rPr>
          <w:sz w:val="18"/>
          <w:szCs w:val="18"/>
          <w:lang w:val="en-US"/>
        </w:rPr>
      </w:pPr>
      <w:r w:rsidRPr="00CB6B51">
        <w:rPr>
          <w:rStyle w:val="Fotnotsreferens"/>
          <w:sz w:val="18"/>
          <w:szCs w:val="18"/>
        </w:rPr>
        <w:footnoteRef/>
      </w:r>
      <w:r w:rsidRPr="00CB6B51">
        <w:rPr>
          <w:sz w:val="18"/>
          <w:szCs w:val="18"/>
          <w:lang w:val="en-US"/>
        </w:rPr>
        <w:t xml:space="preserve"> Article 2.6 EU Directive 2019/790 on amendments on copyright and related rights in the Digital Single Market and amending Directives 96/9/EC and 2001/29/EC. </w:t>
      </w:r>
    </w:p>
  </w:footnote>
  <w:footnote w:id="15">
    <w:p w14:paraId="618A7D89" w14:textId="28EB321A" w:rsidR="00DE1A31" w:rsidRDefault="00DE1A31">
      <w:pPr>
        <w:pStyle w:val="Fotnotstext"/>
      </w:pPr>
      <w:r w:rsidRPr="00CB6B51">
        <w:rPr>
          <w:rStyle w:val="Fotnotsreferens"/>
          <w:sz w:val="18"/>
          <w:szCs w:val="18"/>
        </w:rPr>
        <w:footnoteRef/>
      </w:r>
      <w:r w:rsidRPr="00CB6B51">
        <w:rPr>
          <w:sz w:val="18"/>
          <w:szCs w:val="18"/>
        </w:rPr>
        <w:t xml:space="preserve"> Regeringens proposition 2021/22:278 Upphovsrätten på den digitala inre marknaden, p. 129.</w:t>
      </w:r>
      <w:r>
        <w:t xml:space="preserve"> </w:t>
      </w:r>
    </w:p>
  </w:footnote>
  <w:footnote w:id="16">
    <w:p w14:paraId="6644238E" w14:textId="4D241AB5" w:rsidR="003777F5" w:rsidRPr="00CB6B51" w:rsidRDefault="003777F5">
      <w:pPr>
        <w:pStyle w:val="Fotnotstext"/>
        <w:rPr>
          <w:sz w:val="18"/>
          <w:szCs w:val="18"/>
          <w:lang w:val="en-US"/>
        </w:rPr>
      </w:pPr>
      <w:r w:rsidRPr="00CB6B51">
        <w:rPr>
          <w:rStyle w:val="Fotnotsreferens"/>
          <w:sz w:val="18"/>
          <w:szCs w:val="18"/>
        </w:rPr>
        <w:footnoteRef/>
      </w:r>
      <w:r w:rsidRPr="00CB6B51">
        <w:rPr>
          <w:sz w:val="18"/>
          <w:szCs w:val="18"/>
          <w:lang w:val="en-US"/>
        </w:rPr>
        <w:t xml:space="preserve"> </w:t>
      </w:r>
      <w:proofErr w:type="spellStart"/>
      <w:r w:rsidR="007B277D" w:rsidRPr="00CB6B51">
        <w:rPr>
          <w:sz w:val="18"/>
          <w:szCs w:val="18"/>
          <w:lang w:val="en-US"/>
        </w:rPr>
        <w:t>Svea</w:t>
      </w:r>
      <w:proofErr w:type="spellEnd"/>
      <w:r w:rsidR="007B277D" w:rsidRPr="00CB6B51">
        <w:rPr>
          <w:sz w:val="18"/>
          <w:szCs w:val="18"/>
          <w:lang w:val="en-US"/>
        </w:rPr>
        <w:t xml:space="preserve"> Court of Appeal, </w:t>
      </w:r>
      <w:r w:rsidR="00101B2E" w:rsidRPr="00CB6B51">
        <w:rPr>
          <w:sz w:val="18"/>
          <w:szCs w:val="18"/>
          <w:lang w:val="en-US"/>
        </w:rPr>
        <w:t>jud</w:t>
      </w:r>
      <w:r w:rsidR="00FB4E5F">
        <w:rPr>
          <w:sz w:val="18"/>
          <w:szCs w:val="18"/>
          <w:lang w:val="en-US"/>
        </w:rPr>
        <w:t>g</w:t>
      </w:r>
      <w:r w:rsidR="00101B2E" w:rsidRPr="00CB6B51">
        <w:rPr>
          <w:sz w:val="18"/>
          <w:szCs w:val="18"/>
          <w:lang w:val="en-US"/>
        </w:rPr>
        <w:t xml:space="preserve">ement of </w:t>
      </w:r>
      <w:r w:rsidR="008874B3" w:rsidRPr="00CB6B51">
        <w:rPr>
          <w:sz w:val="18"/>
          <w:szCs w:val="18"/>
          <w:lang w:val="en-US"/>
        </w:rPr>
        <w:t>21</w:t>
      </w:r>
      <w:r w:rsidR="008874B3" w:rsidRPr="00CB6B51">
        <w:rPr>
          <w:sz w:val="18"/>
          <w:szCs w:val="18"/>
          <w:vertAlign w:val="superscript"/>
          <w:lang w:val="en-US"/>
        </w:rPr>
        <w:t>st</w:t>
      </w:r>
      <w:r w:rsidR="008874B3" w:rsidRPr="00CB6B51">
        <w:rPr>
          <w:sz w:val="18"/>
          <w:szCs w:val="18"/>
          <w:lang w:val="en-US"/>
        </w:rPr>
        <w:t xml:space="preserve"> of May 2010, </w:t>
      </w:r>
      <w:r w:rsidR="00101B2E" w:rsidRPr="00CB6B51">
        <w:rPr>
          <w:sz w:val="18"/>
          <w:szCs w:val="18"/>
          <w:lang w:val="en-US"/>
        </w:rPr>
        <w:t xml:space="preserve">reference nr Ö 7131-09, </w:t>
      </w:r>
      <w:r w:rsidR="007B277D" w:rsidRPr="00CB6B51">
        <w:rPr>
          <w:sz w:val="18"/>
          <w:szCs w:val="18"/>
          <w:lang w:val="en-US"/>
        </w:rPr>
        <w:t xml:space="preserve">Black Internet AB vs. EMI Music Sweden </w:t>
      </w:r>
      <w:proofErr w:type="spellStart"/>
      <w:r w:rsidR="007B277D" w:rsidRPr="00CB6B51">
        <w:rPr>
          <w:sz w:val="18"/>
          <w:szCs w:val="18"/>
          <w:lang w:val="en-US"/>
        </w:rPr>
        <w:t>Aktiebolag</w:t>
      </w:r>
      <w:proofErr w:type="spellEnd"/>
      <w:r w:rsidR="007B277D" w:rsidRPr="00CB6B51">
        <w:rPr>
          <w:sz w:val="18"/>
          <w:szCs w:val="18"/>
          <w:lang w:val="en-US"/>
        </w:rPr>
        <w:t xml:space="preserve">, </w:t>
      </w:r>
      <w:r w:rsidR="007B277D" w:rsidRPr="007B277D">
        <w:rPr>
          <w:sz w:val="18"/>
          <w:szCs w:val="18"/>
          <w:lang w:val="en-US"/>
        </w:rPr>
        <w:t>Sony Music Entertainment Sweden AB</w:t>
      </w:r>
      <w:r w:rsidR="007B277D" w:rsidRPr="00CB6B51">
        <w:rPr>
          <w:sz w:val="18"/>
          <w:szCs w:val="18"/>
          <w:lang w:val="en-US"/>
        </w:rPr>
        <w:t xml:space="preserve">, </w:t>
      </w:r>
      <w:r w:rsidR="007B277D" w:rsidRPr="007B277D">
        <w:rPr>
          <w:sz w:val="18"/>
          <w:szCs w:val="18"/>
          <w:lang w:val="en-US"/>
        </w:rPr>
        <w:t xml:space="preserve">Universal Music </w:t>
      </w:r>
      <w:proofErr w:type="spellStart"/>
      <w:r w:rsidR="007B277D" w:rsidRPr="007B277D">
        <w:rPr>
          <w:sz w:val="18"/>
          <w:szCs w:val="18"/>
          <w:lang w:val="en-US"/>
        </w:rPr>
        <w:t>Aktiebolag</w:t>
      </w:r>
      <w:proofErr w:type="spellEnd"/>
      <w:r w:rsidR="007B277D" w:rsidRPr="00CB6B51">
        <w:rPr>
          <w:sz w:val="18"/>
          <w:szCs w:val="18"/>
          <w:lang w:val="en-US"/>
        </w:rPr>
        <w:t xml:space="preserve"> and others</w:t>
      </w:r>
      <w:r w:rsidR="00101B2E" w:rsidRPr="00CB6B51">
        <w:rPr>
          <w:sz w:val="18"/>
          <w:szCs w:val="18"/>
          <w:lang w:val="en-US"/>
        </w:rPr>
        <w:t xml:space="preserve">. </w:t>
      </w:r>
    </w:p>
  </w:footnote>
  <w:footnote w:id="17">
    <w:p w14:paraId="2337BAE5" w14:textId="41BEFBF1" w:rsidR="008874B3" w:rsidRPr="007A3389" w:rsidRDefault="008874B3">
      <w:pPr>
        <w:pStyle w:val="Fotnotstext"/>
        <w:rPr>
          <w:lang w:val="en-US"/>
        </w:rPr>
      </w:pPr>
      <w:r w:rsidRPr="00CB6B51">
        <w:rPr>
          <w:rStyle w:val="Fotnotsreferens"/>
          <w:sz w:val="18"/>
          <w:szCs w:val="18"/>
        </w:rPr>
        <w:footnoteRef/>
      </w:r>
      <w:r w:rsidRPr="007A3389">
        <w:rPr>
          <w:sz w:val="18"/>
          <w:szCs w:val="18"/>
          <w:lang w:val="en-US"/>
        </w:rPr>
        <w:t xml:space="preserve"> Ibid</w:t>
      </w:r>
      <w:r w:rsidR="009F3EAF" w:rsidRPr="007A3389">
        <w:rPr>
          <w:sz w:val="18"/>
          <w:szCs w:val="18"/>
          <w:lang w:val="en-US"/>
        </w:rPr>
        <w:t>.</w:t>
      </w:r>
      <w:r w:rsidR="009F3EAF" w:rsidRPr="007A3389">
        <w:rPr>
          <w:lang w:val="en-US"/>
        </w:rPr>
        <w:t xml:space="preserve"> </w:t>
      </w:r>
    </w:p>
  </w:footnote>
  <w:footnote w:id="18">
    <w:p w14:paraId="705528EF" w14:textId="77777777" w:rsidR="00182BBB" w:rsidRPr="007B277D" w:rsidRDefault="00182BBB">
      <w:pPr>
        <w:pStyle w:val="Fotnotstext"/>
        <w:rPr>
          <w:lang w:val="en-US"/>
        </w:rPr>
      </w:pPr>
      <w:r>
        <w:rPr>
          <w:rStyle w:val="Fotnotsreferens"/>
        </w:rPr>
        <w:footnoteRef/>
      </w:r>
      <w:r w:rsidRPr="007B277D">
        <w:rPr>
          <w:lang w:val="en-US"/>
        </w:rPr>
        <w:t xml:space="preserve"> Recital 61, DSA. </w:t>
      </w:r>
    </w:p>
  </w:footnote>
  <w:footnote w:id="19">
    <w:p w14:paraId="0E104C71" w14:textId="77777777" w:rsidR="00BC0FDA" w:rsidRPr="00CB6B51" w:rsidRDefault="00BC0FDA">
      <w:pPr>
        <w:pStyle w:val="Fotnotstext"/>
        <w:rPr>
          <w:sz w:val="18"/>
          <w:szCs w:val="18"/>
          <w:lang w:val="en-US"/>
        </w:rPr>
      </w:pPr>
      <w:r w:rsidRPr="00CB6B51">
        <w:rPr>
          <w:rStyle w:val="Fotnotsreferens"/>
          <w:sz w:val="18"/>
          <w:szCs w:val="18"/>
        </w:rPr>
        <w:footnoteRef/>
      </w:r>
      <w:r w:rsidRPr="00CB6B51">
        <w:rPr>
          <w:sz w:val="18"/>
          <w:szCs w:val="18"/>
          <w:lang w:val="en-US"/>
        </w:rPr>
        <w:t xml:space="preserve">The Swedish Post and Telecom Authority decision against </w:t>
      </w:r>
      <w:proofErr w:type="spellStart"/>
      <w:r w:rsidRPr="00CB6B51">
        <w:rPr>
          <w:sz w:val="18"/>
          <w:szCs w:val="18"/>
          <w:lang w:val="en-US"/>
        </w:rPr>
        <w:t>Rättighetsall</w:t>
      </w:r>
      <w:r w:rsidR="00B663B4" w:rsidRPr="00CB6B51">
        <w:rPr>
          <w:sz w:val="18"/>
          <w:szCs w:val="18"/>
          <w:lang w:val="en-US"/>
        </w:rPr>
        <w:t>iansen</w:t>
      </w:r>
      <w:proofErr w:type="spellEnd"/>
      <w:r w:rsidRPr="00CB6B51">
        <w:rPr>
          <w:sz w:val="18"/>
          <w:szCs w:val="18"/>
          <w:lang w:val="en-US"/>
        </w:rPr>
        <w:t xml:space="preserve"> </w:t>
      </w:r>
      <w:proofErr w:type="spellStart"/>
      <w:r w:rsidRPr="00CB6B51">
        <w:rPr>
          <w:sz w:val="18"/>
          <w:szCs w:val="18"/>
          <w:lang w:val="en-US"/>
        </w:rPr>
        <w:t>Eurpoa</w:t>
      </w:r>
      <w:proofErr w:type="spellEnd"/>
      <w:r w:rsidRPr="00CB6B51">
        <w:rPr>
          <w:sz w:val="18"/>
          <w:szCs w:val="18"/>
          <w:lang w:val="en-US"/>
        </w:rPr>
        <w:t xml:space="preserve"> AB on status of trusted flagger, nr 24-3510. </w:t>
      </w:r>
    </w:p>
  </w:footnote>
  <w:footnote w:id="20">
    <w:p w14:paraId="3C7E68D0" w14:textId="212B570F" w:rsidR="00B31540" w:rsidRPr="00CB6B51" w:rsidRDefault="00B31540">
      <w:pPr>
        <w:pStyle w:val="Fotnotstext"/>
        <w:rPr>
          <w:sz w:val="18"/>
          <w:szCs w:val="18"/>
        </w:rPr>
      </w:pPr>
      <w:r w:rsidRPr="00CB6B51">
        <w:rPr>
          <w:rStyle w:val="Fotnotsreferens"/>
          <w:sz w:val="18"/>
          <w:szCs w:val="18"/>
        </w:rPr>
        <w:footnoteRef/>
      </w:r>
      <w:r w:rsidRPr="00CB6B51">
        <w:rPr>
          <w:sz w:val="18"/>
          <w:szCs w:val="18"/>
        </w:rPr>
        <w:t xml:space="preserve"> </w:t>
      </w:r>
      <w:r w:rsidR="0092518C" w:rsidRPr="00CB6B51">
        <w:rPr>
          <w:sz w:val="18"/>
          <w:szCs w:val="18"/>
        </w:rPr>
        <w:t>Regeringens proposition 2023/24:160 Kompletterande bestämmelser till EU:s förordning om digitala tjänster</w:t>
      </w:r>
      <w:r w:rsidRPr="00CB6B51">
        <w:rPr>
          <w:sz w:val="18"/>
          <w:szCs w:val="18"/>
        </w:rPr>
        <w:t xml:space="preserve"> p. 100. </w:t>
      </w:r>
    </w:p>
  </w:footnote>
  <w:footnote w:id="21">
    <w:p w14:paraId="22514905" w14:textId="527F14CC" w:rsidR="00226574" w:rsidRPr="00ED3AA9" w:rsidRDefault="00226574">
      <w:pPr>
        <w:pStyle w:val="Fotnotstext"/>
        <w:rPr>
          <w:color w:val="000000" w:themeColor="text1"/>
          <w:sz w:val="18"/>
          <w:szCs w:val="18"/>
        </w:rPr>
      </w:pPr>
      <w:r w:rsidRPr="00CB6B51">
        <w:rPr>
          <w:rStyle w:val="Fotnotsreferens"/>
          <w:color w:val="000000" w:themeColor="text1"/>
          <w:sz w:val="18"/>
          <w:szCs w:val="18"/>
        </w:rPr>
        <w:footnoteRef/>
      </w:r>
      <w:r w:rsidRPr="00ED3AA9">
        <w:rPr>
          <w:color w:val="000000" w:themeColor="text1"/>
          <w:sz w:val="18"/>
          <w:szCs w:val="18"/>
        </w:rPr>
        <w:t xml:space="preserve"> </w:t>
      </w:r>
      <w:r w:rsidR="00B31540" w:rsidRPr="00ED3AA9">
        <w:rPr>
          <w:color w:val="000000" w:themeColor="text1"/>
          <w:sz w:val="18"/>
          <w:szCs w:val="18"/>
        </w:rPr>
        <w:t xml:space="preserve">Ibid, p. 101. </w:t>
      </w:r>
      <w:r w:rsidRPr="00ED3AA9">
        <w:rPr>
          <w:color w:val="000000" w:themeColor="text1"/>
          <w:sz w:val="18"/>
          <w:szCs w:val="18"/>
        </w:rPr>
        <w:t xml:space="preserve"> </w:t>
      </w:r>
    </w:p>
  </w:footnote>
  <w:footnote w:id="22">
    <w:p w14:paraId="40C5AEB5" w14:textId="77777777" w:rsidR="00DA38D9" w:rsidRPr="00945089" w:rsidRDefault="00DA38D9" w:rsidP="00DA38D9">
      <w:pPr>
        <w:pStyle w:val="Fotnotstext"/>
        <w:rPr>
          <w:color w:val="000000" w:themeColor="text1"/>
          <w:sz w:val="18"/>
          <w:szCs w:val="18"/>
        </w:rPr>
      </w:pPr>
      <w:r w:rsidRPr="00CB6B51">
        <w:rPr>
          <w:rStyle w:val="Fotnotsreferens"/>
          <w:color w:val="000000" w:themeColor="text1"/>
          <w:sz w:val="18"/>
          <w:szCs w:val="18"/>
        </w:rPr>
        <w:footnoteRef/>
      </w:r>
      <w:r w:rsidRPr="00CB6B51">
        <w:rPr>
          <w:color w:val="000000" w:themeColor="text1"/>
          <w:sz w:val="18"/>
          <w:szCs w:val="18"/>
        </w:rPr>
        <w:t xml:space="preserve"> U. Bernitz and A. Kjellgren, Europarättens Grunder, Norstedts Juridik 2022, p. 17.</w:t>
      </w:r>
    </w:p>
  </w:footnote>
  <w:footnote w:id="23">
    <w:p w14:paraId="7ACC25C6" w14:textId="77777777" w:rsidR="00DA38D9" w:rsidRPr="00CB6B51" w:rsidRDefault="00DA38D9" w:rsidP="00DA38D9">
      <w:pPr>
        <w:pStyle w:val="Fotnotstext"/>
        <w:rPr>
          <w:color w:val="000000" w:themeColor="text1"/>
          <w:sz w:val="18"/>
          <w:szCs w:val="18"/>
        </w:rPr>
      </w:pPr>
      <w:r w:rsidRPr="00CB6B51">
        <w:rPr>
          <w:rStyle w:val="Fotnotsreferens"/>
          <w:color w:val="000000" w:themeColor="text1"/>
          <w:sz w:val="18"/>
          <w:szCs w:val="18"/>
        </w:rPr>
        <w:footnoteRef/>
      </w:r>
      <w:r w:rsidRPr="00CB6B51">
        <w:rPr>
          <w:color w:val="000000" w:themeColor="text1"/>
          <w:sz w:val="18"/>
          <w:szCs w:val="18"/>
        </w:rPr>
        <w:t xml:space="preserve"> A. Hammarén, Upphovsrätten ur ett yttrandefrihetsperspektiv, (2023) Nordiskt Immateriellt Rättsskydd nr 4, p. 472.</w:t>
      </w:r>
    </w:p>
  </w:footnote>
  <w:footnote w:id="24">
    <w:p w14:paraId="04D21CD6" w14:textId="77777777" w:rsidR="00DA38D9" w:rsidRPr="00CB6B51" w:rsidRDefault="00DA38D9" w:rsidP="00DA38D9">
      <w:pPr>
        <w:pStyle w:val="Fotnotstext"/>
        <w:rPr>
          <w:color w:val="000000" w:themeColor="text1"/>
          <w:sz w:val="18"/>
          <w:szCs w:val="18"/>
          <w:lang w:val="en-GB"/>
        </w:rPr>
      </w:pPr>
      <w:r w:rsidRPr="00CB6B51">
        <w:rPr>
          <w:rStyle w:val="Fotnotsreferens"/>
          <w:color w:val="000000" w:themeColor="text1"/>
          <w:sz w:val="18"/>
          <w:szCs w:val="18"/>
        </w:rPr>
        <w:footnoteRef/>
      </w:r>
      <w:r w:rsidRPr="00CB6B51">
        <w:rPr>
          <w:color w:val="000000" w:themeColor="text1"/>
          <w:sz w:val="18"/>
          <w:szCs w:val="18"/>
          <w:lang w:val="en-GB"/>
        </w:rPr>
        <w:t xml:space="preserve"> ECtHR (5th section) 19 February 2013, case of Fredrik Neij and Peter </w:t>
      </w:r>
      <w:proofErr w:type="spellStart"/>
      <w:r w:rsidRPr="00CB6B51">
        <w:rPr>
          <w:color w:val="000000" w:themeColor="text1"/>
          <w:sz w:val="18"/>
          <w:szCs w:val="18"/>
          <w:lang w:val="en-GB"/>
        </w:rPr>
        <w:t>Sunde</w:t>
      </w:r>
      <w:proofErr w:type="spellEnd"/>
    </w:p>
    <w:p w14:paraId="0BA8F39F" w14:textId="77777777" w:rsidR="00DA38D9" w:rsidRPr="00CB6B51" w:rsidRDefault="00DA38D9" w:rsidP="00DA38D9">
      <w:pPr>
        <w:pStyle w:val="Fotnotstext"/>
        <w:rPr>
          <w:sz w:val="18"/>
          <w:szCs w:val="18"/>
          <w:lang w:val="en-GB"/>
        </w:rPr>
      </w:pPr>
      <w:proofErr w:type="spellStart"/>
      <w:r w:rsidRPr="00CB6B51">
        <w:rPr>
          <w:color w:val="000000" w:themeColor="text1"/>
          <w:sz w:val="18"/>
          <w:szCs w:val="18"/>
          <w:lang w:val="en-GB"/>
        </w:rPr>
        <w:t>Kolmisoppi</w:t>
      </w:r>
      <w:proofErr w:type="spellEnd"/>
      <w:r w:rsidRPr="00CB6B51">
        <w:rPr>
          <w:color w:val="000000" w:themeColor="text1"/>
          <w:sz w:val="18"/>
          <w:szCs w:val="18"/>
          <w:lang w:val="en-GB"/>
        </w:rPr>
        <w:t xml:space="preserve"> v. Sweden, No. 40397/12.</w:t>
      </w:r>
    </w:p>
  </w:footnote>
  <w:footnote w:id="25">
    <w:p w14:paraId="6B96BEE0" w14:textId="77777777" w:rsidR="00DA38D9" w:rsidRPr="00CB6B51" w:rsidRDefault="00DA38D9" w:rsidP="00DA38D9">
      <w:pPr>
        <w:pStyle w:val="Fotnotstext"/>
        <w:rPr>
          <w:sz w:val="18"/>
          <w:szCs w:val="18"/>
          <w:lang w:val="en-GB"/>
        </w:rPr>
      </w:pPr>
      <w:r w:rsidRPr="00CB6B51">
        <w:rPr>
          <w:rStyle w:val="Fotnotsreferens"/>
          <w:sz w:val="18"/>
          <w:szCs w:val="18"/>
        </w:rPr>
        <w:footnoteRef/>
      </w:r>
      <w:r w:rsidRPr="00CB6B51">
        <w:rPr>
          <w:sz w:val="18"/>
          <w:szCs w:val="18"/>
          <w:lang w:val="en-GB"/>
        </w:rPr>
        <w:t xml:space="preserve"> European Convention for the Protection of Human Rights and Fundamental Freedoms, Article 10.</w:t>
      </w:r>
    </w:p>
  </w:footnote>
  <w:footnote w:id="26">
    <w:p w14:paraId="11258659" w14:textId="77777777" w:rsidR="00DA38D9" w:rsidRPr="00CB6B51" w:rsidRDefault="00DA38D9" w:rsidP="00DA38D9">
      <w:pPr>
        <w:pStyle w:val="Fotnotstext"/>
        <w:rPr>
          <w:sz w:val="18"/>
          <w:szCs w:val="18"/>
        </w:rPr>
      </w:pPr>
      <w:r w:rsidRPr="00CB6B51">
        <w:rPr>
          <w:rStyle w:val="Fotnotsreferens"/>
          <w:sz w:val="18"/>
          <w:szCs w:val="18"/>
        </w:rPr>
        <w:footnoteRef/>
      </w:r>
      <w:r w:rsidRPr="00CB6B51">
        <w:rPr>
          <w:sz w:val="18"/>
          <w:szCs w:val="18"/>
        </w:rPr>
        <w:t xml:space="preserve"> H. Bengtsson, I gränslandet mellan upphovsrätt och informationsfrihet, (2016) Liber </w:t>
      </w:r>
      <w:proofErr w:type="spellStart"/>
      <w:r w:rsidRPr="00CB6B51">
        <w:rPr>
          <w:sz w:val="18"/>
          <w:szCs w:val="18"/>
        </w:rPr>
        <w:t>Amicorum</w:t>
      </w:r>
      <w:proofErr w:type="spellEnd"/>
      <w:r w:rsidRPr="00CB6B51">
        <w:rPr>
          <w:sz w:val="18"/>
          <w:szCs w:val="18"/>
        </w:rPr>
        <w:t xml:space="preserve"> Jan</w:t>
      </w:r>
    </w:p>
    <w:p w14:paraId="679FB841" w14:textId="77777777" w:rsidR="00DA38D9" w:rsidRPr="00CB6B51" w:rsidRDefault="00DA38D9" w:rsidP="00DA38D9">
      <w:pPr>
        <w:pStyle w:val="Fotnotstext"/>
        <w:rPr>
          <w:b/>
          <w:bCs/>
          <w:sz w:val="18"/>
          <w:szCs w:val="18"/>
          <w:lang w:val="en-GB"/>
        </w:rPr>
      </w:pPr>
      <w:proofErr w:type="spellStart"/>
      <w:r w:rsidRPr="00CB6B51">
        <w:rPr>
          <w:sz w:val="18"/>
          <w:szCs w:val="18"/>
          <w:lang w:val="en-GB"/>
        </w:rPr>
        <w:t>Rosén</w:t>
      </w:r>
      <w:proofErr w:type="spellEnd"/>
      <w:r w:rsidRPr="00CB6B51">
        <w:rPr>
          <w:sz w:val="18"/>
          <w:szCs w:val="18"/>
          <w:lang w:val="en-GB"/>
        </w:rPr>
        <w:t>, p. 101.</w:t>
      </w:r>
    </w:p>
  </w:footnote>
  <w:footnote w:id="27">
    <w:p w14:paraId="756C9118" w14:textId="77777777" w:rsidR="00DA38D9" w:rsidRPr="00CB6B51" w:rsidRDefault="00DA38D9" w:rsidP="00DA38D9">
      <w:pPr>
        <w:pStyle w:val="Fotnotstext"/>
        <w:rPr>
          <w:sz w:val="18"/>
          <w:szCs w:val="18"/>
          <w:lang w:val="en-GB"/>
        </w:rPr>
      </w:pPr>
      <w:r w:rsidRPr="00CB6B51">
        <w:rPr>
          <w:rStyle w:val="Fotnotsreferens"/>
          <w:sz w:val="18"/>
          <w:szCs w:val="18"/>
        </w:rPr>
        <w:footnoteRef/>
      </w:r>
      <w:r w:rsidRPr="00CB6B51">
        <w:rPr>
          <w:sz w:val="18"/>
          <w:szCs w:val="18"/>
          <w:lang w:val="en-GB"/>
        </w:rPr>
        <w:t xml:space="preserve"> Swedish Patent and Market Court of Appeal, judgement of 7 December 2018, case no. PMFT 4717-18, L.G. v J.J.</w:t>
      </w:r>
    </w:p>
  </w:footnote>
  <w:footnote w:id="28">
    <w:p w14:paraId="61072CBE" w14:textId="77777777" w:rsidR="00DA38D9" w:rsidRPr="00CB6B51" w:rsidRDefault="00DA38D9" w:rsidP="00DA38D9">
      <w:pPr>
        <w:pStyle w:val="Fotnotstext"/>
        <w:rPr>
          <w:sz w:val="18"/>
          <w:szCs w:val="18"/>
          <w:lang w:val="en-GB"/>
        </w:rPr>
      </w:pPr>
      <w:r w:rsidRPr="00CB6B51">
        <w:rPr>
          <w:rStyle w:val="Fotnotsreferens"/>
          <w:sz w:val="18"/>
          <w:szCs w:val="18"/>
        </w:rPr>
        <w:footnoteRef/>
      </w:r>
      <w:r w:rsidRPr="00CB6B51">
        <w:rPr>
          <w:sz w:val="18"/>
          <w:szCs w:val="18"/>
          <w:lang w:val="en-GB"/>
        </w:rPr>
        <w:t xml:space="preserve"> Act on Copyright in Literary and Artistic Works (SFS 1960:729), Section 51.</w:t>
      </w:r>
    </w:p>
  </w:footnote>
  <w:footnote w:id="29">
    <w:p w14:paraId="6B4C6BEF" w14:textId="77777777" w:rsidR="00DA38D9" w:rsidRPr="006C1B5C" w:rsidRDefault="00DA38D9" w:rsidP="00DA38D9">
      <w:pPr>
        <w:pStyle w:val="Fotnotstext"/>
        <w:rPr>
          <w:lang w:val="en-GB"/>
        </w:rPr>
      </w:pPr>
      <w:r w:rsidRPr="00CB6B51">
        <w:rPr>
          <w:rStyle w:val="Fotnotsreferens"/>
          <w:sz w:val="18"/>
          <w:szCs w:val="18"/>
        </w:rPr>
        <w:footnoteRef/>
      </w:r>
      <w:r w:rsidRPr="00CB6B51">
        <w:rPr>
          <w:sz w:val="18"/>
          <w:szCs w:val="18"/>
          <w:lang w:val="en-GB"/>
        </w:rPr>
        <w:t xml:space="preserve"> Swedish Patent and Market Court, judgement of 15 April 2021, case no. PMT 17286-19, Svenska </w:t>
      </w:r>
      <w:proofErr w:type="spellStart"/>
      <w:r w:rsidRPr="00CB6B51">
        <w:rPr>
          <w:sz w:val="18"/>
          <w:szCs w:val="18"/>
          <w:lang w:val="en-GB"/>
        </w:rPr>
        <w:t>Akademin</w:t>
      </w:r>
      <w:proofErr w:type="spellEnd"/>
      <w:r w:rsidRPr="00CB6B51">
        <w:rPr>
          <w:sz w:val="18"/>
          <w:szCs w:val="18"/>
          <w:lang w:val="en-GB"/>
        </w:rPr>
        <w:t xml:space="preserve"> v </w:t>
      </w:r>
      <w:proofErr w:type="spellStart"/>
      <w:r w:rsidRPr="00CB6B51">
        <w:rPr>
          <w:sz w:val="18"/>
          <w:szCs w:val="18"/>
          <w:lang w:val="en-GB"/>
        </w:rPr>
        <w:t>Nordfront</w:t>
      </w:r>
      <w:proofErr w:type="spellEnd"/>
      <w:r w:rsidRPr="00CB6B51">
        <w:rPr>
          <w:sz w:val="18"/>
          <w:szCs w:val="18"/>
          <w:lang w:val="en-GB"/>
        </w:rPr>
        <w:t xml:space="preserve"> and </w:t>
      </w:r>
      <w:proofErr w:type="spellStart"/>
      <w:r w:rsidRPr="00CB6B51">
        <w:rPr>
          <w:sz w:val="18"/>
          <w:szCs w:val="18"/>
          <w:lang w:val="en-GB"/>
        </w:rPr>
        <w:t>Nordiska</w:t>
      </w:r>
      <w:proofErr w:type="spellEnd"/>
      <w:r w:rsidRPr="00CB6B51">
        <w:rPr>
          <w:sz w:val="18"/>
          <w:szCs w:val="18"/>
          <w:lang w:val="en-GB"/>
        </w:rPr>
        <w:t xml:space="preserve"> </w:t>
      </w:r>
      <w:proofErr w:type="spellStart"/>
      <w:r w:rsidRPr="00CB6B51">
        <w:rPr>
          <w:sz w:val="18"/>
          <w:szCs w:val="18"/>
          <w:lang w:val="en-GB"/>
        </w:rPr>
        <w:t>motståndsrörelsen</w:t>
      </w:r>
      <w:proofErr w:type="spellEnd"/>
      <w:r w:rsidRPr="00CB6B51">
        <w:rPr>
          <w:sz w:val="18"/>
          <w:szCs w:val="18"/>
          <w:lang w:val="en-GB"/>
        </w:rPr>
        <w:t>.</w:t>
      </w:r>
    </w:p>
  </w:footnote>
  <w:footnote w:id="30">
    <w:p w14:paraId="6DD593C7" w14:textId="77777777" w:rsidR="00DA38D9" w:rsidRPr="00CB6B51" w:rsidRDefault="00DA38D9" w:rsidP="00DA38D9">
      <w:pPr>
        <w:pStyle w:val="Fotnotstext"/>
        <w:rPr>
          <w:sz w:val="18"/>
          <w:szCs w:val="18"/>
        </w:rPr>
      </w:pPr>
      <w:r w:rsidRPr="00CB6B51">
        <w:rPr>
          <w:rStyle w:val="Fotnotsreferens"/>
          <w:sz w:val="18"/>
          <w:szCs w:val="18"/>
        </w:rPr>
        <w:footnoteRef/>
      </w:r>
      <w:r w:rsidRPr="00CB6B51">
        <w:rPr>
          <w:sz w:val="18"/>
          <w:szCs w:val="18"/>
          <w:lang w:val="en-GB"/>
        </w:rPr>
        <w:t xml:space="preserve"> Swedish Patent and Market Court of Appeal, judgement of 24 January 2018, case no. </w:t>
      </w:r>
      <w:r w:rsidRPr="00CB6B51">
        <w:rPr>
          <w:sz w:val="18"/>
          <w:szCs w:val="18"/>
        </w:rPr>
        <w:t>PMFT 2585-17, J.I. v M.B.</w:t>
      </w:r>
    </w:p>
  </w:footnote>
  <w:footnote w:id="31">
    <w:p w14:paraId="35931F1F" w14:textId="77777777" w:rsidR="00DA38D9" w:rsidRPr="00CB6B51" w:rsidRDefault="00DA38D9" w:rsidP="00DA38D9">
      <w:pPr>
        <w:pStyle w:val="Fotnotstext"/>
        <w:rPr>
          <w:sz w:val="18"/>
          <w:szCs w:val="18"/>
        </w:rPr>
      </w:pPr>
      <w:r w:rsidRPr="00CB6B51">
        <w:rPr>
          <w:rStyle w:val="Fotnotsreferens"/>
          <w:sz w:val="18"/>
          <w:szCs w:val="18"/>
        </w:rPr>
        <w:footnoteRef/>
      </w:r>
      <w:r w:rsidRPr="00CB6B51">
        <w:rPr>
          <w:sz w:val="18"/>
          <w:szCs w:val="18"/>
        </w:rPr>
        <w:t xml:space="preserve"> CJEU, </w:t>
      </w:r>
      <w:proofErr w:type="spellStart"/>
      <w:r w:rsidRPr="00CB6B51">
        <w:rPr>
          <w:sz w:val="18"/>
          <w:szCs w:val="18"/>
        </w:rPr>
        <w:t>case</w:t>
      </w:r>
      <w:proofErr w:type="spellEnd"/>
      <w:r w:rsidRPr="00CB6B51">
        <w:rPr>
          <w:sz w:val="18"/>
          <w:szCs w:val="18"/>
        </w:rPr>
        <w:t xml:space="preserve"> C-469/17, Funke Medien NRW GmbH v Bundesrepublik Deutschland, EU:C:2019:623, para. 45-53.</w:t>
      </w:r>
    </w:p>
  </w:footnote>
  <w:footnote w:id="32">
    <w:p w14:paraId="23FDB599" w14:textId="77777777" w:rsidR="00DA38D9" w:rsidRPr="00CB6B51" w:rsidRDefault="00DA38D9" w:rsidP="00DA38D9">
      <w:pPr>
        <w:pStyle w:val="Fotnotstext"/>
        <w:rPr>
          <w:sz w:val="18"/>
          <w:szCs w:val="18"/>
          <w:lang w:val="en-GB"/>
        </w:rPr>
      </w:pPr>
      <w:r w:rsidRPr="00CB6B51">
        <w:rPr>
          <w:rStyle w:val="Fotnotsreferens"/>
          <w:sz w:val="18"/>
          <w:szCs w:val="18"/>
        </w:rPr>
        <w:footnoteRef/>
      </w:r>
      <w:r w:rsidRPr="00CB6B51">
        <w:rPr>
          <w:sz w:val="18"/>
          <w:szCs w:val="18"/>
          <w:lang w:val="en-GB"/>
        </w:rPr>
        <w:t xml:space="preserve"> Act on Copyright in Literary and Artistic Works (SFS 1960:729), Sections 22-26.</w:t>
      </w:r>
    </w:p>
  </w:footnote>
  <w:footnote w:id="33">
    <w:p w14:paraId="572C86B2" w14:textId="77777777" w:rsidR="00DA38D9" w:rsidRPr="00CB6B51" w:rsidRDefault="00DA38D9" w:rsidP="00DA38D9">
      <w:pPr>
        <w:pStyle w:val="Fotnotstext"/>
        <w:rPr>
          <w:sz w:val="18"/>
          <w:szCs w:val="18"/>
        </w:rPr>
      </w:pPr>
      <w:r w:rsidRPr="00CB6B51">
        <w:rPr>
          <w:rStyle w:val="Fotnotsreferens"/>
          <w:sz w:val="18"/>
          <w:szCs w:val="18"/>
        </w:rPr>
        <w:footnoteRef/>
      </w:r>
      <w:r w:rsidRPr="00CB6B51">
        <w:rPr>
          <w:sz w:val="18"/>
          <w:szCs w:val="18"/>
        </w:rPr>
        <w:t xml:space="preserve"> A. Hammarén, Upphovsrätten ur ett yttrandefrihetsperspektiv, (2023) Nordiskt Immateriellt Rättsskydd nr 4, p. 479.</w:t>
      </w:r>
    </w:p>
  </w:footnote>
  <w:footnote w:id="34">
    <w:p w14:paraId="62384BE1" w14:textId="77777777" w:rsidR="00DA38D9" w:rsidRPr="00CB6B51" w:rsidRDefault="00DA38D9" w:rsidP="00DA38D9">
      <w:pPr>
        <w:pStyle w:val="Fotnotstext"/>
        <w:rPr>
          <w:sz w:val="18"/>
          <w:szCs w:val="18"/>
        </w:rPr>
      </w:pPr>
      <w:r w:rsidRPr="00CB6B51">
        <w:rPr>
          <w:rStyle w:val="Fotnotsreferens"/>
          <w:sz w:val="18"/>
          <w:szCs w:val="18"/>
        </w:rPr>
        <w:footnoteRef/>
      </w:r>
      <w:r w:rsidRPr="00CB6B51">
        <w:rPr>
          <w:sz w:val="18"/>
          <w:szCs w:val="18"/>
        </w:rPr>
        <w:t xml:space="preserve"> CJEU, </w:t>
      </w:r>
      <w:proofErr w:type="spellStart"/>
      <w:r w:rsidRPr="00CB6B51">
        <w:rPr>
          <w:sz w:val="18"/>
          <w:szCs w:val="18"/>
        </w:rPr>
        <w:t>case</w:t>
      </w:r>
      <w:proofErr w:type="spellEnd"/>
      <w:r w:rsidRPr="00CB6B51">
        <w:rPr>
          <w:sz w:val="18"/>
          <w:szCs w:val="18"/>
        </w:rPr>
        <w:t xml:space="preserve"> C-469/17, Funke Medien NRW GmbH v Bundesrepublik Deutschland, EU:C:2019:623, para. 48 and 49.</w:t>
      </w:r>
    </w:p>
  </w:footnote>
  <w:footnote w:id="35">
    <w:p w14:paraId="24C3E230" w14:textId="77777777" w:rsidR="00DA38D9" w:rsidRDefault="00DA38D9" w:rsidP="00DA38D9">
      <w:pPr>
        <w:pStyle w:val="Fotnotstext"/>
      </w:pPr>
      <w:r w:rsidRPr="00CB6B51">
        <w:rPr>
          <w:rStyle w:val="Fotnotsreferens"/>
          <w:sz w:val="18"/>
          <w:szCs w:val="18"/>
        </w:rPr>
        <w:footnoteRef/>
      </w:r>
      <w:r w:rsidRPr="00CB6B51">
        <w:rPr>
          <w:sz w:val="18"/>
          <w:szCs w:val="18"/>
        </w:rPr>
        <w:t xml:space="preserve"> U. Bernitz et al, Immaterialrätt och otillbörlig konkurrens, Norstedts juridik 2023, p. 22 f.</w:t>
      </w:r>
    </w:p>
  </w:footnote>
  <w:footnote w:id="36">
    <w:p w14:paraId="09C9110D" w14:textId="77777777" w:rsidR="00DA38D9" w:rsidRPr="00CB6B51" w:rsidRDefault="00DA38D9" w:rsidP="00DA38D9">
      <w:pPr>
        <w:pStyle w:val="Fotnotstext"/>
        <w:rPr>
          <w:sz w:val="18"/>
          <w:szCs w:val="18"/>
        </w:rPr>
      </w:pPr>
      <w:r w:rsidRPr="00CB6B51">
        <w:rPr>
          <w:rStyle w:val="Fotnotsreferens"/>
          <w:sz w:val="18"/>
          <w:szCs w:val="18"/>
        </w:rPr>
        <w:footnoteRef/>
      </w:r>
      <w:r w:rsidRPr="00CB6B51">
        <w:rPr>
          <w:sz w:val="18"/>
          <w:szCs w:val="18"/>
        </w:rPr>
        <w:t xml:space="preserve"> U. Bernitz et al, Immaterialrätt och otillbörlig konkurrens, Norstedts juridik 2023, p. 109 f.</w:t>
      </w:r>
    </w:p>
  </w:footnote>
  <w:footnote w:id="37">
    <w:p w14:paraId="019FC963" w14:textId="77777777" w:rsidR="00DA38D9" w:rsidRPr="00CB6B51" w:rsidRDefault="00DA38D9" w:rsidP="00DA38D9">
      <w:pPr>
        <w:pStyle w:val="Fotnotstext"/>
        <w:rPr>
          <w:sz w:val="18"/>
          <w:szCs w:val="18"/>
          <w:lang w:val="en-GB"/>
        </w:rPr>
      </w:pPr>
      <w:r w:rsidRPr="00CB6B51">
        <w:rPr>
          <w:rStyle w:val="Fotnotsreferens"/>
          <w:sz w:val="18"/>
          <w:szCs w:val="18"/>
        </w:rPr>
        <w:footnoteRef/>
      </w:r>
      <w:r w:rsidRPr="00CB6B51">
        <w:rPr>
          <w:sz w:val="18"/>
          <w:szCs w:val="18"/>
          <w:lang w:val="en-GB"/>
        </w:rPr>
        <w:t xml:space="preserve"> </w:t>
      </w:r>
      <w:proofErr w:type="spellStart"/>
      <w:r w:rsidRPr="00CB6B51">
        <w:rPr>
          <w:sz w:val="18"/>
          <w:szCs w:val="18"/>
          <w:lang w:val="en-GB"/>
        </w:rPr>
        <w:t>Svea</w:t>
      </w:r>
      <w:proofErr w:type="spellEnd"/>
      <w:r w:rsidRPr="00CB6B51">
        <w:rPr>
          <w:sz w:val="18"/>
          <w:szCs w:val="18"/>
          <w:lang w:val="en-GB"/>
        </w:rPr>
        <w:t xml:space="preserve"> Court of Appeal, judgement of 26 November 2010, reference RH 2013:27, F.N. et al v Sweden.</w:t>
      </w:r>
    </w:p>
  </w:footnote>
  <w:footnote w:id="38">
    <w:p w14:paraId="69FD8E23" w14:textId="77777777" w:rsidR="00DA38D9" w:rsidRPr="00CB6B51" w:rsidRDefault="00DA38D9" w:rsidP="00DA38D9">
      <w:pPr>
        <w:pStyle w:val="Fotnotstext"/>
        <w:rPr>
          <w:sz w:val="18"/>
          <w:szCs w:val="18"/>
          <w:lang w:val="en-GB"/>
        </w:rPr>
      </w:pPr>
      <w:r w:rsidRPr="00CB6B51">
        <w:rPr>
          <w:rStyle w:val="Fotnotsreferens"/>
          <w:sz w:val="18"/>
          <w:szCs w:val="18"/>
        </w:rPr>
        <w:footnoteRef/>
      </w:r>
      <w:r w:rsidRPr="00CB6B51">
        <w:rPr>
          <w:sz w:val="18"/>
          <w:szCs w:val="18"/>
          <w:lang w:val="en-GB"/>
        </w:rPr>
        <w:t xml:space="preserve"> Art 1 of Protocol No 1 to the Convention for the Protection of Human Rights and Fundamental Freedoms.</w:t>
      </w:r>
    </w:p>
  </w:footnote>
  <w:footnote w:id="39">
    <w:p w14:paraId="02483480" w14:textId="77777777" w:rsidR="00DA38D9" w:rsidRPr="00DA38D9" w:rsidRDefault="00DA38D9" w:rsidP="00DA38D9">
      <w:pPr>
        <w:pStyle w:val="Fotnotstext"/>
        <w:rPr>
          <w:lang w:val="en-US"/>
        </w:rPr>
      </w:pPr>
      <w:r w:rsidRPr="00CB6B51">
        <w:rPr>
          <w:rStyle w:val="Fotnotsreferens"/>
          <w:sz w:val="18"/>
          <w:szCs w:val="18"/>
        </w:rPr>
        <w:footnoteRef/>
      </w:r>
      <w:r w:rsidRPr="00CB6B51">
        <w:rPr>
          <w:sz w:val="18"/>
          <w:szCs w:val="18"/>
          <w:lang w:val="en-GB"/>
        </w:rPr>
        <w:t xml:space="preserve"> Swedish Patent and Market Court of Appeal, judgement of 7 December 2018, case no. </w:t>
      </w:r>
      <w:r w:rsidRPr="00CB6B51">
        <w:rPr>
          <w:sz w:val="18"/>
          <w:szCs w:val="18"/>
          <w:lang w:val="en-US"/>
        </w:rPr>
        <w:t>PMFT 4717-18, L.G. v J.J.</w:t>
      </w:r>
    </w:p>
  </w:footnote>
  <w:footnote w:id="40">
    <w:p w14:paraId="2712D736" w14:textId="77777777" w:rsidR="00DA38D9" w:rsidRPr="00236AEC" w:rsidRDefault="00DA38D9" w:rsidP="00DA38D9">
      <w:pPr>
        <w:pStyle w:val="Fotnotstext"/>
        <w:rPr>
          <w:lang w:val="en-GB"/>
        </w:rPr>
      </w:pPr>
      <w:r>
        <w:rPr>
          <w:rStyle w:val="Fotnotsreferens"/>
        </w:rPr>
        <w:footnoteRef/>
      </w:r>
      <w:r w:rsidRPr="00236AEC">
        <w:rPr>
          <w:lang w:val="en-GB"/>
        </w:rPr>
        <w:t xml:space="preserve"> Art 6 of the Convention for the Protection of Human Rights and Fundamental Freedoms</w:t>
      </w:r>
      <w:r>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07999" w14:textId="77777777" w:rsidR="0013235B" w:rsidRPr="00A727A6" w:rsidRDefault="00AE2318" w:rsidP="00AE2318">
    <w:pPr>
      <w:pStyle w:val="Sidhuvud"/>
      <w:tabs>
        <w:tab w:val="clear" w:pos="9072"/>
        <w:tab w:val="right" w:pos="9070"/>
      </w:tabs>
      <w:rPr>
        <w:rFonts w:cs="Times New Roman"/>
        <w:szCs w:val="20"/>
      </w:rPr>
    </w:pPr>
    <w:r>
      <w:rPr>
        <w:rFonts w:cs="Times New Roman"/>
        <w:szCs w:val="20"/>
      </w:rPr>
      <w:tab/>
    </w:r>
    <w:r>
      <w:rPr>
        <w:rFonts w:cs="Times New Roman"/>
        <w:szCs w:val="20"/>
      </w:rPr>
      <w:tab/>
    </w:r>
    <w:r w:rsidR="0013235B" w:rsidRPr="00A727A6">
      <w:rPr>
        <w:rFonts w:cs="Times New Roman"/>
        <w:szCs w:val="20"/>
      </w:rPr>
      <w:fldChar w:fldCharType="begin"/>
    </w:r>
    <w:r w:rsidR="0013235B" w:rsidRPr="00A727A6">
      <w:rPr>
        <w:rFonts w:cs="Times New Roman"/>
        <w:szCs w:val="20"/>
      </w:rPr>
      <w:instrText>PAGE  \* Arabic  \* MERGEFORMAT</w:instrText>
    </w:r>
    <w:r w:rsidR="0013235B" w:rsidRPr="00A727A6">
      <w:rPr>
        <w:rFonts w:cs="Times New Roman"/>
        <w:szCs w:val="20"/>
      </w:rPr>
      <w:fldChar w:fldCharType="separate"/>
    </w:r>
    <w:r w:rsidR="0013235B" w:rsidRPr="00A727A6">
      <w:rPr>
        <w:rFonts w:cs="Times New Roman"/>
        <w:szCs w:val="20"/>
      </w:rPr>
      <w:t>1</w:t>
    </w:r>
    <w:r w:rsidR="0013235B" w:rsidRPr="00A727A6">
      <w:rPr>
        <w:rFonts w:cs="Times New Roman"/>
        <w:szCs w:val="20"/>
      </w:rPr>
      <w:fldChar w:fldCharType="end"/>
    </w:r>
    <w:r w:rsidR="0013235B" w:rsidRPr="00A727A6">
      <w:rPr>
        <w:rFonts w:cs="Times New Roman"/>
        <w:szCs w:val="20"/>
      </w:rPr>
      <w:t>(</w:t>
    </w:r>
    <w:r w:rsidR="0013235B" w:rsidRPr="00A727A6">
      <w:rPr>
        <w:rFonts w:cs="Times New Roman"/>
        <w:szCs w:val="20"/>
      </w:rPr>
      <w:fldChar w:fldCharType="begin"/>
    </w:r>
    <w:r w:rsidR="0013235B" w:rsidRPr="00A727A6">
      <w:rPr>
        <w:rFonts w:cs="Times New Roman"/>
        <w:szCs w:val="20"/>
      </w:rPr>
      <w:instrText>NUMPAGES  \* Arabic  \* MERGEFORMAT</w:instrText>
    </w:r>
    <w:r w:rsidR="0013235B" w:rsidRPr="00A727A6">
      <w:rPr>
        <w:rFonts w:cs="Times New Roman"/>
        <w:szCs w:val="20"/>
      </w:rPr>
      <w:fldChar w:fldCharType="separate"/>
    </w:r>
    <w:r w:rsidR="0013235B" w:rsidRPr="00A727A6">
      <w:rPr>
        <w:rFonts w:cs="Times New Roman"/>
        <w:szCs w:val="20"/>
      </w:rPr>
      <w:t>2</w:t>
    </w:r>
    <w:r w:rsidR="0013235B" w:rsidRPr="00A727A6">
      <w:rPr>
        <w:rFonts w:cs="Times New Roman"/>
        <w:szCs w:val="20"/>
      </w:rPr>
      <w:fldChar w:fldCharType="end"/>
    </w:r>
    <w:r w:rsidR="0013235B" w:rsidRPr="00A727A6">
      <w:rPr>
        <w:rFonts w:cs="Times New Roman"/>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CFD04" w14:textId="5D54B20C" w:rsidR="00AE2318" w:rsidRDefault="00974D49">
    <w:pPr>
      <w:pStyle w:val="Sidhuvud"/>
    </w:pPr>
    <w:r>
      <w:t>July 2nd</w:t>
    </w:r>
    <w:r w:rsidR="003A27B8">
      <w:t xml:space="preserve"> </w:t>
    </w:r>
    <w:r w:rsidR="00192213">
      <w:t xml:space="preserve">2025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212DD"/>
    <w:multiLevelType w:val="hybridMultilevel"/>
    <w:tmpl w:val="C068D3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745BC5"/>
    <w:multiLevelType w:val="hybridMultilevel"/>
    <w:tmpl w:val="1D3AABD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FA71146"/>
    <w:multiLevelType w:val="hybridMultilevel"/>
    <w:tmpl w:val="4A7252C6"/>
    <w:lvl w:ilvl="0" w:tplc="6616C086">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30E1779"/>
    <w:multiLevelType w:val="hybridMultilevel"/>
    <w:tmpl w:val="83E8C970"/>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4" w15:restartNumberingAfterBreak="0">
    <w:nsid w:val="32EE10B3"/>
    <w:multiLevelType w:val="hybridMultilevel"/>
    <w:tmpl w:val="B4C43E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5FE5497"/>
    <w:multiLevelType w:val="hybridMultilevel"/>
    <w:tmpl w:val="93E0628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7B0707D2"/>
    <w:multiLevelType w:val="hybridMultilevel"/>
    <w:tmpl w:val="4C2C9BA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530537095">
    <w:abstractNumId w:val="2"/>
  </w:num>
  <w:num w:numId="2" w16cid:durableId="1575704652">
    <w:abstractNumId w:val="4"/>
  </w:num>
  <w:num w:numId="3" w16cid:durableId="927812536">
    <w:abstractNumId w:val="0"/>
  </w:num>
  <w:num w:numId="4" w16cid:durableId="770708597">
    <w:abstractNumId w:val="1"/>
  </w:num>
  <w:num w:numId="5" w16cid:durableId="2013994732">
    <w:abstractNumId w:val="6"/>
  </w:num>
  <w:num w:numId="6" w16cid:durableId="1204099481">
    <w:abstractNumId w:val="5"/>
  </w:num>
  <w:num w:numId="7" w16cid:durableId="71835680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9DB"/>
    <w:rsid w:val="00000C01"/>
    <w:rsid w:val="00001F42"/>
    <w:rsid w:val="00004B1B"/>
    <w:rsid w:val="000054DA"/>
    <w:rsid w:val="0000769C"/>
    <w:rsid w:val="00013019"/>
    <w:rsid w:val="00015ADD"/>
    <w:rsid w:val="00016BBF"/>
    <w:rsid w:val="00016FA9"/>
    <w:rsid w:val="00017E67"/>
    <w:rsid w:val="00017E90"/>
    <w:rsid w:val="00017ED6"/>
    <w:rsid w:val="00021ECB"/>
    <w:rsid w:val="0002354A"/>
    <w:rsid w:val="000236BD"/>
    <w:rsid w:val="00025FC0"/>
    <w:rsid w:val="00026660"/>
    <w:rsid w:val="000269C0"/>
    <w:rsid w:val="00027731"/>
    <w:rsid w:val="000327D6"/>
    <w:rsid w:val="00033C8E"/>
    <w:rsid w:val="00035ADE"/>
    <w:rsid w:val="00035E5D"/>
    <w:rsid w:val="0003694D"/>
    <w:rsid w:val="00036BA7"/>
    <w:rsid w:val="00036E57"/>
    <w:rsid w:val="000409F3"/>
    <w:rsid w:val="00040C17"/>
    <w:rsid w:val="000431C0"/>
    <w:rsid w:val="0004374B"/>
    <w:rsid w:val="00043F90"/>
    <w:rsid w:val="00044381"/>
    <w:rsid w:val="00046122"/>
    <w:rsid w:val="0004700D"/>
    <w:rsid w:val="0004753F"/>
    <w:rsid w:val="00050E62"/>
    <w:rsid w:val="00050F6D"/>
    <w:rsid w:val="00056953"/>
    <w:rsid w:val="00056B73"/>
    <w:rsid w:val="000608FE"/>
    <w:rsid w:val="000620BB"/>
    <w:rsid w:val="00062538"/>
    <w:rsid w:val="00062CA2"/>
    <w:rsid w:val="00067A82"/>
    <w:rsid w:val="00072BA0"/>
    <w:rsid w:val="000730B0"/>
    <w:rsid w:val="0008143B"/>
    <w:rsid w:val="00087203"/>
    <w:rsid w:val="00090AEF"/>
    <w:rsid w:val="00091C80"/>
    <w:rsid w:val="00091CD8"/>
    <w:rsid w:val="00092BAE"/>
    <w:rsid w:val="000945BD"/>
    <w:rsid w:val="00094A2D"/>
    <w:rsid w:val="0009672C"/>
    <w:rsid w:val="00097C33"/>
    <w:rsid w:val="000A010C"/>
    <w:rsid w:val="000A20E0"/>
    <w:rsid w:val="000A40D9"/>
    <w:rsid w:val="000A49EA"/>
    <w:rsid w:val="000A5145"/>
    <w:rsid w:val="000A65F6"/>
    <w:rsid w:val="000A686F"/>
    <w:rsid w:val="000B0AB8"/>
    <w:rsid w:val="000B16AF"/>
    <w:rsid w:val="000B17A6"/>
    <w:rsid w:val="000B6151"/>
    <w:rsid w:val="000C03AB"/>
    <w:rsid w:val="000C22A9"/>
    <w:rsid w:val="000C24DE"/>
    <w:rsid w:val="000C533C"/>
    <w:rsid w:val="000C55F3"/>
    <w:rsid w:val="000C5A8E"/>
    <w:rsid w:val="000C708E"/>
    <w:rsid w:val="000C7561"/>
    <w:rsid w:val="000D4501"/>
    <w:rsid w:val="000E0E92"/>
    <w:rsid w:val="000E12D1"/>
    <w:rsid w:val="000E3AB2"/>
    <w:rsid w:val="000E3AD5"/>
    <w:rsid w:val="000E4934"/>
    <w:rsid w:val="000E4A98"/>
    <w:rsid w:val="000E512A"/>
    <w:rsid w:val="000E5534"/>
    <w:rsid w:val="000E7234"/>
    <w:rsid w:val="000F0468"/>
    <w:rsid w:val="00101B2E"/>
    <w:rsid w:val="00102700"/>
    <w:rsid w:val="001029A8"/>
    <w:rsid w:val="001032FD"/>
    <w:rsid w:val="00106A4A"/>
    <w:rsid w:val="00107387"/>
    <w:rsid w:val="001123AE"/>
    <w:rsid w:val="001126D7"/>
    <w:rsid w:val="00113A61"/>
    <w:rsid w:val="00113C69"/>
    <w:rsid w:val="001143D9"/>
    <w:rsid w:val="00117310"/>
    <w:rsid w:val="00121107"/>
    <w:rsid w:val="001236FD"/>
    <w:rsid w:val="0013065C"/>
    <w:rsid w:val="0013235B"/>
    <w:rsid w:val="00132C5C"/>
    <w:rsid w:val="001342C2"/>
    <w:rsid w:val="00135A6D"/>
    <w:rsid w:val="00136C6D"/>
    <w:rsid w:val="00140A66"/>
    <w:rsid w:val="00140BF1"/>
    <w:rsid w:val="00141F58"/>
    <w:rsid w:val="0014302D"/>
    <w:rsid w:val="00143548"/>
    <w:rsid w:val="00145A9C"/>
    <w:rsid w:val="0015136D"/>
    <w:rsid w:val="00153C05"/>
    <w:rsid w:val="00153D94"/>
    <w:rsid w:val="00155255"/>
    <w:rsid w:val="00160C9E"/>
    <w:rsid w:val="00161C65"/>
    <w:rsid w:val="00163414"/>
    <w:rsid w:val="0016406D"/>
    <w:rsid w:val="001645B4"/>
    <w:rsid w:val="00166FA8"/>
    <w:rsid w:val="0016764B"/>
    <w:rsid w:val="00170094"/>
    <w:rsid w:val="00170208"/>
    <w:rsid w:val="00171F58"/>
    <w:rsid w:val="001723F0"/>
    <w:rsid w:val="00172BC7"/>
    <w:rsid w:val="00174A56"/>
    <w:rsid w:val="00174D5B"/>
    <w:rsid w:val="00174F0F"/>
    <w:rsid w:val="001766CC"/>
    <w:rsid w:val="001772FC"/>
    <w:rsid w:val="00180753"/>
    <w:rsid w:val="00182BBB"/>
    <w:rsid w:val="00183618"/>
    <w:rsid w:val="001849CE"/>
    <w:rsid w:val="00184E4A"/>
    <w:rsid w:val="00192213"/>
    <w:rsid w:val="00192C89"/>
    <w:rsid w:val="0019572B"/>
    <w:rsid w:val="0019579C"/>
    <w:rsid w:val="00196404"/>
    <w:rsid w:val="001979F3"/>
    <w:rsid w:val="001A0634"/>
    <w:rsid w:val="001A0B7B"/>
    <w:rsid w:val="001A152D"/>
    <w:rsid w:val="001A224C"/>
    <w:rsid w:val="001A2DCB"/>
    <w:rsid w:val="001A3467"/>
    <w:rsid w:val="001A3C6C"/>
    <w:rsid w:val="001A6BDF"/>
    <w:rsid w:val="001B0077"/>
    <w:rsid w:val="001B37EC"/>
    <w:rsid w:val="001B49B6"/>
    <w:rsid w:val="001B5B9B"/>
    <w:rsid w:val="001B65C1"/>
    <w:rsid w:val="001B7E11"/>
    <w:rsid w:val="001C028E"/>
    <w:rsid w:val="001C33CE"/>
    <w:rsid w:val="001C3734"/>
    <w:rsid w:val="001C57D5"/>
    <w:rsid w:val="001C654E"/>
    <w:rsid w:val="001D11DD"/>
    <w:rsid w:val="001D15E3"/>
    <w:rsid w:val="001D1B29"/>
    <w:rsid w:val="001D48F6"/>
    <w:rsid w:val="001D5560"/>
    <w:rsid w:val="001D7784"/>
    <w:rsid w:val="001E1101"/>
    <w:rsid w:val="001E3545"/>
    <w:rsid w:val="001E3AB1"/>
    <w:rsid w:val="001E49E1"/>
    <w:rsid w:val="001F23D1"/>
    <w:rsid w:val="001F2A4B"/>
    <w:rsid w:val="001F302F"/>
    <w:rsid w:val="001F3EE6"/>
    <w:rsid w:val="001F4478"/>
    <w:rsid w:val="001F5957"/>
    <w:rsid w:val="001F634D"/>
    <w:rsid w:val="001F6C20"/>
    <w:rsid w:val="001F6C95"/>
    <w:rsid w:val="001F72ED"/>
    <w:rsid w:val="002002E1"/>
    <w:rsid w:val="002046E5"/>
    <w:rsid w:val="002055A8"/>
    <w:rsid w:val="002114AA"/>
    <w:rsid w:val="00211E3B"/>
    <w:rsid w:val="00212602"/>
    <w:rsid w:val="00212FAC"/>
    <w:rsid w:val="002147A4"/>
    <w:rsid w:val="00217158"/>
    <w:rsid w:val="002218CD"/>
    <w:rsid w:val="00225A08"/>
    <w:rsid w:val="00226574"/>
    <w:rsid w:val="002271DC"/>
    <w:rsid w:val="002306E5"/>
    <w:rsid w:val="00230870"/>
    <w:rsid w:val="00232031"/>
    <w:rsid w:val="002325CA"/>
    <w:rsid w:val="0023456B"/>
    <w:rsid w:val="00236381"/>
    <w:rsid w:val="00236498"/>
    <w:rsid w:val="00236AD8"/>
    <w:rsid w:val="00236E27"/>
    <w:rsid w:val="0023727C"/>
    <w:rsid w:val="00241D8D"/>
    <w:rsid w:val="00254B9B"/>
    <w:rsid w:val="00254DAD"/>
    <w:rsid w:val="0025762A"/>
    <w:rsid w:val="00257670"/>
    <w:rsid w:val="00260320"/>
    <w:rsid w:val="00260BCC"/>
    <w:rsid w:val="00261B6D"/>
    <w:rsid w:val="002622A9"/>
    <w:rsid w:val="002643D9"/>
    <w:rsid w:val="00265B4A"/>
    <w:rsid w:val="002703BF"/>
    <w:rsid w:val="00270447"/>
    <w:rsid w:val="00274EA3"/>
    <w:rsid w:val="00275134"/>
    <w:rsid w:val="0027731B"/>
    <w:rsid w:val="0028025C"/>
    <w:rsid w:val="002802E1"/>
    <w:rsid w:val="00281A7A"/>
    <w:rsid w:val="00281FF6"/>
    <w:rsid w:val="0028319A"/>
    <w:rsid w:val="0028771F"/>
    <w:rsid w:val="00290D23"/>
    <w:rsid w:val="002916B7"/>
    <w:rsid w:val="00292C81"/>
    <w:rsid w:val="00293021"/>
    <w:rsid w:val="002931EC"/>
    <w:rsid w:val="002938E0"/>
    <w:rsid w:val="0029646A"/>
    <w:rsid w:val="002A15AF"/>
    <w:rsid w:val="002A2500"/>
    <w:rsid w:val="002A3E6E"/>
    <w:rsid w:val="002A4E0C"/>
    <w:rsid w:val="002A5AD7"/>
    <w:rsid w:val="002A647B"/>
    <w:rsid w:val="002A6971"/>
    <w:rsid w:val="002A78FE"/>
    <w:rsid w:val="002B05B1"/>
    <w:rsid w:val="002B0727"/>
    <w:rsid w:val="002B07AC"/>
    <w:rsid w:val="002B0FC2"/>
    <w:rsid w:val="002B4B1D"/>
    <w:rsid w:val="002B5957"/>
    <w:rsid w:val="002C63E2"/>
    <w:rsid w:val="002C65E7"/>
    <w:rsid w:val="002C7B05"/>
    <w:rsid w:val="002D0556"/>
    <w:rsid w:val="002D0FB0"/>
    <w:rsid w:val="002D4775"/>
    <w:rsid w:val="002D686C"/>
    <w:rsid w:val="002D7A55"/>
    <w:rsid w:val="002E1460"/>
    <w:rsid w:val="002E19F2"/>
    <w:rsid w:val="002E1DDD"/>
    <w:rsid w:val="002E2A72"/>
    <w:rsid w:val="002E2BC4"/>
    <w:rsid w:val="002E3DDB"/>
    <w:rsid w:val="002E4275"/>
    <w:rsid w:val="002E6BDA"/>
    <w:rsid w:val="002F0A2D"/>
    <w:rsid w:val="002F146E"/>
    <w:rsid w:val="002F6DDA"/>
    <w:rsid w:val="002F6F36"/>
    <w:rsid w:val="002F794D"/>
    <w:rsid w:val="002F7ADD"/>
    <w:rsid w:val="00300DF9"/>
    <w:rsid w:val="0030198B"/>
    <w:rsid w:val="00305CBF"/>
    <w:rsid w:val="00307DE6"/>
    <w:rsid w:val="00312CF3"/>
    <w:rsid w:val="003138B2"/>
    <w:rsid w:val="003145C5"/>
    <w:rsid w:val="00314BCA"/>
    <w:rsid w:val="003171AD"/>
    <w:rsid w:val="0032173C"/>
    <w:rsid w:val="00322D6E"/>
    <w:rsid w:val="00324316"/>
    <w:rsid w:val="00324F12"/>
    <w:rsid w:val="00327191"/>
    <w:rsid w:val="003278C7"/>
    <w:rsid w:val="00327CE6"/>
    <w:rsid w:val="00327F1B"/>
    <w:rsid w:val="003347B3"/>
    <w:rsid w:val="003351C5"/>
    <w:rsid w:val="00335E72"/>
    <w:rsid w:val="0033657C"/>
    <w:rsid w:val="00342692"/>
    <w:rsid w:val="003432A8"/>
    <w:rsid w:val="0034471F"/>
    <w:rsid w:val="0034664A"/>
    <w:rsid w:val="00347007"/>
    <w:rsid w:val="00350954"/>
    <w:rsid w:val="00356019"/>
    <w:rsid w:val="003560C8"/>
    <w:rsid w:val="003616FE"/>
    <w:rsid w:val="00363713"/>
    <w:rsid w:val="003655AD"/>
    <w:rsid w:val="003658FC"/>
    <w:rsid w:val="00366861"/>
    <w:rsid w:val="003700D1"/>
    <w:rsid w:val="003708B2"/>
    <w:rsid w:val="003777F5"/>
    <w:rsid w:val="0038021A"/>
    <w:rsid w:val="00382339"/>
    <w:rsid w:val="00383BFF"/>
    <w:rsid w:val="003872CA"/>
    <w:rsid w:val="003915CB"/>
    <w:rsid w:val="0039191D"/>
    <w:rsid w:val="00392A3C"/>
    <w:rsid w:val="0039533C"/>
    <w:rsid w:val="0039631A"/>
    <w:rsid w:val="003967BE"/>
    <w:rsid w:val="00397A7D"/>
    <w:rsid w:val="003A27B8"/>
    <w:rsid w:val="003A3F63"/>
    <w:rsid w:val="003A4658"/>
    <w:rsid w:val="003A4872"/>
    <w:rsid w:val="003A61AC"/>
    <w:rsid w:val="003A6DE5"/>
    <w:rsid w:val="003C11D3"/>
    <w:rsid w:val="003C463B"/>
    <w:rsid w:val="003C5416"/>
    <w:rsid w:val="003C561B"/>
    <w:rsid w:val="003C69F2"/>
    <w:rsid w:val="003D0066"/>
    <w:rsid w:val="003D37DE"/>
    <w:rsid w:val="003D44BF"/>
    <w:rsid w:val="003D6A0B"/>
    <w:rsid w:val="003D712C"/>
    <w:rsid w:val="003D7555"/>
    <w:rsid w:val="003E2115"/>
    <w:rsid w:val="003E262A"/>
    <w:rsid w:val="003E2A0B"/>
    <w:rsid w:val="003E36D8"/>
    <w:rsid w:val="003E7CF9"/>
    <w:rsid w:val="003F30EF"/>
    <w:rsid w:val="003F5F77"/>
    <w:rsid w:val="00400AE6"/>
    <w:rsid w:val="00403C74"/>
    <w:rsid w:val="00403C77"/>
    <w:rsid w:val="00405692"/>
    <w:rsid w:val="004074AC"/>
    <w:rsid w:val="00411F17"/>
    <w:rsid w:val="00413D9B"/>
    <w:rsid w:val="00420C6B"/>
    <w:rsid w:val="004216EB"/>
    <w:rsid w:val="00421A6A"/>
    <w:rsid w:val="0042329A"/>
    <w:rsid w:val="00423D06"/>
    <w:rsid w:val="00423F37"/>
    <w:rsid w:val="00425A1E"/>
    <w:rsid w:val="00425CC4"/>
    <w:rsid w:val="0042609D"/>
    <w:rsid w:val="00430B16"/>
    <w:rsid w:val="0043225B"/>
    <w:rsid w:val="004422FE"/>
    <w:rsid w:val="00442523"/>
    <w:rsid w:val="0044288D"/>
    <w:rsid w:val="0045125C"/>
    <w:rsid w:val="00451CA7"/>
    <w:rsid w:val="00452438"/>
    <w:rsid w:val="00452920"/>
    <w:rsid w:val="00454177"/>
    <w:rsid w:val="00455B39"/>
    <w:rsid w:val="00456945"/>
    <w:rsid w:val="00462045"/>
    <w:rsid w:val="004624FF"/>
    <w:rsid w:val="00462C43"/>
    <w:rsid w:val="0046321F"/>
    <w:rsid w:val="00463DA4"/>
    <w:rsid w:val="00463E78"/>
    <w:rsid w:val="00463E7B"/>
    <w:rsid w:val="00465963"/>
    <w:rsid w:val="00470EEC"/>
    <w:rsid w:val="00471BFA"/>
    <w:rsid w:val="004731A6"/>
    <w:rsid w:val="00480159"/>
    <w:rsid w:val="004817DC"/>
    <w:rsid w:val="00486739"/>
    <w:rsid w:val="00490126"/>
    <w:rsid w:val="004920D4"/>
    <w:rsid w:val="004930D8"/>
    <w:rsid w:val="004939DB"/>
    <w:rsid w:val="00494837"/>
    <w:rsid w:val="004A1803"/>
    <w:rsid w:val="004A4270"/>
    <w:rsid w:val="004A62E4"/>
    <w:rsid w:val="004A6DF8"/>
    <w:rsid w:val="004B09EF"/>
    <w:rsid w:val="004B31C5"/>
    <w:rsid w:val="004B3A3C"/>
    <w:rsid w:val="004B3DF4"/>
    <w:rsid w:val="004B6071"/>
    <w:rsid w:val="004B659B"/>
    <w:rsid w:val="004B6F89"/>
    <w:rsid w:val="004C2B53"/>
    <w:rsid w:val="004C38EA"/>
    <w:rsid w:val="004C4FCF"/>
    <w:rsid w:val="004C615A"/>
    <w:rsid w:val="004C61FE"/>
    <w:rsid w:val="004D19D3"/>
    <w:rsid w:val="004D2887"/>
    <w:rsid w:val="004D3E4E"/>
    <w:rsid w:val="004D5927"/>
    <w:rsid w:val="004D7774"/>
    <w:rsid w:val="004D790B"/>
    <w:rsid w:val="004E1417"/>
    <w:rsid w:val="004E1BD4"/>
    <w:rsid w:val="004E3607"/>
    <w:rsid w:val="004E5099"/>
    <w:rsid w:val="004E539B"/>
    <w:rsid w:val="004E7A5B"/>
    <w:rsid w:val="004E7BCA"/>
    <w:rsid w:val="004F007C"/>
    <w:rsid w:val="004F0AF8"/>
    <w:rsid w:val="004F13BB"/>
    <w:rsid w:val="004F26B2"/>
    <w:rsid w:val="004F2E85"/>
    <w:rsid w:val="004F62E2"/>
    <w:rsid w:val="004F674A"/>
    <w:rsid w:val="004F74FE"/>
    <w:rsid w:val="004F7BAF"/>
    <w:rsid w:val="00503DE4"/>
    <w:rsid w:val="005040BE"/>
    <w:rsid w:val="005057F1"/>
    <w:rsid w:val="00511F88"/>
    <w:rsid w:val="0051220B"/>
    <w:rsid w:val="00512621"/>
    <w:rsid w:val="00512B3B"/>
    <w:rsid w:val="0051360C"/>
    <w:rsid w:val="00517911"/>
    <w:rsid w:val="005215C6"/>
    <w:rsid w:val="005242A2"/>
    <w:rsid w:val="00524CB0"/>
    <w:rsid w:val="00525C63"/>
    <w:rsid w:val="0052700E"/>
    <w:rsid w:val="00537942"/>
    <w:rsid w:val="0054014E"/>
    <w:rsid w:val="00543C7E"/>
    <w:rsid w:val="0054619A"/>
    <w:rsid w:val="005503CD"/>
    <w:rsid w:val="00550655"/>
    <w:rsid w:val="005507FB"/>
    <w:rsid w:val="00552959"/>
    <w:rsid w:val="00552C96"/>
    <w:rsid w:val="00552E3D"/>
    <w:rsid w:val="005535B7"/>
    <w:rsid w:val="00555B68"/>
    <w:rsid w:val="005639D3"/>
    <w:rsid w:val="00565ABE"/>
    <w:rsid w:val="005665D5"/>
    <w:rsid w:val="00573371"/>
    <w:rsid w:val="00580678"/>
    <w:rsid w:val="00583EAF"/>
    <w:rsid w:val="00584C86"/>
    <w:rsid w:val="00586084"/>
    <w:rsid w:val="00591116"/>
    <w:rsid w:val="00591EED"/>
    <w:rsid w:val="0059311F"/>
    <w:rsid w:val="00594CE5"/>
    <w:rsid w:val="00594E1D"/>
    <w:rsid w:val="005964F3"/>
    <w:rsid w:val="00597381"/>
    <w:rsid w:val="005A0D8D"/>
    <w:rsid w:val="005A114F"/>
    <w:rsid w:val="005A1C0D"/>
    <w:rsid w:val="005A21D5"/>
    <w:rsid w:val="005A4DD2"/>
    <w:rsid w:val="005A6312"/>
    <w:rsid w:val="005A6B85"/>
    <w:rsid w:val="005A6E5A"/>
    <w:rsid w:val="005B00DC"/>
    <w:rsid w:val="005B2B28"/>
    <w:rsid w:val="005B410A"/>
    <w:rsid w:val="005B4CB4"/>
    <w:rsid w:val="005B5258"/>
    <w:rsid w:val="005B7B4C"/>
    <w:rsid w:val="005C03B4"/>
    <w:rsid w:val="005C0940"/>
    <w:rsid w:val="005C0DD0"/>
    <w:rsid w:val="005C222E"/>
    <w:rsid w:val="005C422E"/>
    <w:rsid w:val="005C7583"/>
    <w:rsid w:val="005D07AF"/>
    <w:rsid w:val="005D242B"/>
    <w:rsid w:val="005D2DE1"/>
    <w:rsid w:val="005D3508"/>
    <w:rsid w:val="005D3B61"/>
    <w:rsid w:val="005D434B"/>
    <w:rsid w:val="005D4CA7"/>
    <w:rsid w:val="005D7C3F"/>
    <w:rsid w:val="005E122C"/>
    <w:rsid w:val="005E4B84"/>
    <w:rsid w:val="005E6183"/>
    <w:rsid w:val="005E7211"/>
    <w:rsid w:val="005E7CA9"/>
    <w:rsid w:val="005E7E83"/>
    <w:rsid w:val="005F1E24"/>
    <w:rsid w:val="005F7B2F"/>
    <w:rsid w:val="00600142"/>
    <w:rsid w:val="00600563"/>
    <w:rsid w:val="00600B61"/>
    <w:rsid w:val="00604B4B"/>
    <w:rsid w:val="00605674"/>
    <w:rsid w:val="00605DE5"/>
    <w:rsid w:val="00610098"/>
    <w:rsid w:val="00610DD7"/>
    <w:rsid w:val="00611CCC"/>
    <w:rsid w:val="006127DB"/>
    <w:rsid w:val="00613DE5"/>
    <w:rsid w:val="006144BE"/>
    <w:rsid w:val="0061464B"/>
    <w:rsid w:val="00620CE7"/>
    <w:rsid w:val="00622081"/>
    <w:rsid w:val="00622571"/>
    <w:rsid w:val="0062314A"/>
    <w:rsid w:val="00624449"/>
    <w:rsid w:val="00626A7A"/>
    <w:rsid w:val="006305DD"/>
    <w:rsid w:val="00630D5F"/>
    <w:rsid w:val="00633674"/>
    <w:rsid w:val="00633FBF"/>
    <w:rsid w:val="00634C3F"/>
    <w:rsid w:val="006367AF"/>
    <w:rsid w:val="006406A3"/>
    <w:rsid w:val="00640EDF"/>
    <w:rsid w:val="00641C66"/>
    <w:rsid w:val="00642EB6"/>
    <w:rsid w:val="00644B5B"/>
    <w:rsid w:val="00645A16"/>
    <w:rsid w:val="00645F5A"/>
    <w:rsid w:val="00650D9A"/>
    <w:rsid w:val="00651842"/>
    <w:rsid w:val="00651E76"/>
    <w:rsid w:val="006523A1"/>
    <w:rsid w:val="00660C58"/>
    <w:rsid w:val="00661450"/>
    <w:rsid w:val="0066286F"/>
    <w:rsid w:val="00665841"/>
    <w:rsid w:val="006659B8"/>
    <w:rsid w:val="00666518"/>
    <w:rsid w:val="0066702B"/>
    <w:rsid w:val="00671ED8"/>
    <w:rsid w:val="00675830"/>
    <w:rsid w:val="006778BC"/>
    <w:rsid w:val="00681517"/>
    <w:rsid w:val="006840A6"/>
    <w:rsid w:val="006843CF"/>
    <w:rsid w:val="006844FC"/>
    <w:rsid w:val="00685186"/>
    <w:rsid w:val="006856F8"/>
    <w:rsid w:val="00690191"/>
    <w:rsid w:val="0069030B"/>
    <w:rsid w:val="006966D2"/>
    <w:rsid w:val="006A2C84"/>
    <w:rsid w:val="006A302C"/>
    <w:rsid w:val="006A4375"/>
    <w:rsid w:val="006A545C"/>
    <w:rsid w:val="006A68B6"/>
    <w:rsid w:val="006A7058"/>
    <w:rsid w:val="006A7FE3"/>
    <w:rsid w:val="006B01F0"/>
    <w:rsid w:val="006B0A23"/>
    <w:rsid w:val="006B0DE3"/>
    <w:rsid w:val="006B349E"/>
    <w:rsid w:val="006B402B"/>
    <w:rsid w:val="006B6041"/>
    <w:rsid w:val="006C1B5C"/>
    <w:rsid w:val="006C31B1"/>
    <w:rsid w:val="006C4700"/>
    <w:rsid w:val="006C59F9"/>
    <w:rsid w:val="006C605C"/>
    <w:rsid w:val="006C6F36"/>
    <w:rsid w:val="006D1B00"/>
    <w:rsid w:val="006D1EAA"/>
    <w:rsid w:val="006D2C9A"/>
    <w:rsid w:val="006D32B9"/>
    <w:rsid w:val="006D4400"/>
    <w:rsid w:val="006D6606"/>
    <w:rsid w:val="006D7F61"/>
    <w:rsid w:val="006E2EEC"/>
    <w:rsid w:val="006E3FA5"/>
    <w:rsid w:val="006E4D82"/>
    <w:rsid w:val="006E5E12"/>
    <w:rsid w:val="006E6AF4"/>
    <w:rsid w:val="006F21AB"/>
    <w:rsid w:val="006F57C7"/>
    <w:rsid w:val="006F749B"/>
    <w:rsid w:val="006F7C3B"/>
    <w:rsid w:val="007012B1"/>
    <w:rsid w:val="007029DB"/>
    <w:rsid w:val="007037FE"/>
    <w:rsid w:val="00706293"/>
    <w:rsid w:val="00712830"/>
    <w:rsid w:val="007155AF"/>
    <w:rsid w:val="00716E63"/>
    <w:rsid w:val="007175E1"/>
    <w:rsid w:val="00721683"/>
    <w:rsid w:val="007227F3"/>
    <w:rsid w:val="00722945"/>
    <w:rsid w:val="007237AF"/>
    <w:rsid w:val="00725775"/>
    <w:rsid w:val="00725BF2"/>
    <w:rsid w:val="00726ABB"/>
    <w:rsid w:val="00726E08"/>
    <w:rsid w:val="00727351"/>
    <w:rsid w:val="007274C3"/>
    <w:rsid w:val="00727A54"/>
    <w:rsid w:val="007353CD"/>
    <w:rsid w:val="00737997"/>
    <w:rsid w:val="007403BE"/>
    <w:rsid w:val="0074169A"/>
    <w:rsid w:val="00744B09"/>
    <w:rsid w:val="0074565D"/>
    <w:rsid w:val="0075170A"/>
    <w:rsid w:val="0075206F"/>
    <w:rsid w:val="007526CE"/>
    <w:rsid w:val="00754328"/>
    <w:rsid w:val="0076009B"/>
    <w:rsid w:val="00761F54"/>
    <w:rsid w:val="00762086"/>
    <w:rsid w:val="00762D68"/>
    <w:rsid w:val="00763102"/>
    <w:rsid w:val="007635EC"/>
    <w:rsid w:val="00765626"/>
    <w:rsid w:val="00765E48"/>
    <w:rsid w:val="007666BC"/>
    <w:rsid w:val="007669C4"/>
    <w:rsid w:val="00766A9A"/>
    <w:rsid w:val="00771236"/>
    <w:rsid w:val="0077159C"/>
    <w:rsid w:val="00775546"/>
    <w:rsid w:val="0077570A"/>
    <w:rsid w:val="007767BC"/>
    <w:rsid w:val="007775BD"/>
    <w:rsid w:val="00777E07"/>
    <w:rsid w:val="0078079A"/>
    <w:rsid w:val="00781C31"/>
    <w:rsid w:val="007833B0"/>
    <w:rsid w:val="00786EFA"/>
    <w:rsid w:val="0078723F"/>
    <w:rsid w:val="00790843"/>
    <w:rsid w:val="00790F5D"/>
    <w:rsid w:val="00791E7D"/>
    <w:rsid w:val="0079354C"/>
    <w:rsid w:val="00794CCA"/>
    <w:rsid w:val="007958BD"/>
    <w:rsid w:val="0079651A"/>
    <w:rsid w:val="007A3389"/>
    <w:rsid w:val="007A3E6D"/>
    <w:rsid w:val="007A444B"/>
    <w:rsid w:val="007A56D8"/>
    <w:rsid w:val="007A6133"/>
    <w:rsid w:val="007A6447"/>
    <w:rsid w:val="007A693D"/>
    <w:rsid w:val="007A6A4D"/>
    <w:rsid w:val="007A7902"/>
    <w:rsid w:val="007B02B9"/>
    <w:rsid w:val="007B277D"/>
    <w:rsid w:val="007B3A80"/>
    <w:rsid w:val="007B3FFB"/>
    <w:rsid w:val="007B4D75"/>
    <w:rsid w:val="007B51E0"/>
    <w:rsid w:val="007B7851"/>
    <w:rsid w:val="007C15DF"/>
    <w:rsid w:val="007C3477"/>
    <w:rsid w:val="007C3A62"/>
    <w:rsid w:val="007C4B33"/>
    <w:rsid w:val="007C5B55"/>
    <w:rsid w:val="007C7DEA"/>
    <w:rsid w:val="007D0888"/>
    <w:rsid w:val="007D35A2"/>
    <w:rsid w:val="007D4261"/>
    <w:rsid w:val="007D7B6E"/>
    <w:rsid w:val="007D7F92"/>
    <w:rsid w:val="007E097E"/>
    <w:rsid w:val="007E16CC"/>
    <w:rsid w:val="007E3A90"/>
    <w:rsid w:val="007E41EB"/>
    <w:rsid w:val="007E49F6"/>
    <w:rsid w:val="007E5F43"/>
    <w:rsid w:val="007E6A87"/>
    <w:rsid w:val="007F2599"/>
    <w:rsid w:val="007F3D6A"/>
    <w:rsid w:val="007F6BBF"/>
    <w:rsid w:val="0080794B"/>
    <w:rsid w:val="0081055C"/>
    <w:rsid w:val="008108A0"/>
    <w:rsid w:val="008108AC"/>
    <w:rsid w:val="0081108C"/>
    <w:rsid w:val="00814837"/>
    <w:rsid w:val="0081498A"/>
    <w:rsid w:val="008166C6"/>
    <w:rsid w:val="00817737"/>
    <w:rsid w:val="00817D83"/>
    <w:rsid w:val="008213E8"/>
    <w:rsid w:val="00822AD9"/>
    <w:rsid w:val="00822E80"/>
    <w:rsid w:val="008249B0"/>
    <w:rsid w:val="00825F68"/>
    <w:rsid w:val="00826855"/>
    <w:rsid w:val="00826897"/>
    <w:rsid w:val="00827182"/>
    <w:rsid w:val="00827C59"/>
    <w:rsid w:val="00831C59"/>
    <w:rsid w:val="00832596"/>
    <w:rsid w:val="00841551"/>
    <w:rsid w:val="0084615E"/>
    <w:rsid w:val="00852C01"/>
    <w:rsid w:val="00854380"/>
    <w:rsid w:val="00856866"/>
    <w:rsid w:val="00856DDE"/>
    <w:rsid w:val="00856DE9"/>
    <w:rsid w:val="008600FC"/>
    <w:rsid w:val="00861606"/>
    <w:rsid w:val="00861E3E"/>
    <w:rsid w:val="00863E49"/>
    <w:rsid w:val="008651E0"/>
    <w:rsid w:val="0086785F"/>
    <w:rsid w:val="00870165"/>
    <w:rsid w:val="0087052E"/>
    <w:rsid w:val="0087240E"/>
    <w:rsid w:val="00876798"/>
    <w:rsid w:val="00881053"/>
    <w:rsid w:val="00882A5A"/>
    <w:rsid w:val="008847AF"/>
    <w:rsid w:val="00884C92"/>
    <w:rsid w:val="008859D8"/>
    <w:rsid w:val="0088625F"/>
    <w:rsid w:val="008874B3"/>
    <w:rsid w:val="0089043B"/>
    <w:rsid w:val="008909C0"/>
    <w:rsid w:val="00891148"/>
    <w:rsid w:val="00891CD8"/>
    <w:rsid w:val="008945C7"/>
    <w:rsid w:val="00894C51"/>
    <w:rsid w:val="008954B9"/>
    <w:rsid w:val="008977BB"/>
    <w:rsid w:val="008978F6"/>
    <w:rsid w:val="008A36BB"/>
    <w:rsid w:val="008A38C0"/>
    <w:rsid w:val="008A6439"/>
    <w:rsid w:val="008A7A42"/>
    <w:rsid w:val="008B121A"/>
    <w:rsid w:val="008B15D3"/>
    <w:rsid w:val="008B1FBC"/>
    <w:rsid w:val="008B2DA6"/>
    <w:rsid w:val="008B5EB7"/>
    <w:rsid w:val="008C04C4"/>
    <w:rsid w:val="008C0A7E"/>
    <w:rsid w:val="008C104C"/>
    <w:rsid w:val="008C26AA"/>
    <w:rsid w:val="008C685C"/>
    <w:rsid w:val="008D0305"/>
    <w:rsid w:val="008D1375"/>
    <w:rsid w:val="008D171B"/>
    <w:rsid w:val="008D5BE2"/>
    <w:rsid w:val="008D6ADC"/>
    <w:rsid w:val="008E1A42"/>
    <w:rsid w:val="008E2D27"/>
    <w:rsid w:val="008E5498"/>
    <w:rsid w:val="008E7F8B"/>
    <w:rsid w:val="008F1E7E"/>
    <w:rsid w:val="008F24C7"/>
    <w:rsid w:val="008F6EF7"/>
    <w:rsid w:val="00901FB4"/>
    <w:rsid w:val="00903EDB"/>
    <w:rsid w:val="009041C0"/>
    <w:rsid w:val="00904BCC"/>
    <w:rsid w:val="00905A14"/>
    <w:rsid w:val="00905D0E"/>
    <w:rsid w:val="009115C2"/>
    <w:rsid w:val="00913CD8"/>
    <w:rsid w:val="00914910"/>
    <w:rsid w:val="009162F5"/>
    <w:rsid w:val="00917830"/>
    <w:rsid w:val="00917D2E"/>
    <w:rsid w:val="00917F76"/>
    <w:rsid w:val="00923A2C"/>
    <w:rsid w:val="00924548"/>
    <w:rsid w:val="009245AB"/>
    <w:rsid w:val="0092518C"/>
    <w:rsid w:val="00926613"/>
    <w:rsid w:val="00927A00"/>
    <w:rsid w:val="00927DB6"/>
    <w:rsid w:val="009316AC"/>
    <w:rsid w:val="00935B89"/>
    <w:rsid w:val="00937EFC"/>
    <w:rsid w:val="0094001D"/>
    <w:rsid w:val="00940819"/>
    <w:rsid w:val="009409C9"/>
    <w:rsid w:val="00940A3E"/>
    <w:rsid w:val="0094153A"/>
    <w:rsid w:val="00942610"/>
    <w:rsid w:val="00944C82"/>
    <w:rsid w:val="00945089"/>
    <w:rsid w:val="00947AD2"/>
    <w:rsid w:val="009507AD"/>
    <w:rsid w:val="009519F0"/>
    <w:rsid w:val="00951E05"/>
    <w:rsid w:val="00952B94"/>
    <w:rsid w:val="00953E78"/>
    <w:rsid w:val="0095564C"/>
    <w:rsid w:val="00956CE5"/>
    <w:rsid w:val="00964E5D"/>
    <w:rsid w:val="00965ED4"/>
    <w:rsid w:val="00966294"/>
    <w:rsid w:val="00970D77"/>
    <w:rsid w:val="00971AF1"/>
    <w:rsid w:val="00974D49"/>
    <w:rsid w:val="00974FA7"/>
    <w:rsid w:val="009768B0"/>
    <w:rsid w:val="00980125"/>
    <w:rsid w:val="00980271"/>
    <w:rsid w:val="009804F4"/>
    <w:rsid w:val="00981D1A"/>
    <w:rsid w:val="00982302"/>
    <w:rsid w:val="00982337"/>
    <w:rsid w:val="009834E9"/>
    <w:rsid w:val="0098558F"/>
    <w:rsid w:val="00986787"/>
    <w:rsid w:val="00990E8C"/>
    <w:rsid w:val="0099458B"/>
    <w:rsid w:val="00994917"/>
    <w:rsid w:val="009969B4"/>
    <w:rsid w:val="009A235F"/>
    <w:rsid w:val="009A2ECF"/>
    <w:rsid w:val="009B00EE"/>
    <w:rsid w:val="009B1477"/>
    <w:rsid w:val="009B3678"/>
    <w:rsid w:val="009B4E31"/>
    <w:rsid w:val="009B567F"/>
    <w:rsid w:val="009B7129"/>
    <w:rsid w:val="009B7C05"/>
    <w:rsid w:val="009C01BE"/>
    <w:rsid w:val="009C2398"/>
    <w:rsid w:val="009C2EF7"/>
    <w:rsid w:val="009C35C8"/>
    <w:rsid w:val="009C3795"/>
    <w:rsid w:val="009C566C"/>
    <w:rsid w:val="009D0244"/>
    <w:rsid w:val="009D0376"/>
    <w:rsid w:val="009D43C9"/>
    <w:rsid w:val="009D50E3"/>
    <w:rsid w:val="009D6B78"/>
    <w:rsid w:val="009E18FC"/>
    <w:rsid w:val="009E2308"/>
    <w:rsid w:val="009E23F1"/>
    <w:rsid w:val="009E4F63"/>
    <w:rsid w:val="009E62F2"/>
    <w:rsid w:val="009F3EAF"/>
    <w:rsid w:val="009F3F16"/>
    <w:rsid w:val="009F6760"/>
    <w:rsid w:val="009F74DC"/>
    <w:rsid w:val="00A00246"/>
    <w:rsid w:val="00A01040"/>
    <w:rsid w:val="00A0183F"/>
    <w:rsid w:val="00A01989"/>
    <w:rsid w:val="00A0455B"/>
    <w:rsid w:val="00A06FC9"/>
    <w:rsid w:val="00A10B0E"/>
    <w:rsid w:val="00A10F78"/>
    <w:rsid w:val="00A121EF"/>
    <w:rsid w:val="00A14B7C"/>
    <w:rsid w:val="00A1718A"/>
    <w:rsid w:val="00A17425"/>
    <w:rsid w:val="00A1769D"/>
    <w:rsid w:val="00A218D2"/>
    <w:rsid w:val="00A245C9"/>
    <w:rsid w:val="00A25562"/>
    <w:rsid w:val="00A30F12"/>
    <w:rsid w:val="00A31524"/>
    <w:rsid w:val="00A32D0A"/>
    <w:rsid w:val="00A339A2"/>
    <w:rsid w:val="00A34CB2"/>
    <w:rsid w:val="00A36AC3"/>
    <w:rsid w:val="00A3716D"/>
    <w:rsid w:val="00A374E7"/>
    <w:rsid w:val="00A37C29"/>
    <w:rsid w:val="00A41187"/>
    <w:rsid w:val="00A42B01"/>
    <w:rsid w:val="00A43A0E"/>
    <w:rsid w:val="00A43C3A"/>
    <w:rsid w:val="00A43F3A"/>
    <w:rsid w:val="00A44488"/>
    <w:rsid w:val="00A44991"/>
    <w:rsid w:val="00A45898"/>
    <w:rsid w:val="00A50F9F"/>
    <w:rsid w:val="00A51174"/>
    <w:rsid w:val="00A542C9"/>
    <w:rsid w:val="00A56A41"/>
    <w:rsid w:val="00A6054D"/>
    <w:rsid w:val="00A61F01"/>
    <w:rsid w:val="00A66032"/>
    <w:rsid w:val="00A6609B"/>
    <w:rsid w:val="00A66626"/>
    <w:rsid w:val="00A679DF"/>
    <w:rsid w:val="00A71050"/>
    <w:rsid w:val="00A727A6"/>
    <w:rsid w:val="00A7350B"/>
    <w:rsid w:val="00A754E4"/>
    <w:rsid w:val="00A75575"/>
    <w:rsid w:val="00A77410"/>
    <w:rsid w:val="00A808F3"/>
    <w:rsid w:val="00A809B9"/>
    <w:rsid w:val="00A84267"/>
    <w:rsid w:val="00A86187"/>
    <w:rsid w:val="00A862AC"/>
    <w:rsid w:val="00A86C06"/>
    <w:rsid w:val="00A90012"/>
    <w:rsid w:val="00A9004A"/>
    <w:rsid w:val="00A972E4"/>
    <w:rsid w:val="00AA0746"/>
    <w:rsid w:val="00AA17A0"/>
    <w:rsid w:val="00AA2397"/>
    <w:rsid w:val="00AA29A3"/>
    <w:rsid w:val="00AA3745"/>
    <w:rsid w:val="00AA3E0E"/>
    <w:rsid w:val="00AA57C3"/>
    <w:rsid w:val="00AB027E"/>
    <w:rsid w:val="00AB0375"/>
    <w:rsid w:val="00AB1E49"/>
    <w:rsid w:val="00AB349E"/>
    <w:rsid w:val="00AB3FFC"/>
    <w:rsid w:val="00AB43F4"/>
    <w:rsid w:val="00AB60AD"/>
    <w:rsid w:val="00AB7826"/>
    <w:rsid w:val="00AC3683"/>
    <w:rsid w:val="00AC3728"/>
    <w:rsid w:val="00AC3BC7"/>
    <w:rsid w:val="00AC4AF2"/>
    <w:rsid w:val="00AD0C43"/>
    <w:rsid w:val="00AD3A00"/>
    <w:rsid w:val="00AD6C8D"/>
    <w:rsid w:val="00AE094F"/>
    <w:rsid w:val="00AE0B48"/>
    <w:rsid w:val="00AE2318"/>
    <w:rsid w:val="00AE55CB"/>
    <w:rsid w:val="00AE6A64"/>
    <w:rsid w:val="00AE6BE1"/>
    <w:rsid w:val="00AE723F"/>
    <w:rsid w:val="00AE73E6"/>
    <w:rsid w:val="00AF039D"/>
    <w:rsid w:val="00AF314E"/>
    <w:rsid w:val="00AF47D2"/>
    <w:rsid w:val="00AF5F9F"/>
    <w:rsid w:val="00B037E0"/>
    <w:rsid w:val="00B05866"/>
    <w:rsid w:val="00B065F5"/>
    <w:rsid w:val="00B12219"/>
    <w:rsid w:val="00B13959"/>
    <w:rsid w:val="00B144B9"/>
    <w:rsid w:val="00B214E2"/>
    <w:rsid w:val="00B26F4B"/>
    <w:rsid w:val="00B31540"/>
    <w:rsid w:val="00B31D06"/>
    <w:rsid w:val="00B3291F"/>
    <w:rsid w:val="00B32C61"/>
    <w:rsid w:val="00B33148"/>
    <w:rsid w:val="00B35E82"/>
    <w:rsid w:val="00B401CD"/>
    <w:rsid w:val="00B4277D"/>
    <w:rsid w:val="00B43799"/>
    <w:rsid w:val="00B43B2E"/>
    <w:rsid w:val="00B52079"/>
    <w:rsid w:val="00B53746"/>
    <w:rsid w:val="00B5559A"/>
    <w:rsid w:val="00B61186"/>
    <w:rsid w:val="00B64B82"/>
    <w:rsid w:val="00B65C0E"/>
    <w:rsid w:val="00B663B4"/>
    <w:rsid w:val="00B67144"/>
    <w:rsid w:val="00B72EF8"/>
    <w:rsid w:val="00B7731B"/>
    <w:rsid w:val="00B82A2E"/>
    <w:rsid w:val="00B86BD9"/>
    <w:rsid w:val="00B87FBD"/>
    <w:rsid w:val="00B913B0"/>
    <w:rsid w:val="00B9299E"/>
    <w:rsid w:val="00B939DF"/>
    <w:rsid w:val="00B949F6"/>
    <w:rsid w:val="00B95957"/>
    <w:rsid w:val="00B96461"/>
    <w:rsid w:val="00B97BE7"/>
    <w:rsid w:val="00BA09CD"/>
    <w:rsid w:val="00BA3292"/>
    <w:rsid w:val="00BA3C0A"/>
    <w:rsid w:val="00BA5F23"/>
    <w:rsid w:val="00BA6365"/>
    <w:rsid w:val="00BA64F7"/>
    <w:rsid w:val="00BA75BA"/>
    <w:rsid w:val="00BA7F09"/>
    <w:rsid w:val="00BB0AE6"/>
    <w:rsid w:val="00BB17FE"/>
    <w:rsid w:val="00BB233F"/>
    <w:rsid w:val="00BB28C6"/>
    <w:rsid w:val="00BB2FC0"/>
    <w:rsid w:val="00BB3F7E"/>
    <w:rsid w:val="00BB548A"/>
    <w:rsid w:val="00BB5AB9"/>
    <w:rsid w:val="00BC05A9"/>
    <w:rsid w:val="00BC0FDA"/>
    <w:rsid w:val="00BC27FF"/>
    <w:rsid w:val="00BC3131"/>
    <w:rsid w:val="00BC31DA"/>
    <w:rsid w:val="00BC585E"/>
    <w:rsid w:val="00BC7278"/>
    <w:rsid w:val="00BC790B"/>
    <w:rsid w:val="00BD104F"/>
    <w:rsid w:val="00BD61AC"/>
    <w:rsid w:val="00BE1418"/>
    <w:rsid w:val="00BE2BFE"/>
    <w:rsid w:val="00BE60D9"/>
    <w:rsid w:val="00BE747F"/>
    <w:rsid w:val="00BF1E4B"/>
    <w:rsid w:val="00BF3061"/>
    <w:rsid w:val="00BF398D"/>
    <w:rsid w:val="00BF59AE"/>
    <w:rsid w:val="00BF5AB2"/>
    <w:rsid w:val="00C0164C"/>
    <w:rsid w:val="00C022ED"/>
    <w:rsid w:val="00C02B9B"/>
    <w:rsid w:val="00C045A8"/>
    <w:rsid w:val="00C04ABD"/>
    <w:rsid w:val="00C06419"/>
    <w:rsid w:val="00C07F07"/>
    <w:rsid w:val="00C1095F"/>
    <w:rsid w:val="00C110B4"/>
    <w:rsid w:val="00C12497"/>
    <w:rsid w:val="00C12F45"/>
    <w:rsid w:val="00C15B92"/>
    <w:rsid w:val="00C15F51"/>
    <w:rsid w:val="00C16D54"/>
    <w:rsid w:val="00C2222B"/>
    <w:rsid w:val="00C22E7F"/>
    <w:rsid w:val="00C24719"/>
    <w:rsid w:val="00C2666F"/>
    <w:rsid w:val="00C31A65"/>
    <w:rsid w:val="00C323EF"/>
    <w:rsid w:val="00C3293B"/>
    <w:rsid w:val="00C3363E"/>
    <w:rsid w:val="00C33862"/>
    <w:rsid w:val="00C354BC"/>
    <w:rsid w:val="00C35A86"/>
    <w:rsid w:val="00C37140"/>
    <w:rsid w:val="00C37921"/>
    <w:rsid w:val="00C4483B"/>
    <w:rsid w:val="00C52FF1"/>
    <w:rsid w:val="00C54BA7"/>
    <w:rsid w:val="00C56245"/>
    <w:rsid w:val="00C6156E"/>
    <w:rsid w:val="00C638EC"/>
    <w:rsid w:val="00C64E57"/>
    <w:rsid w:val="00C675BC"/>
    <w:rsid w:val="00C67646"/>
    <w:rsid w:val="00C72D59"/>
    <w:rsid w:val="00C7430B"/>
    <w:rsid w:val="00C7467D"/>
    <w:rsid w:val="00C75AB7"/>
    <w:rsid w:val="00C76791"/>
    <w:rsid w:val="00C81684"/>
    <w:rsid w:val="00C825AF"/>
    <w:rsid w:val="00C82737"/>
    <w:rsid w:val="00C83A39"/>
    <w:rsid w:val="00C84CD2"/>
    <w:rsid w:val="00C84F05"/>
    <w:rsid w:val="00C87508"/>
    <w:rsid w:val="00C9122E"/>
    <w:rsid w:val="00C93F75"/>
    <w:rsid w:val="00C956CB"/>
    <w:rsid w:val="00C95AC4"/>
    <w:rsid w:val="00C96C93"/>
    <w:rsid w:val="00C96CE1"/>
    <w:rsid w:val="00C97380"/>
    <w:rsid w:val="00C97F0A"/>
    <w:rsid w:val="00CA0C9D"/>
    <w:rsid w:val="00CB00F4"/>
    <w:rsid w:val="00CB018B"/>
    <w:rsid w:val="00CB3AE8"/>
    <w:rsid w:val="00CB5184"/>
    <w:rsid w:val="00CB5CFA"/>
    <w:rsid w:val="00CB6B51"/>
    <w:rsid w:val="00CB73ED"/>
    <w:rsid w:val="00CC0BE5"/>
    <w:rsid w:val="00CC32C4"/>
    <w:rsid w:val="00CD01FA"/>
    <w:rsid w:val="00CD0F39"/>
    <w:rsid w:val="00CD1D9F"/>
    <w:rsid w:val="00CD481B"/>
    <w:rsid w:val="00CE09C2"/>
    <w:rsid w:val="00CE0D8D"/>
    <w:rsid w:val="00CE1959"/>
    <w:rsid w:val="00CE233F"/>
    <w:rsid w:val="00CE35B4"/>
    <w:rsid w:val="00CE40C0"/>
    <w:rsid w:val="00CE731B"/>
    <w:rsid w:val="00CE7344"/>
    <w:rsid w:val="00CF3AE6"/>
    <w:rsid w:val="00CF420F"/>
    <w:rsid w:val="00CF425B"/>
    <w:rsid w:val="00CF51B0"/>
    <w:rsid w:val="00CF571A"/>
    <w:rsid w:val="00CF72A3"/>
    <w:rsid w:val="00D000A9"/>
    <w:rsid w:val="00D00152"/>
    <w:rsid w:val="00D01FAB"/>
    <w:rsid w:val="00D02244"/>
    <w:rsid w:val="00D03453"/>
    <w:rsid w:val="00D04B9F"/>
    <w:rsid w:val="00D04C09"/>
    <w:rsid w:val="00D057BB"/>
    <w:rsid w:val="00D05B4F"/>
    <w:rsid w:val="00D10F97"/>
    <w:rsid w:val="00D13DBE"/>
    <w:rsid w:val="00D205B2"/>
    <w:rsid w:val="00D211D9"/>
    <w:rsid w:val="00D21A85"/>
    <w:rsid w:val="00D21E34"/>
    <w:rsid w:val="00D226AD"/>
    <w:rsid w:val="00D23BD5"/>
    <w:rsid w:val="00D25E1A"/>
    <w:rsid w:val="00D2697D"/>
    <w:rsid w:val="00D270D7"/>
    <w:rsid w:val="00D302BA"/>
    <w:rsid w:val="00D31168"/>
    <w:rsid w:val="00D3340C"/>
    <w:rsid w:val="00D341C4"/>
    <w:rsid w:val="00D3601A"/>
    <w:rsid w:val="00D37626"/>
    <w:rsid w:val="00D40FF5"/>
    <w:rsid w:val="00D41659"/>
    <w:rsid w:val="00D438A1"/>
    <w:rsid w:val="00D451D4"/>
    <w:rsid w:val="00D45368"/>
    <w:rsid w:val="00D47BE5"/>
    <w:rsid w:val="00D5065F"/>
    <w:rsid w:val="00D518B6"/>
    <w:rsid w:val="00D51933"/>
    <w:rsid w:val="00D54FA1"/>
    <w:rsid w:val="00D61DC3"/>
    <w:rsid w:val="00D628F3"/>
    <w:rsid w:val="00D70199"/>
    <w:rsid w:val="00D712C8"/>
    <w:rsid w:val="00D76596"/>
    <w:rsid w:val="00D771CB"/>
    <w:rsid w:val="00D77EF4"/>
    <w:rsid w:val="00D80081"/>
    <w:rsid w:val="00D810BE"/>
    <w:rsid w:val="00D83E85"/>
    <w:rsid w:val="00D878AD"/>
    <w:rsid w:val="00D9068C"/>
    <w:rsid w:val="00D942B8"/>
    <w:rsid w:val="00D947BA"/>
    <w:rsid w:val="00D9543A"/>
    <w:rsid w:val="00D96A42"/>
    <w:rsid w:val="00D96EFE"/>
    <w:rsid w:val="00D9749D"/>
    <w:rsid w:val="00DA0FCB"/>
    <w:rsid w:val="00DA1805"/>
    <w:rsid w:val="00DA240F"/>
    <w:rsid w:val="00DA38D9"/>
    <w:rsid w:val="00DA6832"/>
    <w:rsid w:val="00DA6A20"/>
    <w:rsid w:val="00DA6E3B"/>
    <w:rsid w:val="00DB1224"/>
    <w:rsid w:val="00DB16E3"/>
    <w:rsid w:val="00DB243E"/>
    <w:rsid w:val="00DB2CFD"/>
    <w:rsid w:val="00DB350B"/>
    <w:rsid w:val="00DB7080"/>
    <w:rsid w:val="00DC0E01"/>
    <w:rsid w:val="00DC24D2"/>
    <w:rsid w:val="00DC28E0"/>
    <w:rsid w:val="00DC3004"/>
    <w:rsid w:val="00DC656C"/>
    <w:rsid w:val="00DC6B1B"/>
    <w:rsid w:val="00DC7607"/>
    <w:rsid w:val="00DD0129"/>
    <w:rsid w:val="00DD1883"/>
    <w:rsid w:val="00DD1F38"/>
    <w:rsid w:val="00DD5AD8"/>
    <w:rsid w:val="00DE1852"/>
    <w:rsid w:val="00DE1A31"/>
    <w:rsid w:val="00DE28EF"/>
    <w:rsid w:val="00DE3686"/>
    <w:rsid w:val="00DE3925"/>
    <w:rsid w:val="00DE3E93"/>
    <w:rsid w:val="00DE570A"/>
    <w:rsid w:val="00DE5DAF"/>
    <w:rsid w:val="00DE7C2B"/>
    <w:rsid w:val="00DF0C0D"/>
    <w:rsid w:val="00DF0F7C"/>
    <w:rsid w:val="00DF173F"/>
    <w:rsid w:val="00DF1905"/>
    <w:rsid w:val="00DF1BCA"/>
    <w:rsid w:val="00DF2279"/>
    <w:rsid w:val="00DF2EB4"/>
    <w:rsid w:val="00DF3595"/>
    <w:rsid w:val="00DF39D5"/>
    <w:rsid w:val="00DF599D"/>
    <w:rsid w:val="00DF5E82"/>
    <w:rsid w:val="00DF7083"/>
    <w:rsid w:val="00E000A3"/>
    <w:rsid w:val="00E010BE"/>
    <w:rsid w:val="00E02224"/>
    <w:rsid w:val="00E02387"/>
    <w:rsid w:val="00E025C5"/>
    <w:rsid w:val="00E02F28"/>
    <w:rsid w:val="00E03C6B"/>
    <w:rsid w:val="00E03F93"/>
    <w:rsid w:val="00E04EBC"/>
    <w:rsid w:val="00E07340"/>
    <w:rsid w:val="00E07EDB"/>
    <w:rsid w:val="00E120AD"/>
    <w:rsid w:val="00E12392"/>
    <w:rsid w:val="00E13185"/>
    <w:rsid w:val="00E14E28"/>
    <w:rsid w:val="00E258C1"/>
    <w:rsid w:val="00E25D62"/>
    <w:rsid w:val="00E30C45"/>
    <w:rsid w:val="00E34CE0"/>
    <w:rsid w:val="00E35F77"/>
    <w:rsid w:val="00E36534"/>
    <w:rsid w:val="00E3705E"/>
    <w:rsid w:val="00E37305"/>
    <w:rsid w:val="00E37A80"/>
    <w:rsid w:val="00E37C0B"/>
    <w:rsid w:val="00E40047"/>
    <w:rsid w:val="00E43078"/>
    <w:rsid w:val="00E44B32"/>
    <w:rsid w:val="00E46C00"/>
    <w:rsid w:val="00E472F3"/>
    <w:rsid w:val="00E47738"/>
    <w:rsid w:val="00E52EA4"/>
    <w:rsid w:val="00E55B5D"/>
    <w:rsid w:val="00E55CDA"/>
    <w:rsid w:val="00E571B0"/>
    <w:rsid w:val="00E60FB0"/>
    <w:rsid w:val="00E628A5"/>
    <w:rsid w:val="00E647F1"/>
    <w:rsid w:val="00E71945"/>
    <w:rsid w:val="00E73076"/>
    <w:rsid w:val="00E754D8"/>
    <w:rsid w:val="00E771F9"/>
    <w:rsid w:val="00E806E5"/>
    <w:rsid w:val="00E81C72"/>
    <w:rsid w:val="00E82BA6"/>
    <w:rsid w:val="00E82EFA"/>
    <w:rsid w:val="00E848CE"/>
    <w:rsid w:val="00E923BA"/>
    <w:rsid w:val="00E9681C"/>
    <w:rsid w:val="00E97122"/>
    <w:rsid w:val="00EA7BE7"/>
    <w:rsid w:val="00EA7C27"/>
    <w:rsid w:val="00EB031D"/>
    <w:rsid w:val="00EB0F9F"/>
    <w:rsid w:val="00EB1E0E"/>
    <w:rsid w:val="00EB31C4"/>
    <w:rsid w:val="00EB3485"/>
    <w:rsid w:val="00EB34A1"/>
    <w:rsid w:val="00EB6EFF"/>
    <w:rsid w:val="00EC0FC7"/>
    <w:rsid w:val="00EC5E88"/>
    <w:rsid w:val="00EC607A"/>
    <w:rsid w:val="00EC63A6"/>
    <w:rsid w:val="00EC7194"/>
    <w:rsid w:val="00ED1B97"/>
    <w:rsid w:val="00ED1D47"/>
    <w:rsid w:val="00ED3AA9"/>
    <w:rsid w:val="00ED7178"/>
    <w:rsid w:val="00EE02E2"/>
    <w:rsid w:val="00EE0D6E"/>
    <w:rsid w:val="00EE13B8"/>
    <w:rsid w:val="00EE26EF"/>
    <w:rsid w:val="00EE31B5"/>
    <w:rsid w:val="00EE4193"/>
    <w:rsid w:val="00EE5911"/>
    <w:rsid w:val="00EE5B17"/>
    <w:rsid w:val="00EE63E7"/>
    <w:rsid w:val="00EE7288"/>
    <w:rsid w:val="00EF0442"/>
    <w:rsid w:val="00EF14C1"/>
    <w:rsid w:val="00EF2FE7"/>
    <w:rsid w:val="00EF61A1"/>
    <w:rsid w:val="00EF749C"/>
    <w:rsid w:val="00EF75C2"/>
    <w:rsid w:val="00F0017C"/>
    <w:rsid w:val="00F0132A"/>
    <w:rsid w:val="00F029F6"/>
    <w:rsid w:val="00F035B5"/>
    <w:rsid w:val="00F05361"/>
    <w:rsid w:val="00F05D32"/>
    <w:rsid w:val="00F060D8"/>
    <w:rsid w:val="00F06294"/>
    <w:rsid w:val="00F07FEA"/>
    <w:rsid w:val="00F1173B"/>
    <w:rsid w:val="00F120E3"/>
    <w:rsid w:val="00F12754"/>
    <w:rsid w:val="00F1333C"/>
    <w:rsid w:val="00F14869"/>
    <w:rsid w:val="00F15C60"/>
    <w:rsid w:val="00F1712B"/>
    <w:rsid w:val="00F17473"/>
    <w:rsid w:val="00F23744"/>
    <w:rsid w:val="00F25527"/>
    <w:rsid w:val="00F2685E"/>
    <w:rsid w:val="00F31D25"/>
    <w:rsid w:val="00F32546"/>
    <w:rsid w:val="00F32930"/>
    <w:rsid w:val="00F32C4D"/>
    <w:rsid w:val="00F32F95"/>
    <w:rsid w:val="00F337B8"/>
    <w:rsid w:val="00F377A2"/>
    <w:rsid w:val="00F4067A"/>
    <w:rsid w:val="00F43FD8"/>
    <w:rsid w:val="00F51B34"/>
    <w:rsid w:val="00F5391E"/>
    <w:rsid w:val="00F60818"/>
    <w:rsid w:val="00F60D71"/>
    <w:rsid w:val="00F66D77"/>
    <w:rsid w:val="00F672E0"/>
    <w:rsid w:val="00F748DD"/>
    <w:rsid w:val="00F7502B"/>
    <w:rsid w:val="00F800AE"/>
    <w:rsid w:val="00F821FB"/>
    <w:rsid w:val="00F8324C"/>
    <w:rsid w:val="00F8678A"/>
    <w:rsid w:val="00F90883"/>
    <w:rsid w:val="00F9234E"/>
    <w:rsid w:val="00F92EC4"/>
    <w:rsid w:val="00F9321A"/>
    <w:rsid w:val="00F94A40"/>
    <w:rsid w:val="00F95282"/>
    <w:rsid w:val="00F962FA"/>
    <w:rsid w:val="00F9659D"/>
    <w:rsid w:val="00F96AD0"/>
    <w:rsid w:val="00F97782"/>
    <w:rsid w:val="00F979C2"/>
    <w:rsid w:val="00FA4FCF"/>
    <w:rsid w:val="00FA50A8"/>
    <w:rsid w:val="00FA5AF5"/>
    <w:rsid w:val="00FA6791"/>
    <w:rsid w:val="00FA7418"/>
    <w:rsid w:val="00FB1EC2"/>
    <w:rsid w:val="00FB3431"/>
    <w:rsid w:val="00FB3E07"/>
    <w:rsid w:val="00FB4E5F"/>
    <w:rsid w:val="00FB7491"/>
    <w:rsid w:val="00FC1BC9"/>
    <w:rsid w:val="00FC1CD8"/>
    <w:rsid w:val="00FC1D37"/>
    <w:rsid w:val="00FC24B8"/>
    <w:rsid w:val="00FC3DDE"/>
    <w:rsid w:val="00FC40AB"/>
    <w:rsid w:val="00FC41FD"/>
    <w:rsid w:val="00FD0BD2"/>
    <w:rsid w:val="00FD14FC"/>
    <w:rsid w:val="00FD234B"/>
    <w:rsid w:val="00FD26CD"/>
    <w:rsid w:val="00FD445A"/>
    <w:rsid w:val="00FD59EF"/>
    <w:rsid w:val="00FD6A6F"/>
    <w:rsid w:val="00FE02D0"/>
    <w:rsid w:val="00FE51A2"/>
    <w:rsid w:val="00FE70A3"/>
    <w:rsid w:val="00FE71B2"/>
    <w:rsid w:val="00FE7482"/>
    <w:rsid w:val="00FF0D77"/>
    <w:rsid w:val="00FF5C50"/>
    <w:rsid w:val="00FF6D52"/>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DC8A0"/>
  <w15:docId w15:val="{35F037CF-2885-40DC-8B70-E273DC7A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EA4"/>
    <w:rPr>
      <w:rFonts w:ascii="Times New Roman" w:hAnsi="Times New Roman"/>
      <w:sz w:val="20"/>
    </w:rPr>
  </w:style>
  <w:style w:type="paragraph" w:styleId="Rubrik1">
    <w:name w:val="heading 1"/>
    <w:basedOn w:val="Normal"/>
    <w:next w:val="Normal"/>
    <w:link w:val="Rubrik1Char"/>
    <w:uiPriority w:val="9"/>
    <w:qFormat/>
    <w:rsid w:val="0039631A"/>
    <w:pPr>
      <w:keepNext/>
      <w:keepLines/>
      <w:spacing w:before="240" w:after="240" w:line="240" w:lineRule="auto"/>
      <w:outlineLvl w:val="0"/>
    </w:pPr>
    <w:rPr>
      <w:rFonts w:eastAsiaTheme="majorEastAsia" w:cstheme="majorBidi"/>
      <w:b/>
      <w:szCs w:val="36"/>
    </w:rPr>
  </w:style>
  <w:style w:type="paragraph" w:styleId="Rubrik2">
    <w:name w:val="heading 2"/>
    <w:basedOn w:val="Normal"/>
    <w:next w:val="Normal"/>
    <w:link w:val="Rubrik2Char"/>
    <w:uiPriority w:val="9"/>
    <w:unhideWhenUsed/>
    <w:qFormat/>
    <w:rsid w:val="002F794D"/>
    <w:pPr>
      <w:keepNext/>
      <w:keepLines/>
      <w:spacing w:before="120" w:after="240" w:line="240" w:lineRule="auto"/>
      <w:outlineLvl w:val="1"/>
    </w:pPr>
    <w:rPr>
      <w:rFonts w:eastAsiaTheme="majorEastAsia" w:cstheme="majorBidi"/>
      <w:i/>
      <w:szCs w:val="32"/>
    </w:rPr>
  </w:style>
  <w:style w:type="paragraph" w:styleId="Rubrik3">
    <w:name w:val="heading 3"/>
    <w:basedOn w:val="Normal"/>
    <w:next w:val="Normal"/>
    <w:link w:val="Rubrik3Char"/>
    <w:uiPriority w:val="9"/>
    <w:semiHidden/>
    <w:unhideWhenUsed/>
    <w:qFormat/>
    <w:rsid w:val="002F794D"/>
    <w:pPr>
      <w:keepNext/>
      <w:keepLines/>
      <w:spacing w:before="40" w:after="0" w:line="240" w:lineRule="auto"/>
      <w:outlineLvl w:val="2"/>
    </w:pPr>
    <w:rPr>
      <w:rFonts w:eastAsiaTheme="majorEastAsia" w:cstheme="majorBidi"/>
      <w:szCs w:val="28"/>
      <w:u w:val="single"/>
    </w:rPr>
  </w:style>
  <w:style w:type="paragraph" w:styleId="Rubrik4">
    <w:name w:val="heading 4"/>
    <w:basedOn w:val="Normal"/>
    <w:next w:val="Normal"/>
    <w:link w:val="Rubrik4Char"/>
    <w:uiPriority w:val="9"/>
    <w:semiHidden/>
    <w:unhideWhenUsed/>
    <w:qFormat/>
    <w:rsid w:val="0043225B"/>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Rubrik5">
    <w:name w:val="heading 5"/>
    <w:basedOn w:val="Normal"/>
    <w:next w:val="Normal"/>
    <w:link w:val="Rubrik5Char"/>
    <w:uiPriority w:val="9"/>
    <w:semiHidden/>
    <w:unhideWhenUsed/>
    <w:qFormat/>
    <w:rsid w:val="0043225B"/>
    <w:pPr>
      <w:keepNext/>
      <w:keepLines/>
      <w:spacing w:before="40" w:after="0"/>
      <w:outlineLvl w:val="4"/>
    </w:pPr>
    <w:rPr>
      <w:rFonts w:asciiTheme="majorHAnsi" w:eastAsiaTheme="majorEastAsia" w:hAnsiTheme="majorHAnsi" w:cstheme="majorBidi"/>
      <w:caps/>
      <w:color w:val="2E74B5" w:themeColor="accent1" w:themeShade="BF"/>
    </w:rPr>
  </w:style>
  <w:style w:type="paragraph" w:styleId="Rubrik6">
    <w:name w:val="heading 6"/>
    <w:basedOn w:val="Normal"/>
    <w:next w:val="Normal"/>
    <w:link w:val="Rubrik6Char"/>
    <w:uiPriority w:val="9"/>
    <w:semiHidden/>
    <w:unhideWhenUsed/>
    <w:qFormat/>
    <w:rsid w:val="0043225B"/>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Rubrik7">
    <w:name w:val="heading 7"/>
    <w:basedOn w:val="Normal"/>
    <w:next w:val="Normal"/>
    <w:link w:val="Rubrik7Char"/>
    <w:uiPriority w:val="9"/>
    <w:semiHidden/>
    <w:unhideWhenUsed/>
    <w:qFormat/>
    <w:rsid w:val="0043225B"/>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Rubrik8">
    <w:name w:val="heading 8"/>
    <w:basedOn w:val="Normal"/>
    <w:next w:val="Normal"/>
    <w:link w:val="Rubrik8Char"/>
    <w:uiPriority w:val="9"/>
    <w:semiHidden/>
    <w:unhideWhenUsed/>
    <w:qFormat/>
    <w:rsid w:val="0043225B"/>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Rubrik9">
    <w:name w:val="heading 9"/>
    <w:basedOn w:val="Normal"/>
    <w:next w:val="Normal"/>
    <w:link w:val="Rubrik9Char"/>
    <w:uiPriority w:val="9"/>
    <w:semiHidden/>
    <w:unhideWhenUsed/>
    <w:qFormat/>
    <w:rsid w:val="0043225B"/>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9631A"/>
    <w:rPr>
      <w:rFonts w:ascii="Times New Roman" w:eastAsiaTheme="majorEastAsia" w:hAnsi="Times New Roman" w:cstheme="majorBidi"/>
      <w:b/>
      <w:szCs w:val="36"/>
    </w:rPr>
  </w:style>
  <w:style w:type="character" w:customStyle="1" w:styleId="Rubrik2Char">
    <w:name w:val="Rubrik 2 Char"/>
    <w:basedOn w:val="Standardstycketeckensnitt"/>
    <w:link w:val="Rubrik2"/>
    <w:uiPriority w:val="9"/>
    <w:rsid w:val="002F794D"/>
    <w:rPr>
      <w:rFonts w:ascii="Times New Roman" w:eastAsiaTheme="majorEastAsia" w:hAnsi="Times New Roman" w:cstheme="majorBidi"/>
      <w:i/>
      <w:szCs w:val="32"/>
    </w:rPr>
  </w:style>
  <w:style w:type="character" w:customStyle="1" w:styleId="Rubrik3Char">
    <w:name w:val="Rubrik 3 Char"/>
    <w:basedOn w:val="Standardstycketeckensnitt"/>
    <w:link w:val="Rubrik3"/>
    <w:uiPriority w:val="9"/>
    <w:semiHidden/>
    <w:rsid w:val="002F794D"/>
    <w:rPr>
      <w:rFonts w:ascii="Times New Roman" w:eastAsiaTheme="majorEastAsia" w:hAnsi="Times New Roman" w:cstheme="majorBidi"/>
      <w:sz w:val="20"/>
      <w:szCs w:val="28"/>
      <w:u w:val="single"/>
    </w:rPr>
  </w:style>
  <w:style w:type="character" w:customStyle="1" w:styleId="Rubrik4Char">
    <w:name w:val="Rubrik 4 Char"/>
    <w:basedOn w:val="Standardstycketeckensnitt"/>
    <w:link w:val="Rubrik4"/>
    <w:uiPriority w:val="9"/>
    <w:semiHidden/>
    <w:rsid w:val="0043225B"/>
    <w:rPr>
      <w:rFonts w:asciiTheme="majorHAnsi" w:eastAsiaTheme="majorEastAsia" w:hAnsiTheme="majorHAnsi" w:cstheme="majorBidi"/>
      <w:color w:val="2E74B5" w:themeColor="accent1" w:themeShade="BF"/>
      <w:sz w:val="24"/>
      <w:szCs w:val="24"/>
    </w:rPr>
  </w:style>
  <w:style w:type="character" w:customStyle="1" w:styleId="Rubrik5Char">
    <w:name w:val="Rubrik 5 Char"/>
    <w:basedOn w:val="Standardstycketeckensnitt"/>
    <w:link w:val="Rubrik5"/>
    <w:uiPriority w:val="9"/>
    <w:semiHidden/>
    <w:rsid w:val="0043225B"/>
    <w:rPr>
      <w:rFonts w:asciiTheme="majorHAnsi" w:eastAsiaTheme="majorEastAsia" w:hAnsiTheme="majorHAnsi" w:cstheme="majorBidi"/>
      <w:caps/>
      <w:color w:val="2E74B5" w:themeColor="accent1" w:themeShade="BF"/>
    </w:rPr>
  </w:style>
  <w:style w:type="character" w:customStyle="1" w:styleId="Rubrik6Char">
    <w:name w:val="Rubrik 6 Char"/>
    <w:basedOn w:val="Standardstycketeckensnitt"/>
    <w:link w:val="Rubrik6"/>
    <w:uiPriority w:val="9"/>
    <w:semiHidden/>
    <w:rsid w:val="0043225B"/>
    <w:rPr>
      <w:rFonts w:asciiTheme="majorHAnsi" w:eastAsiaTheme="majorEastAsia" w:hAnsiTheme="majorHAnsi" w:cstheme="majorBidi"/>
      <w:i/>
      <w:iCs/>
      <w:caps/>
      <w:color w:val="1F4E79" w:themeColor="accent1" w:themeShade="80"/>
    </w:rPr>
  </w:style>
  <w:style w:type="character" w:customStyle="1" w:styleId="Rubrik7Char">
    <w:name w:val="Rubrik 7 Char"/>
    <w:basedOn w:val="Standardstycketeckensnitt"/>
    <w:link w:val="Rubrik7"/>
    <w:uiPriority w:val="9"/>
    <w:semiHidden/>
    <w:rsid w:val="0043225B"/>
    <w:rPr>
      <w:rFonts w:asciiTheme="majorHAnsi" w:eastAsiaTheme="majorEastAsia" w:hAnsiTheme="majorHAnsi" w:cstheme="majorBidi"/>
      <w:b/>
      <w:bCs/>
      <w:color w:val="1F4E79" w:themeColor="accent1" w:themeShade="80"/>
    </w:rPr>
  </w:style>
  <w:style w:type="character" w:customStyle="1" w:styleId="Rubrik8Char">
    <w:name w:val="Rubrik 8 Char"/>
    <w:basedOn w:val="Standardstycketeckensnitt"/>
    <w:link w:val="Rubrik8"/>
    <w:uiPriority w:val="9"/>
    <w:semiHidden/>
    <w:rsid w:val="0043225B"/>
    <w:rPr>
      <w:rFonts w:asciiTheme="majorHAnsi" w:eastAsiaTheme="majorEastAsia" w:hAnsiTheme="majorHAnsi" w:cstheme="majorBidi"/>
      <w:b/>
      <w:bCs/>
      <w:i/>
      <w:iCs/>
      <w:color w:val="1F4E79" w:themeColor="accent1" w:themeShade="80"/>
    </w:rPr>
  </w:style>
  <w:style w:type="character" w:customStyle="1" w:styleId="Rubrik9Char">
    <w:name w:val="Rubrik 9 Char"/>
    <w:basedOn w:val="Standardstycketeckensnitt"/>
    <w:link w:val="Rubrik9"/>
    <w:uiPriority w:val="9"/>
    <w:semiHidden/>
    <w:rsid w:val="0043225B"/>
    <w:rPr>
      <w:rFonts w:asciiTheme="majorHAnsi" w:eastAsiaTheme="majorEastAsia" w:hAnsiTheme="majorHAnsi" w:cstheme="majorBidi"/>
      <w:i/>
      <w:iCs/>
      <w:color w:val="1F4E79" w:themeColor="accent1" w:themeShade="80"/>
    </w:rPr>
  </w:style>
  <w:style w:type="paragraph" w:styleId="Beskrivning">
    <w:name w:val="caption"/>
    <w:basedOn w:val="Normal"/>
    <w:next w:val="Normal"/>
    <w:uiPriority w:val="35"/>
    <w:semiHidden/>
    <w:unhideWhenUsed/>
    <w:qFormat/>
    <w:rsid w:val="0043225B"/>
    <w:pPr>
      <w:spacing w:line="240" w:lineRule="auto"/>
    </w:pPr>
    <w:rPr>
      <w:b/>
      <w:bCs/>
      <w:smallCaps/>
      <w:color w:val="44546A" w:themeColor="text2"/>
    </w:rPr>
  </w:style>
  <w:style w:type="paragraph" w:styleId="Rubrik">
    <w:name w:val="Title"/>
    <w:basedOn w:val="Normal"/>
    <w:next w:val="Normal"/>
    <w:link w:val="RubrikChar"/>
    <w:uiPriority w:val="10"/>
    <w:qFormat/>
    <w:rsid w:val="0043225B"/>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RubrikChar">
    <w:name w:val="Rubrik Char"/>
    <w:basedOn w:val="Standardstycketeckensnitt"/>
    <w:link w:val="Rubrik"/>
    <w:uiPriority w:val="10"/>
    <w:rsid w:val="0043225B"/>
    <w:rPr>
      <w:rFonts w:asciiTheme="majorHAnsi" w:eastAsiaTheme="majorEastAsia" w:hAnsiTheme="majorHAnsi" w:cstheme="majorBidi"/>
      <w:caps/>
      <w:color w:val="44546A" w:themeColor="text2"/>
      <w:spacing w:val="-15"/>
      <w:sz w:val="72"/>
      <w:szCs w:val="72"/>
    </w:rPr>
  </w:style>
  <w:style w:type="paragraph" w:styleId="Underrubrik">
    <w:name w:val="Subtitle"/>
    <w:basedOn w:val="Normal"/>
    <w:next w:val="Normal"/>
    <w:link w:val="UnderrubrikChar"/>
    <w:uiPriority w:val="11"/>
    <w:qFormat/>
    <w:rsid w:val="0043225B"/>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UnderrubrikChar">
    <w:name w:val="Underrubrik Char"/>
    <w:basedOn w:val="Standardstycketeckensnitt"/>
    <w:link w:val="Underrubrik"/>
    <w:uiPriority w:val="11"/>
    <w:rsid w:val="0043225B"/>
    <w:rPr>
      <w:rFonts w:asciiTheme="majorHAnsi" w:eastAsiaTheme="majorEastAsia" w:hAnsiTheme="majorHAnsi" w:cstheme="majorBidi"/>
      <w:color w:val="5B9BD5" w:themeColor="accent1"/>
      <w:sz w:val="28"/>
      <w:szCs w:val="28"/>
    </w:rPr>
  </w:style>
  <w:style w:type="character" w:styleId="Stark">
    <w:name w:val="Strong"/>
    <w:basedOn w:val="Standardstycketeckensnitt"/>
    <w:uiPriority w:val="22"/>
    <w:qFormat/>
    <w:rsid w:val="0043225B"/>
    <w:rPr>
      <w:b/>
      <w:bCs/>
    </w:rPr>
  </w:style>
  <w:style w:type="character" w:styleId="Betoning">
    <w:name w:val="Emphasis"/>
    <w:basedOn w:val="Standardstycketeckensnitt"/>
    <w:uiPriority w:val="20"/>
    <w:qFormat/>
    <w:rsid w:val="0043225B"/>
    <w:rPr>
      <w:i/>
      <w:iCs/>
    </w:rPr>
  </w:style>
  <w:style w:type="paragraph" w:styleId="Ingetavstnd">
    <w:name w:val="No Spacing"/>
    <w:uiPriority w:val="1"/>
    <w:qFormat/>
    <w:rsid w:val="0043225B"/>
    <w:pPr>
      <w:spacing w:after="0" w:line="240" w:lineRule="auto"/>
    </w:pPr>
  </w:style>
  <w:style w:type="paragraph" w:styleId="Liststycke">
    <w:name w:val="List Paragraph"/>
    <w:basedOn w:val="Normal"/>
    <w:uiPriority w:val="34"/>
    <w:qFormat/>
    <w:rsid w:val="0043225B"/>
    <w:pPr>
      <w:ind w:left="720"/>
      <w:contextualSpacing/>
    </w:pPr>
  </w:style>
  <w:style w:type="paragraph" w:styleId="Citat">
    <w:name w:val="Quote"/>
    <w:basedOn w:val="Normal"/>
    <w:next w:val="Normal"/>
    <w:link w:val="CitatChar"/>
    <w:uiPriority w:val="29"/>
    <w:qFormat/>
    <w:rsid w:val="0043225B"/>
    <w:pPr>
      <w:spacing w:before="120" w:after="120"/>
      <w:ind w:left="720"/>
    </w:pPr>
    <w:rPr>
      <w:color w:val="44546A" w:themeColor="text2"/>
      <w:sz w:val="24"/>
      <w:szCs w:val="24"/>
    </w:rPr>
  </w:style>
  <w:style w:type="character" w:customStyle="1" w:styleId="CitatChar">
    <w:name w:val="Citat Char"/>
    <w:basedOn w:val="Standardstycketeckensnitt"/>
    <w:link w:val="Citat"/>
    <w:uiPriority w:val="29"/>
    <w:rsid w:val="0043225B"/>
    <w:rPr>
      <w:color w:val="44546A" w:themeColor="text2"/>
      <w:sz w:val="24"/>
      <w:szCs w:val="24"/>
    </w:rPr>
  </w:style>
  <w:style w:type="paragraph" w:styleId="Starktcitat">
    <w:name w:val="Intense Quote"/>
    <w:basedOn w:val="Normal"/>
    <w:next w:val="Normal"/>
    <w:link w:val="StarktcitatChar"/>
    <w:uiPriority w:val="30"/>
    <w:qFormat/>
    <w:rsid w:val="0043225B"/>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StarktcitatChar">
    <w:name w:val="Starkt citat Char"/>
    <w:basedOn w:val="Standardstycketeckensnitt"/>
    <w:link w:val="Starktcitat"/>
    <w:uiPriority w:val="30"/>
    <w:rsid w:val="0043225B"/>
    <w:rPr>
      <w:rFonts w:asciiTheme="majorHAnsi" w:eastAsiaTheme="majorEastAsia" w:hAnsiTheme="majorHAnsi" w:cstheme="majorBidi"/>
      <w:color w:val="44546A" w:themeColor="text2"/>
      <w:spacing w:val="-6"/>
      <w:sz w:val="32"/>
      <w:szCs w:val="32"/>
    </w:rPr>
  </w:style>
  <w:style w:type="character" w:styleId="Diskretbetoning">
    <w:name w:val="Subtle Emphasis"/>
    <w:basedOn w:val="Standardstycketeckensnitt"/>
    <w:uiPriority w:val="19"/>
    <w:qFormat/>
    <w:rsid w:val="0043225B"/>
    <w:rPr>
      <w:i/>
      <w:iCs/>
      <w:color w:val="595959" w:themeColor="text1" w:themeTint="A6"/>
    </w:rPr>
  </w:style>
  <w:style w:type="character" w:styleId="Starkbetoning">
    <w:name w:val="Intense Emphasis"/>
    <w:basedOn w:val="Standardstycketeckensnitt"/>
    <w:uiPriority w:val="21"/>
    <w:qFormat/>
    <w:rsid w:val="0043225B"/>
    <w:rPr>
      <w:b/>
      <w:bCs/>
      <w:i/>
      <w:iCs/>
    </w:rPr>
  </w:style>
  <w:style w:type="character" w:styleId="Diskretreferens">
    <w:name w:val="Subtle Reference"/>
    <w:basedOn w:val="Standardstycketeckensnitt"/>
    <w:uiPriority w:val="31"/>
    <w:qFormat/>
    <w:rsid w:val="0043225B"/>
    <w:rPr>
      <w:smallCaps/>
      <w:color w:val="595959" w:themeColor="text1" w:themeTint="A6"/>
      <w:u w:val="none" w:color="7F7F7F" w:themeColor="text1" w:themeTint="80"/>
      <w:bdr w:val="none" w:sz="0" w:space="0" w:color="auto"/>
    </w:rPr>
  </w:style>
  <w:style w:type="character" w:styleId="Starkreferens">
    <w:name w:val="Intense Reference"/>
    <w:basedOn w:val="Standardstycketeckensnitt"/>
    <w:uiPriority w:val="32"/>
    <w:qFormat/>
    <w:rsid w:val="0043225B"/>
    <w:rPr>
      <w:b/>
      <w:bCs/>
      <w:smallCaps/>
      <w:color w:val="44546A" w:themeColor="text2"/>
      <w:u w:val="single"/>
    </w:rPr>
  </w:style>
  <w:style w:type="character" w:styleId="Bokenstitel">
    <w:name w:val="Book Title"/>
    <w:basedOn w:val="Standardstycketeckensnitt"/>
    <w:uiPriority w:val="33"/>
    <w:qFormat/>
    <w:rsid w:val="0043225B"/>
    <w:rPr>
      <w:b/>
      <w:bCs/>
      <w:smallCaps/>
      <w:spacing w:val="10"/>
    </w:rPr>
  </w:style>
  <w:style w:type="paragraph" w:styleId="Innehllsfrteckningsrubrik">
    <w:name w:val="TOC Heading"/>
    <w:basedOn w:val="Rubrik1"/>
    <w:next w:val="Normal"/>
    <w:uiPriority w:val="39"/>
    <w:semiHidden/>
    <w:unhideWhenUsed/>
    <w:qFormat/>
    <w:rsid w:val="0043225B"/>
    <w:pPr>
      <w:outlineLvl w:val="9"/>
    </w:pPr>
  </w:style>
  <w:style w:type="character" w:styleId="Hyperlnk">
    <w:name w:val="Hyperlink"/>
    <w:basedOn w:val="Standardstycketeckensnitt"/>
    <w:uiPriority w:val="99"/>
    <w:unhideWhenUsed/>
    <w:rsid w:val="007029DB"/>
    <w:rPr>
      <w:color w:val="0563C1" w:themeColor="hyperlink"/>
      <w:u w:val="single"/>
    </w:rPr>
  </w:style>
  <w:style w:type="paragraph" w:styleId="Fotnotstext">
    <w:name w:val="footnote text"/>
    <w:basedOn w:val="Normal"/>
    <w:link w:val="FotnotstextChar"/>
    <w:uiPriority w:val="99"/>
    <w:unhideWhenUsed/>
    <w:rsid w:val="00C96CE1"/>
    <w:pPr>
      <w:spacing w:after="0" w:line="240" w:lineRule="auto"/>
    </w:pPr>
    <w:rPr>
      <w:szCs w:val="20"/>
    </w:rPr>
  </w:style>
  <w:style w:type="character" w:customStyle="1" w:styleId="FotnotstextChar">
    <w:name w:val="Fotnotstext Char"/>
    <w:basedOn w:val="Standardstycketeckensnitt"/>
    <w:link w:val="Fotnotstext"/>
    <w:uiPriority w:val="99"/>
    <w:rsid w:val="00C96CE1"/>
    <w:rPr>
      <w:sz w:val="20"/>
      <w:szCs w:val="20"/>
    </w:rPr>
  </w:style>
  <w:style w:type="character" w:styleId="Fotnotsreferens">
    <w:name w:val="footnote reference"/>
    <w:basedOn w:val="Standardstycketeckensnitt"/>
    <w:uiPriority w:val="99"/>
    <w:semiHidden/>
    <w:unhideWhenUsed/>
    <w:rsid w:val="00C96CE1"/>
    <w:rPr>
      <w:vertAlign w:val="superscript"/>
    </w:rPr>
  </w:style>
  <w:style w:type="character" w:styleId="Kommentarsreferens">
    <w:name w:val="annotation reference"/>
    <w:basedOn w:val="Standardstycketeckensnitt"/>
    <w:uiPriority w:val="99"/>
    <w:semiHidden/>
    <w:unhideWhenUsed/>
    <w:rsid w:val="00BB2FC0"/>
    <w:rPr>
      <w:sz w:val="16"/>
      <w:szCs w:val="16"/>
    </w:rPr>
  </w:style>
  <w:style w:type="paragraph" w:styleId="Kommentarer">
    <w:name w:val="annotation text"/>
    <w:basedOn w:val="Normal"/>
    <w:link w:val="KommentarerChar"/>
    <w:uiPriority w:val="99"/>
    <w:unhideWhenUsed/>
    <w:rsid w:val="00BB2FC0"/>
    <w:pPr>
      <w:spacing w:line="240" w:lineRule="auto"/>
    </w:pPr>
    <w:rPr>
      <w:szCs w:val="20"/>
    </w:rPr>
  </w:style>
  <w:style w:type="character" w:customStyle="1" w:styleId="KommentarerChar">
    <w:name w:val="Kommentarer Char"/>
    <w:basedOn w:val="Standardstycketeckensnitt"/>
    <w:link w:val="Kommentarer"/>
    <w:uiPriority w:val="99"/>
    <w:rsid w:val="00BB2FC0"/>
    <w:rPr>
      <w:sz w:val="20"/>
      <w:szCs w:val="20"/>
    </w:rPr>
  </w:style>
  <w:style w:type="paragraph" w:styleId="Kommentarsmne">
    <w:name w:val="annotation subject"/>
    <w:basedOn w:val="Kommentarer"/>
    <w:next w:val="Kommentarer"/>
    <w:link w:val="KommentarsmneChar"/>
    <w:uiPriority w:val="99"/>
    <w:semiHidden/>
    <w:unhideWhenUsed/>
    <w:rsid w:val="00BB2FC0"/>
    <w:rPr>
      <w:b/>
      <w:bCs/>
    </w:rPr>
  </w:style>
  <w:style w:type="character" w:customStyle="1" w:styleId="KommentarsmneChar">
    <w:name w:val="Kommentarsämne Char"/>
    <w:basedOn w:val="KommentarerChar"/>
    <w:link w:val="Kommentarsmne"/>
    <w:uiPriority w:val="99"/>
    <w:semiHidden/>
    <w:rsid w:val="00BB2FC0"/>
    <w:rPr>
      <w:b/>
      <w:bCs/>
      <w:sz w:val="20"/>
      <w:szCs w:val="20"/>
    </w:rPr>
  </w:style>
  <w:style w:type="paragraph" w:styleId="Ballongtext">
    <w:name w:val="Balloon Text"/>
    <w:basedOn w:val="Normal"/>
    <w:link w:val="BallongtextChar"/>
    <w:uiPriority w:val="99"/>
    <w:semiHidden/>
    <w:unhideWhenUsed/>
    <w:rsid w:val="00BB2FC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B2FC0"/>
    <w:rPr>
      <w:rFonts w:ascii="Segoe UI" w:hAnsi="Segoe UI" w:cs="Segoe UI"/>
      <w:sz w:val="18"/>
      <w:szCs w:val="18"/>
    </w:rPr>
  </w:style>
  <w:style w:type="paragraph" w:styleId="Sidhuvud">
    <w:name w:val="header"/>
    <w:basedOn w:val="Normal"/>
    <w:link w:val="SidhuvudChar"/>
    <w:uiPriority w:val="99"/>
    <w:unhideWhenUsed/>
    <w:rsid w:val="005D434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D434B"/>
  </w:style>
  <w:style w:type="paragraph" w:styleId="Sidfot">
    <w:name w:val="footer"/>
    <w:basedOn w:val="Normal"/>
    <w:link w:val="SidfotChar"/>
    <w:uiPriority w:val="99"/>
    <w:unhideWhenUsed/>
    <w:rsid w:val="005D434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D434B"/>
  </w:style>
  <w:style w:type="paragraph" w:customStyle="1" w:styleId="Default">
    <w:name w:val="Default"/>
    <w:rsid w:val="009E2308"/>
    <w:pPr>
      <w:autoSpaceDE w:val="0"/>
      <w:autoSpaceDN w:val="0"/>
      <w:adjustRightInd w:val="0"/>
      <w:spacing w:after="0" w:line="240" w:lineRule="auto"/>
    </w:pPr>
    <w:rPr>
      <w:rFonts w:ascii="Calibri" w:hAnsi="Calibri" w:cs="Calibri"/>
      <w:color w:val="000000"/>
      <w:sz w:val="24"/>
      <w:szCs w:val="24"/>
    </w:rPr>
  </w:style>
  <w:style w:type="paragraph" w:styleId="Normalwebb">
    <w:name w:val="Normal (Web)"/>
    <w:basedOn w:val="Normal"/>
    <w:uiPriority w:val="99"/>
    <w:semiHidden/>
    <w:unhideWhenUsed/>
    <w:rsid w:val="00A36AC3"/>
    <w:pPr>
      <w:spacing w:before="100" w:beforeAutospacing="1" w:after="100" w:afterAutospacing="1" w:line="240" w:lineRule="auto"/>
    </w:pPr>
    <w:rPr>
      <w:rFonts w:eastAsia="Times New Roman" w:cs="Times New Roman"/>
      <w:sz w:val="24"/>
      <w:szCs w:val="24"/>
      <w:lang w:eastAsia="sv-SE"/>
    </w:rPr>
  </w:style>
  <w:style w:type="character" w:styleId="Olstomnmnande">
    <w:name w:val="Unresolved Mention"/>
    <w:basedOn w:val="Standardstycketeckensnitt"/>
    <w:uiPriority w:val="99"/>
    <w:semiHidden/>
    <w:unhideWhenUsed/>
    <w:rsid w:val="004E1BD4"/>
    <w:rPr>
      <w:color w:val="605E5C"/>
      <w:shd w:val="clear" w:color="auto" w:fill="E1DFDD"/>
    </w:rPr>
  </w:style>
  <w:style w:type="character" w:styleId="AnvndHyperlnk">
    <w:name w:val="FollowedHyperlink"/>
    <w:basedOn w:val="Standardstycketeckensnitt"/>
    <w:uiPriority w:val="99"/>
    <w:semiHidden/>
    <w:unhideWhenUsed/>
    <w:rsid w:val="007C7DEA"/>
    <w:rPr>
      <w:color w:val="954F72" w:themeColor="followedHyperlink"/>
      <w:u w:val="single"/>
    </w:rPr>
  </w:style>
  <w:style w:type="character" w:customStyle="1" w:styleId="padlef">
    <w:name w:val="padlef"/>
    <w:basedOn w:val="Standardstycketeckensnitt"/>
    <w:rsid w:val="003D7555"/>
  </w:style>
  <w:style w:type="character" w:customStyle="1" w:styleId="webita">
    <w:name w:val="web_ita"/>
    <w:basedOn w:val="Standardstycketeckensnitt"/>
    <w:rsid w:val="003D7555"/>
  </w:style>
  <w:style w:type="character" w:customStyle="1" w:styleId="ztplmc">
    <w:name w:val="ztplmc"/>
    <w:basedOn w:val="Standardstycketeckensnitt"/>
    <w:rsid w:val="008E7F8B"/>
  </w:style>
  <w:style w:type="character" w:customStyle="1" w:styleId="rynqvb">
    <w:name w:val="rynqvb"/>
    <w:basedOn w:val="Standardstycketeckensnitt"/>
    <w:rsid w:val="008E7F8B"/>
  </w:style>
  <w:style w:type="paragraph" w:styleId="HTML-frformaterad">
    <w:name w:val="HTML Preformatted"/>
    <w:basedOn w:val="Normal"/>
    <w:link w:val="HTML-frformateradChar"/>
    <w:uiPriority w:val="99"/>
    <w:semiHidden/>
    <w:unhideWhenUsed/>
    <w:rsid w:val="00924548"/>
    <w:pPr>
      <w:spacing w:after="0" w:line="240" w:lineRule="auto"/>
    </w:pPr>
    <w:rPr>
      <w:rFonts w:ascii="Consolas" w:hAnsi="Consolas"/>
      <w:szCs w:val="20"/>
    </w:rPr>
  </w:style>
  <w:style w:type="character" w:customStyle="1" w:styleId="HTML-frformateradChar">
    <w:name w:val="HTML - förformaterad Char"/>
    <w:basedOn w:val="Standardstycketeckensnitt"/>
    <w:link w:val="HTML-frformaterad"/>
    <w:uiPriority w:val="99"/>
    <w:semiHidden/>
    <w:rsid w:val="00924548"/>
    <w:rPr>
      <w:rFonts w:ascii="Consolas" w:hAnsi="Consolas"/>
      <w:sz w:val="20"/>
      <w:szCs w:val="20"/>
    </w:rPr>
  </w:style>
  <w:style w:type="paragraph" w:styleId="Revision">
    <w:name w:val="Revision"/>
    <w:hidden/>
    <w:uiPriority w:val="99"/>
    <w:semiHidden/>
    <w:rsid w:val="0094001D"/>
    <w:pPr>
      <w:spacing w:after="0" w:line="240" w:lineRule="auto"/>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7555">
      <w:bodyDiv w:val="1"/>
      <w:marLeft w:val="0"/>
      <w:marRight w:val="0"/>
      <w:marTop w:val="0"/>
      <w:marBottom w:val="0"/>
      <w:divBdr>
        <w:top w:val="none" w:sz="0" w:space="0" w:color="auto"/>
        <w:left w:val="none" w:sz="0" w:space="0" w:color="auto"/>
        <w:bottom w:val="none" w:sz="0" w:space="0" w:color="auto"/>
        <w:right w:val="none" w:sz="0" w:space="0" w:color="auto"/>
      </w:divBdr>
    </w:div>
    <w:div w:id="71776917">
      <w:bodyDiv w:val="1"/>
      <w:marLeft w:val="0"/>
      <w:marRight w:val="0"/>
      <w:marTop w:val="0"/>
      <w:marBottom w:val="0"/>
      <w:divBdr>
        <w:top w:val="none" w:sz="0" w:space="0" w:color="auto"/>
        <w:left w:val="none" w:sz="0" w:space="0" w:color="auto"/>
        <w:bottom w:val="none" w:sz="0" w:space="0" w:color="auto"/>
        <w:right w:val="none" w:sz="0" w:space="0" w:color="auto"/>
      </w:divBdr>
    </w:div>
    <w:div w:id="82921542">
      <w:bodyDiv w:val="1"/>
      <w:marLeft w:val="0"/>
      <w:marRight w:val="0"/>
      <w:marTop w:val="0"/>
      <w:marBottom w:val="0"/>
      <w:divBdr>
        <w:top w:val="none" w:sz="0" w:space="0" w:color="auto"/>
        <w:left w:val="none" w:sz="0" w:space="0" w:color="auto"/>
        <w:bottom w:val="none" w:sz="0" w:space="0" w:color="auto"/>
        <w:right w:val="none" w:sz="0" w:space="0" w:color="auto"/>
      </w:divBdr>
    </w:div>
    <w:div w:id="99882178">
      <w:bodyDiv w:val="1"/>
      <w:marLeft w:val="0"/>
      <w:marRight w:val="0"/>
      <w:marTop w:val="0"/>
      <w:marBottom w:val="0"/>
      <w:divBdr>
        <w:top w:val="none" w:sz="0" w:space="0" w:color="auto"/>
        <w:left w:val="none" w:sz="0" w:space="0" w:color="auto"/>
        <w:bottom w:val="none" w:sz="0" w:space="0" w:color="auto"/>
        <w:right w:val="none" w:sz="0" w:space="0" w:color="auto"/>
      </w:divBdr>
    </w:div>
    <w:div w:id="187179065">
      <w:bodyDiv w:val="1"/>
      <w:marLeft w:val="0"/>
      <w:marRight w:val="0"/>
      <w:marTop w:val="0"/>
      <w:marBottom w:val="0"/>
      <w:divBdr>
        <w:top w:val="none" w:sz="0" w:space="0" w:color="auto"/>
        <w:left w:val="none" w:sz="0" w:space="0" w:color="auto"/>
        <w:bottom w:val="none" w:sz="0" w:space="0" w:color="auto"/>
        <w:right w:val="none" w:sz="0" w:space="0" w:color="auto"/>
      </w:divBdr>
    </w:div>
    <w:div w:id="188641362">
      <w:bodyDiv w:val="1"/>
      <w:marLeft w:val="0"/>
      <w:marRight w:val="0"/>
      <w:marTop w:val="0"/>
      <w:marBottom w:val="0"/>
      <w:divBdr>
        <w:top w:val="none" w:sz="0" w:space="0" w:color="auto"/>
        <w:left w:val="none" w:sz="0" w:space="0" w:color="auto"/>
        <w:bottom w:val="none" w:sz="0" w:space="0" w:color="auto"/>
        <w:right w:val="none" w:sz="0" w:space="0" w:color="auto"/>
      </w:divBdr>
    </w:div>
    <w:div w:id="269629046">
      <w:bodyDiv w:val="1"/>
      <w:marLeft w:val="0"/>
      <w:marRight w:val="0"/>
      <w:marTop w:val="0"/>
      <w:marBottom w:val="0"/>
      <w:divBdr>
        <w:top w:val="none" w:sz="0" w:space="0" w:color="auto"/>
        <w:left w:val="none" w:sz="0" w:space="0" w:color="auto"/>
        <w:bottom w:val="none" w:sz="0" w:space="0" w:color="auto"/>
        <w:right w:val="none" w:sz="0" w:space="0" w:color="auto"/>
      </w:divBdr>
    </w:div>
    <w:div w:id="271087222">
      <w:bodyDiv w:val="1"/>
      <w:marLeft w:val="0"/>
      <w:marRight w:val="0"/>
      <w:marTop w:val="0"/>
      <w:marBottom w:val="0"/>
      <w:divBdr>
        <w:top w:val="none" w:sz="0" w:space="0" w:color="auto"/>
        <w:left w:val="none" w:sz="0" w:space="0" w:color="auto"/>
        <w:bottom w:val="none" w:sz="0" w:space="0" w:color="auto"/>
        <w:right w:val="none" w:sz="0" w:space="0" w:color="auto"/>
      </w:divBdr>
    </w:div>
    <w:div w:id="278802909">
      <w:bodyDiv w:val="1"/>
      <w:marLeft w:val="0"/>
      <w:marRight w:val="0"/>
      <w:marTop w:val="0"/>
      <w:marBottom w:val="0"/>
      <w:divBdr>
        <w:top w:val="none" w:sz="0" w:space="0" w:color="auto"/>
        <w:left w:val="none" w:sz="0" w:space="0" w:color="auto"/>
        <w:bottom w:val="none" w:sz="0" w:space="0" w:color="auto"/>
        <w:right w:val="none" w:sz="0" w:space="0" w:color="auto"/>
      </w:divBdr>
    </w:div>
    <w:div w:id="303126057">
      <w:bodyDiv w:val="1"/>
      <w:marLeft w:val="0"/>
      <w:marRight w:val="0"/>
      <w:marTop w:val="0"/>
      <w:marBottom w:val="0"/>
      <w:divBdr>
        <w:top w:val="none" w:sz="0" w:space="0" w:color="auto"/>
        <w:left w:val="none" w:sz="0" w:space="0" w:color="auto"/>
        <w:bottom w:val="none" w:sz="0" w:space="0" w:color="auto"/>
        <w:right w:val="none" w:sz="0" w:space="0" w:color="auto"/>
      </w:divBdr>
    </w:div>
    <w:div w:id="305017380">
      <w:bodyDiv w:val="1"/>
      <w:marLeft w:val="0"/>
      <w:marRight w:val="0"/>
      <w:marTop w:val="0"/>
      <w:marBottom w:val="0"/>
      <w:divBdr>
        <w:top w:val="none" w:sz="0" w:space="0" w:color="auto"/>
        <w:left w:val="none" w:sz="0" w:space="0" w:color="auto"/>
        <w:bottom w:val="none" w:sz="0" w:space="0" w:color="auto"/>
        <w:right w:val="none" w:sz="0" w:space="0" w:color="auto"/>
      </w:divBdr>
    </w:div>
    <w:div w:id="306865461">
      <w:bodyDiv w:val="1"/>
      <w:marLeft w:val="0"/>
      <w:marRight w:val="0"/>
      <w:marTop w:val="0"/>
      <w:marBottom w:val="0"/>
      <w:divBdr>
        <w:top w:val="none" w:sz="0" w:space="0" w:color="auto"/>
        <w:left w:val="none" w:sz="0" w:space="0" w:color="auto"/>
        <w:bottom w:val="none" w:sz="0" w:space="0" w:color="auto"/>
        <w:right w:val="none" w:sz="0" w:space="0" w:color="auto"/>
      </w:divBdr>
      <w:divsChild>
        <w:div w:id="15809772">
          <w:marLeft w:val="0"/>
          <w:marRight w:val="0"/>
          <w:marTop w:val="0"/>
          <w:marBottom w:val="0"/>
          <w:divBdr>
            <w:top w:val="single" w:sz="2" w:space="0" w:color="auto"/>
            <w:left w:val="single" w:sz="2" w:space="0" w:color="auto"/>
            <w:bottom w:val="single" w:sz="2" w:space="0" w:color="auto"/>
            <w:right w:val="single" w:sz="2" w:space="0" w:color="auto"/>
          </w:divBdr>
        </w:div>
        <w:div w:id="1017122163">
          <w:marLeft w:val="0"/>
          <w:marRight w:val="0"/>
          <w:marTop w:val="0"/>
          <w:marBottom w:val="0"/>
          <w:divBdr>
            <w:top w:val="single" w:sz="2" w:space="0" w:color="auto"/>
            <w:left w:val="single" w:sz="2" w:space="0" w:color="auto"/>
            <w:bottom w:val="single" w:sz="2" w:space="0" w:color="auto"/>
            <w:right w:val="single" w:sz="2" w:space="0" w:color="auto"/>
          </w:divBdr>
        </w:div>
        <w:div w:id="2104034234">
          <w:marLeft w:val="0"/>
          <w:marRight w:val="0"/>
          <w:marTop w:val="0"/>
          <w:marBottom w:val="0"/>
          <w:divBdr>
            <w:top w:val="single" w:sz="2" w:space="0" w:color="auto"/>
            <w:left w:val="single" w:sz="2" w:space="0" w:color="auto"/>
            <w:bottom w:val="single" w:sz="2" w:space="0" w:color="auto"/>
            <w:right w:val="single" w:sz="2" w:space="0" w:color="auto"/>
          </w:divBdr>
        </w:div>
      </w:divsChild>
    </w:div>
    <w:div w:id="341050224">
      <w:bodyDiv w:val="1"/>
      <w:marLeft w:val="0"/>
      <w:marRight w:val="0"/>
      <w:marTop w:val="0"/>
      <w:marBottom w:val="0"/>
      <w:divBdr>
        <w:top w:val="none" w:sz="0" w:space="0" w:color="auto"/>
        <w:left w:val="none" w:sz="0" w:space="0" w:color="auto"/>
        <w:bottom w:val="none" w:sz="0" w:space="0" w:color="auto"/>
        <w:right w:val="none" w:sz="0" w:space="0" w:color="auto"/>
      </w:divBdr>
    </w:div>
    <w:div w:id="343409701">
      <w:bodyDiv w:val="1"/>
      <w:marLeft w:val="0"/>
      <w:marRight w:val="0"/>
      <w:marTop w:val="0"/>
      <w:marBottom w:val="0"/>
      <w:divBdr>
        <w:top w:val="none" w:sz="0" w:space="0" w:color="auto"/>
        <w:left w:val="none" w:sz="0" w:space="0" w:color="auto"/>
        <w:bottom w:val="none" w:sz="0" w:space="0" w:color="auto"/>
        <w:right w:val="none" w:sz="0" w:space="0" w:color="auto"/>
      </w:divBdr>
    </w:div>
    <w:div w:id="373042385">
      <w:bodyDiv w:val="1"/>
      <w:marLeft w:val="0"/>
      <w:marRight w:val="0"/>
      <w:marTop w:val="0"/>
      <w:marBottom w:val="0"/>
      <w:divBdr>
        <w:top w:val="none" w:sz="0" w:space="0" w:color="auto"/>
        <w:left w:val="none" w:sz="0" w:space="0" w:color="auto"/>
        <w:bottom w:val="none" w:sz="0" w:space="0" w:color="auto"/>
        <w:right w:val="none" w:sz="0" w:space="0" w:color="auto"/>
      </w:divBdr>
    </w:div>
    <w:div w:id="385761073">
      <w:bodyDiv w:val="1"/>
      <w:marLeft w:val="0"/>
      <w:marRight w:val="0"/>
      <w:marTop w:val="0"/>
      <w:marBottom w:val="0"/>
      <w:divBdr>
        <w:top w:val="none" w:sz="0" w:space="0" w:color="auto"/>
        <w:left w:val="none" w:sz="0" w:space="0" w:color="auto"/>
        <w:bottom w:val="none" w:sz="0" w:space="0" w:color="auto"/>
        <w:right w:val="none" w:sz="0" w:space="0" w:color="auto"/>
      </w:divBdr>
      <w:divsChild>
        <w:div w:id="926696814">
          <w:marLeft w:val="0"/>
          <w:marRight w:val="0"/>
          <w:marTop w:val="0"/>
          <w:marBottom w:val="0"/>
          <w:divBdr>
            <w:top w:val="none" w:sz="0" w:space="0" w:color="auto"/>
            <w:left w:val="none" w:sz="0" w:space="0" w:color="auto"/>
            <w:bottom w:val="none" w:sz="0" w:space="0" w:color="auto"/>
            <w:right w:val="none" w:sz="0" w:space="0" w:color="auto"/>
          </w:divBdr>
        </w:div>
      </w:divsChild>
    </w:div>
    <w:div w:id="414056722">
      <w:bodyDiv w:val="1"/>
      <w:marLeft w:val="0"/>
      <w:marRight w:val="0"/>
      <w:marTop w:val="0"/>
      <w:marBottom w:val="0"/>
      <w:divBdr>
        <w:top w:val="none" w:sz="0" w:space="0" w:color="auto"/>
        <w:left w:val="none" w:sz="0" w:space="0" w:color="auto"/>
        <w:bottom w:val="none" w:sz="0" w:space="0" w:color="auto"/>
        <w:right w:val="none" w:sz="0" w:space="0" w:color="auto"/>
      </w:divBdr>
    </w:div>
    <w:div w:id="418016572">
      <w:bodyDiv w:val="1"/>
      <w:marLeft w:val="0"/>
      <w:marRight w:val="0"/>
      <w:marTop w:val="0"/>
      <w:marBottom w:val="0"/>
      <w:divBdr>
        <w:top w:val="none" w:sz="0" w:space="0" w:color="auto"/>
        <w:left w:val="none" w:sz="0" w:space="0" w:color="auto"/>
        <w:bottom w:val="none" w:sz="0" w:space="0" w:color="auto"/>
        <w:right w:val="none" w:sz="0" w:space="0" w:color="auto"/>
      </w:divBdr>
      <w:divsChild>
        <w:div w:id="1388533000">
          <w:marLeft w:val="0"/>
          <w:marRight w:val="0"/>
          <w:marTop w:val="0"/>
          <w:marBottom w:val="0"/>
          <w:divBdr>
            <w:top w:val="none" w:sz="0" w:space="0" w:color="auto"/>
            <w:left w:val="none" w:sz="0" w:space="0" w:color="auto"/>
            <w:bottom w:val="none" w:sz="0" w:space="0" w:color="auto"/>
            <w:right w:val="none" w:sz="0" w:space="0" w:color="auto"/>
          </w:divBdr>
          <w:divsChild>
            <w:div w:id="1926839669">
              <w:marLeft w:val="0"/>
              <w:marRight w:val="60"/>
              <w:marTop w:val="0"/>
              <w:marBottom w:val="0"/>
              <w:divBdr>
                <w:top w:val="none" w:sz="0" w:space="0" w:color="auto"/>
                <w:left w:val="none" w:sz="0" w:space="0" w:color="auto"/>
                <w:bottom w:val="none" w:sz="0" w:space="0" w:color="auto"/>
                <w:right w:val="none" w:sz="0" w:space="0" w:color="auto"/>
              </w:divBdr>
              <w:divsChild>
                <w:div w:id="924385423">
                  <w:marLeft w:val="0"/>
                  <w:marRight w:val="0"/>
                  <w:marTop w:val="0"/>
                  <w:marBottom w:val="120"/>
                  <w:divBdr>
                    <w:top w:val="single" w:sz="6" w:space="0" w:color="A0A0A0"/>
                    <w:left w:val="single" w:sz="6" w:space="0" w:color="B9B9B9"/>
                    <w:bottom w:val="single" w:sz="6" w:space="0" w:color="B9B9B9"/>
                    <w:right w:val="single" w:sz="6" w:space="0" w:color="B9B9B9"/>
                  </w:divBdr>
                  <w:divsChild>
                    <w:div w:id="1062366576">
                      <w:marLeft w:val="0"/>
                      <w:marRight w:val="0"/>
                      <w:marTop w:val="0"/>
                      <w:marBottom w:val="0"/>
                      <w:divBdr>
                        <w:top w:val="none" w:sz="0" w:space="0" w:color="auto"/>
                        <w:left w:val="none" w:sz="0" w:space="0" w:color="auto"/>
                        <w:bottom w:val="none" w:sz="0" w:space="0" w:color="auto"/>
                        <w:right w:val="none" w:sz="0" w:space="0" w:color="auto"/>
                      </w:divBdr>
                    </w:div>
                    <w:div w:id="208988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992274">
          <w:marLeft w:val="0"/>
          <w:marRight w:val="0"/>
          <w:marTop w:val="0"/>
          <w:marBottom w:val="0"/>
          <w:divBdr>
            <w:top w:val="none" w:sz="0" w:space="0" w:color="auto"/>
            <w:left w:val="none" w:sz="0" w:space="0" w:color="auto"/>
            <w:bottom w:val="none" w:sz="0" w:space="0" w:color="auto"/>
            <w:right w:val="none" w:sz="0" w:space="0" w:color="auto"/>
          </w:divBdr>
          <w:divsChild>
            <w:div w:id="1670017806">
              <w:marLeft w:val="60"/>
              <w:marRight w:val="0"/>
              <w:marTop w:val="0"/>
              <w:marBottom w:val="0"/>
              <w:divBdr>
                <w:top w:val="none" w:sz="0" w:space="0" w:color="auto"/>
                <w:left w:val="none" w:sz="0" w:space="0" w:color="auto"/>
                <w:bottom w:val="none" w:sz="0" w:space="0" w:color="auto"/>
                <w:right w:val="none" w:sz="0" w:space="0" w:color="auto"/>
              </w:divBdr>
              <w:divsChild>
                <w:div w:id="569653364">
                  <w:marLeft w:val="0"/>
                  <w:marRight w:val="0"/>
                  <w:marTop w:val="0"/>
                  <w:marBottom w:val="0"/>
                  <w:divBdr>
                    <w:top w:val="none" w:sz="0" w:space="0" w:color="auto"/>
                    <w:left w:val="none" w:sz="0" w:space="0" w:color="auto"/>
                    <w:bottom w:val="none" w:sz="0" w:space="0" w:color="auto"/>
                    <w:right w:val="none" w:sz="0" w:space="0" w:color="auto"/>
                  </w:divBdr>
                  <w:divsChild>
                    <w:div w:id="27026750">
                      <w:marLeft w:val="0"/>
                      <w:marRight w:val="0"/>
                      <w:marTop w:val="0"/>
                      <w:marBottom w:val="120"/>
                      <w:divBdr>
                        <w:top w:val="single" w:sz="6" w:space="0" w:color="F5F5F5"/>
                        <w:left w:val="single" w:sz="6" w:space="0" w:color="F5F5F5"/>
                        <w:bottom w:val="single" w:sz="6" w:space="0" w:color="F5F5F5"/>
                        <w:right w:val="single" w:sz="6" w:space="0" w:color="F5F5F5"/>
                      </w:divBdr>
                      <w:divsChild>
                        <w:div w:id="181288904">
                          <w:marLeft w:val="0"/>
                          <w:marRight w:val="0"/>
                          <w:marTop w:val="0"/>
                          <w:marBottom w:val="0"/>
                          <w:divBdr>
                            <w:top w:val="none" w:sz="0" w:space="0" w:color="auto"/>
                            <w:left w:val="none" w:sz="0" w:space="0" w:color="auto"/>
                            <w:bottom w:val="none" w:sz="0" w:space="0" w:color="auto"/>
                            <w:right w:val="none" w:sz="0" w:space="0" w:color="auto"/>
                          </w:divBdr>
                          <w:divsChild>
                            <w:div w:id="64331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251678">
      <w:bodyDiv w:val="1"/>
      <w:marLeft w:val="0"/>
      <w:marRight w:val="0"/>
      <w:marTop w:val="0"/>
      <w:marBottom w:val="0"/>
      <w:divBdr>
        <w:top w:val="none" w:sz="0" w:space="0" w:color="auto"/>
        <w:left w:val="none" w:sz="0" w:space="0" w:color="auto"/>
        <w:bottom w:val="none" w:sz="0" w:space="0" w:color="auto"/>
        <w:right w:val="none" w:sz="0" w:space="0" w:color="auto"/>
      </w:divBdr>
      <w:divsChild>
        <w:div w:id="1502309520">
          <w:marLeft w:val="0"/>
          <w:marRight w:val="0"/>
          <w:marTop w:val="0"/>
          <w:marBottom w:val="0"/>
          <w:divBdr>
            <w:top w:val="single" w:sz="2" w:space="0" w:color="auto"/>
            <w:left w:val="single" w:sz="2" w:space="0" w:color="auto"/>
            <w:bottom w:val="single" w:sz="2" w:space="0" w:color="auto"/>
            <w:right w:val="single" w:sz="2" w:space="0" w:color="auto"/>
          </w:divBdr>
        </w:div>
        <w:div w:id="2056194392">
          <w:marLeft w:val="0"/>
          <w:marRight w:val="0"/>
          <w:marTop w:val="0"/>
          <w:marBottom w:val="0"/>
          <w:divBdr>
            <w:top w:val="single" w:sz="2" w:space="0" w:color="auto"/>
            <w:left w:val="single" w:sz="2" w:space="0" w:color="auto"/>
            <w:bottom w:val="single" w:sz="2" w:space="0" w:color="auto"/>
            <w:right w:val="single" w:sz="2" w:space="0" w:color="auto"/>
          </w:divBdr>
        </w:div>
        <w:div w:id="208495200">
          <w:marLeft w:val="0"/>
          <w:marRight w:val="0"/>
          <w:marTop w:val="0"/>
          <w:marBottom w:val="0"/>
          <w:divBdr>
            <w:top w:val="single" w:sz="2" w:space="0" w:color="auto"/>
            <w:left w:val="single" w:sz="2" w:space="0" w:color="auto"/>
            <w:bottom w:val="single" w:sz="2" w:space="0" w:color="auto"/>
            <w:right w:val="single" w:sz="2" w:space="0" w:color="auto"/>
          </w:divBdr>
        </w:div>
      </w:divsChild>
    </w:div>
    <w:div w:id="472479438">
      <w:bodyDiv w:val="1"/>
      <w:marLeft w:val="0"/>
      <w:marRight w:val="0"/>
      <w:marTop w:val="0"/>
      <w:marBottom w:val="0"/>
      <w:divBdr>
        <w:top w:val="none" w:sz="0" w:space="0" w:color="auto"/>
        <w:left w:val="none" w:sz="0" w:space="0" w:color="auto"/>
        <w:bottom w:val="none" w:sz="0" w:space="0" w:color="auto"/>
        <w:right w:val="none" w:sz="0" w:space="0" w:color="auto"/>
      </w:divBdr>
    </w:div>
    <w:div w:id="492910191">
      <w:bodyDiv w:val="1"/>
      <w:marLeft w:val="0"/>
      <w:marRight w:val="0"/>
      <w:marTop w:val="0"/>
      <w:marBottom w:val="0"/>
      <w:divBdr>
        <w:top w:val="none" w:sz="0" w:space="0" w:color="auto"/>
        <w:left w:val="none" w:sz="0" w:space="0" w:color="auto"/>
        <w:bottom w:val="none" w:sz="0" w:space="0" w:color="auto"/>
        <w:right w:val="none" w:sz="0" w:space="0" w:color="auto"/>
      </w:divBdr>
    </w:div>
    <w:div w:id="514272960">
      <w:bodyDiv w:val="1"/>
      <w:marLeft w:val="0"/>
      <w:marRight w:val="0"/>
      <w:marTop w:val="0"/>
      <w:marBottom w:val="0"/>
      <w:divBdr>
        <w:top w:val="none" w:sz="0" w:space="0" w:color="auto"/>
        <w:left w:val="none" w:sz="0" w:space="0" w:color="auto"/>
        <w:bottom w:val="none" w:sz="0" w:space="0" w:color="auto"/>
        <w:right w:val="none" w:sz="0" w:space="0" w:color="auto"/>
      </w:divBdr>
    </w:div>
    <w:div w:id="530383178">
      <w:bodyDiv w:val="1"/>
      <w:marLeft w:val="0"/>
      <w:marRight w:val="0"/>
      <w:marTop w:val="0"/>
      <w:marBottom w:val="0"/>
      <w:divBdr>
        <w:top w:val="none" w:sz="0" w:space="0" w:color="auto"/>
        <w:left w:val="none" w:sz="0" w:space="0" w:color="auto"/>
        <w:bottom w:val="none" w:sz="0" w:space="0" w:color="auto"/>
        <w:right w:val="none" w:sz="0" w:space="0" w:color="auto"/>
      </w:divBdr>
    </w:div>
    <w:div w:id="603463449">
      <w:bodyDiv w:val="1"/>
      <w:marLeft w:val="0"/>
      <w:marRight w:val="0"/>
      <w:marTop w:val="0"/>
      <w:marBottom w:val="0"/>
      <w:divBdr>
        <w:top w:val="none" w:sz="0" w:space="0" w:color="auto"/>
        <w:left w:val="none" w:sz="0" w:space="0" w:color="auto"/>
        <w:bottom w:val="none" w:sz="0" w:space="0" w:color="auto"/>
        <w:right w:val="none" w:sz="0" w:space="0" w:color="auto"/>
      </w:divBdr>
    </w:div>
    <w:div w:id="615450710">
      <w:bodyDiv w:val="1"/>
      <w:marLeft w:val="0"/>
      <w:marRight w:val="0"/>
      <w:marTop w:val="0"/>
      <w:marBottom w:val="0"/>
      <w:divBdr>
        <w:top w:val="none" w:sz="0" w:space="0" w:color="auto"/>
        <w:left w:val="none" w:sz="0" w:space="0" w:color="auto"/>
        <w:bottom w:val="none" w:sz="0" w:space="0" w:color="auto"/>
        <w:right w:val="none" w:sz="0" w:space="0" w:color="auto"/>
      </w:divBdr>
    </w:div>
    <w:div w:id="645940780">
      <w:bodyDiv w:val="1"/>
      <w:marLeft w:val="0"/>
      <w:marRight w:val="0"/>
      <w:marTop w:val="0"/>
      <w:marBottom w:val="0"/>
      <w:divBdr>
        <w:top w:val="none" w:sz="0" w:space="0" w:color="auto"/>
        <w:left w:val="none" w:sz="0" w:space="0" w:color="auto"/>
        <w:bottom w:val="none" w:sz="0" w:space="0" w:color="auto"/>
        <w:right w:val="none" w:sz="0" w:space="0" w:color="auto"/>
      </w:divBdr>
    </w:div>
    <w:div w:id="682708486">
      <w:bodyDiv w:val="1"/>
      <w:marLeft w:val="0"/>
      <w:marRight w:val="0"/>
      <w:marTop w:val="0"/>
      <w:marBottom w:val="0"/>
      <w:divBdr>
        <w:top w:val="none" w:sz="0" w:space="0" w:color="auto"/>
        <w:left w:val="none" w:sz="0" w:space="0" w:color="auto"/>
        <w:bottom w:val="none" w:sz="0" w:space="0" w:color="auto"/>
        <w:right w:val="none" w:sz="0" w:space="0" w:color="auto"/>
      </w:divBdr>
    </w:div>
    <w:div w:id="694966640">
      <w:bodyDiv w:val="1"/>
      <w:marLeft w:val="0"/>
      <w:marRight w:val="0"/>
      <w:marTop w:val="0"/>
      <w:marBottom w:val="0"/>
      <w:divBdr>
        <w:top w:val="none" w:sz="0" w:space="0" w:color="auto"/>
        <w:left w:val="none" w:sz="0" w:space="0" w:color="auto"/>
        <w:bottom w:val="none" w:sz="0" w:space="0" w:color="auto"/>
        <w:right w:val="none" w:sz="0" w:space="0" w:color="auto"/>
      </w:divBdr>
    </w:div>
    <w:div w:id="696083120">
      <w:bodyDiv w:val="1"/>
      <w:marLeft w:val="0"/>
      <w:marRight w:val="0"/>
      <w:marTop w:val="0"/>
      <w:marBottom w:val="0"/>
      <w:divBdr>
        <w:top w:val="none" w:sz="0" w:space="0" w:color="auto"/>
        <w:left w:val="none" w:sz="0" w:space="0" w:color="auto"/>
        <w:bottom w:val="none" w:sz="0" w:space="0" w:color="auto"/>
        <w:right w:val="none" w:sz="0" w:space="0" w:color="auto"/>
      </w:divBdr>
    </w:div>
    <w:div w:id="699277329">
      <w:bodyDiv w:val="1"/>
      <w:marLeft w:val="0"/>
      <w:marRight w:val="0"/>
      <w:marTop w:val="0"/>
      <w:marBottom w:val="0"/>
      <w:divBdr>
        <w:top w:val="none" w:sz="0" w:space="0" w:color="auto"/>
        <w:left w:val="none" w:sz="0" w:space="0" w:color="auto"/>
        <w:bottom w:val="none" w:sz="0" w:space="0" w:color="auto"/>
        <w:right w:val="none" w:sz="0" w:space="0" w:color="auto"/>
      </w:divBdr>
    </w:div>
    <w:div w:id="704672298">
      <w:bodyDiv w:val="1"/>
      <w:marLeft w:val="0"/>
      <w:marRight w:val="0"/>
      <w:marTop w:val="0"/>
      <w:marBottom w:val="0"/>
      <w:divBdr>
        <w:top w:val="none" w:sz="0" w:space="0" w:color="auto"/>
        <w:left w:val="none" w:sz="0" w:space="0" w:color="auto"/>
        <w:bottom w:val="none" w:sz="0" w:space="0" w:color="auto"/>
        <w:right w:val="none" w:sz="0" w:space="0" w:color="auto"/>
      </w:divBdr>
    </w:div>
    <w:div w:id="743844638">
      <w:bodyDiv w:val="1"/>
      <w:marLeft w:val="0"/>
      <w:marRight w:val="0"/>
      <w:marTop w:val="0"/>
      <w:marBottom w:val="0"/>
      <w:divBdr>
        <w:top w:val="none" w:sz="0" w:space="0" w:color="auto"/>
        <w:left w:val="none" w:sz="0" w:space="0" w:color="auto"/>
        <w:bottom w:val="none" w:sz="0" w:space="0" w:color="auto"/>
        <w:right w:val="none" w:sz="0" w:space="0" w:color="auto"/>
      </w:divBdr>
    </w:div>
    <w:div w:id="762606559">
      <w:bodyDiv w:val="1"/>
      <w:marLeft w:val="0"/>
      <w:marRight w:val="0"/>
      <w:marTop w:val="0"/>
      <w:marBottom w:val="0"/>
      <w:divBdr>
        <w:top w:val="none" w:sz="0" w:space="0" w:color="auto"/>
        <w:left w:val="none" w:sz="0" w:space="0" w:color="auto"/>
        <w:bottom w:val="none" w:sz="0" w:space="0" w:color="auto"/>
        <w:right w:val="none" w:sz="0" w:space="0" w:color="auto"/>
      </w:divBdr>
    </w:div>
    <w:div w:id="769737604">
      <w:bodyDiv w:val="1"/>
      <w:marLeft w:val="0"/>
      <w:marRight w:val="0"/>
      <w:marTop w:val="0"/>
      <w:marBottom w:val="0"/>
      <w:divBdr>
        <w:top w:val="none" w:sz="0" w:space="0" w:color="auto"/>
        <w:left w:val="none" w:sz="0" w:space="0" w:color="auto"/>
        <w:bottom w:val="none" w:sz="0" w:space="0" w:color="auto"/>
        <w:right w:val="none" w:sz="0" w:space="0" w:color="auto"/>
      </w:divBdr>
    </w:div>
    <w:div w:id="784419705">
      <w:bodyDiv w:val="1"/>
      <w:marLeft w:val="0"/>
      <w:marRight w:val="0"/>
      <w:marTop w:val="0"/>
      <w:marBottom w:val="0"/>
      <w:divBdr>
        <w:top w:val="none" w:sz="0" w:space="0" w:color="auto"/>
        <w:left w:val="none" w:sz="0" w:space="0" w:color="auto"/>
        <w:bottom w:val="none" w:sz="0" w:space="0" w:color="auto"/>
        <w:right w:val="none" w:sz="0" w:space="0" w:color="auto"/>
      </w:divBdr>
    </w:div>
    <w:div w:id="787623775">
      <w:bodyDiv w:val="1"/>
      <w:marLeft w:val="0"/>
      <w:marRight w:val="0"/>
      <w:marTop w:val="0"/>
      <w:marBottom w:val="0"/>
      <w:divBdr>
        <w:top w:val="none" w:sz="0" w:space="0" w:color="auto"/>
        <w:left w:val="none" w:sz="0" w:space="0" w:color="auto"/>
        <w:bottom w:val="none" w:sz="0" w:space="0" w:color="auto"/>
        <w:right w:val="none" w:sz="0" w:space="0" w:color="auto"/>
      </w:divBdr>
      <w:divsChild>
        <w:div w:id="589658305">
          <w:marLeft w:val="0"/>
          <w:marRight w:val="0"/>
          <w:marTop w:val="0"/>
          <w:marBottom w:val="0"/>
          <w:divBdr>
            <w:top w:val="none" w:sz="0" w:space="0" w:color="auto"/>
            <w:left w:val="none" w:sz="0" w:space="0" w:color="auto"/>
            <w:bottom w:val="none" w:sz="0" w:space="0" w:color="auto"/>
            <w:right w:val="none" w:sz="0" w:space="0" w:color="auto"/>
          </w:divBdr>
        </w:div>
        <w:div w:id="984352329">
          <w:marLeft w:val="0"/>
          <w:marRight w:val="0"/>
          <w:marTop w:val="0"/>
          <w:marBottom w:val="0"/>
          <w:divBdr>
            <w:top w:val="none" w:sz="0" w:space="0" w:color="auto"/>
            <w:left w:val="none" w:sz="0" w:space="0" w:color="auto"/>
            <w:bottom w:val="none" w:sz="0" w:space="0" w:color="auto"/>
            <w:right w:val="none" w:sz="0" w:space="0" w:color="auto"/>
          </w:divBdr>
          <w:divsChild>
            <w:div w:id="593708839">
              <w:marLeft w:val="0"/>
              <w:marRight w:val="0"/>
              <w:marTop w:val="0"/>
              <w:marBottom w:val="0"/>
              <w:divBdr>
                <w:top w:val="none" w:sz="0" w:space="0" w:color="auto"/>
                <w:left w:val="none" w:sz="0" w:space="0" w:color="auto"/>
                <w:bottom w:val="none" w:sz="0" w:space="0" w:color="auto"/>
                <w:right w:val="none" w:sz="0" w:space="0" w:color="auto"/>
              </w:divBdr>
              <w:divsChild>
                <w:div w:id="1875534716">
                  <w:marLeft w:val="0"/>
                  <w:marRight w:val="0"/>
                  <w:marTop w:val="0"/>
                  <w:marBottom w:val="0"/>
                  <w:divBdr>
                    <w:top w:val="none" w:sz="0" w:space="0" w:color="auto"/>
                    <w:left w:val="none" w:sz="0" w:space="0" w:color="auto"/>
                    <w:bottom w:val="none" w:sz="0" w:space="0" w:color="auto"/>
                    <w:right w:val="none" w:sz="0" w:space="0" w:color="auto"/>
                  </w:divBdr>
                  <w:divsChild>
                    <w:div w:id="56572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90049">
          <w:marLeft w:val="0"/>
          <w:marRight w:val="0"/>
          <w:marTop w:val="0"/>
          <w:marBottom w:val="0"/>
          <w:divBdr>
            <w:top w:val="none" w:sz="0" w:space="0" w:color="auto"/>
            <w:left w:val="none" w:sz="0" w:space="0" w:color="auto"/>
            <w:bottom w:val="none" w:sz="0" w:space="0" w:color="auto"/>
            <w:right w:val="none" w:sz="0" w:space="0" w:color="auto"/>
          </w:divBdr>
          <w:divsChild>
            <w:div w:id="1021711416">
              <w:marLeft w:val="0"/>
              <w:marRight w:val="0"/>
              <w:marTop w:val="0"/>
              <w:marBottom w:val="0"/>
              <w:divBdr>
                <w:top w:val="none" w:sz="0" w:space="0" w:color="auto"/>
                <w:left w:val="none" w:sz="0" w:space="0" w:color="auto"/>
                <w:bottom w:val="none" w:sz="0" w:space="0" w:color="auto"/>
                <w:right w:val="none" w:sz="0" w:space="0" w:color="auto"/>
              </w:divBdr>
              <w:divsChild>
                <w:div w:id="188193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556908">
          <w:marLeft w:val="0"/>
          <w:marRight w:val="0"/>
          <w:marTop w:val="0"/>
          <w:marBottom w:val="0"/>
          <w:divBdr>
            <w:top w:val="none" w:sz="0" w:space="0" w:color="auto"/>
            <w:left w:val="none" w:sz="0" w:space="0" w:color="auto"/>
            <w:bottom w:val="none" w:sz="0" w:space="0" w:color="auto"/>
            <w:right w:val="none" w:sz="0" w:space="0" w:color="auto"/>
          </w:divBdr>
          <w:divsChild>
            <w:div w:id="996883839">
              <w:marLeft w:val="0"/>
              <w:marRight w:val="0"/>
              <w:marTop w:val="60"/>
              <w:marBottom w:val="0"/>
              <w:divBdr>
                <w:top w:val="none" w:sz="0" w:space="0" w:color="auto"/>
                <w:left w:val="none" w:sz="0" w:space="0" w:color="auto"/>
                <w:bottom w:val="none" w:sz="0" w:space="0" w:color="auto"/>
                <w:right w:val="none" w:sz="0" w:space="0" w:color="auto"/>
              </w:divBdr>
            </w:div>
          </w:divsChild>
        </w:div>
        <w:div w:id="1730493017">
          <w:marLeft w:val="0"/>
          <w:marRight w:val="0"/>
          <w:marTop w:val="0"/>
          <w:marBottom w:val="0"/>
          <w:divBdr>
            <w:top w:val="none" w:sz="0" w:space="0" w:color="auto"/>
            <w:left w:val="none" w:sz="0" w:space="0" w:color="auto"/>
            <w:bottom w:val="none" w:sz="0" w:space="0" w:color="auto"/>
            <w:right w:val="none" w:sz="0" w:space="0" w:color="auto"/>
          </w:divBdr>
          <w:divsChild>
            <w:div w:id="133072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48895">
      <w:bodyDiv w:val="1"/>
      <w:marLeft w:val="0"/>
      <w:marRight w:val="0"/>
      <w:marTop w:val="0"/>
      <w:marBottom w:val="0"/>
      <w:divBdr>
        <w:top w:val="none" w:sz="0" w:space="0" w:color="auto"/>
        <w:left w:val="none" w:sz="0" w:space="0" w:color="auto"/>
        <w:bottom w:val="none" w:sz="0" w:space="0" w:color="auto"/>
        <w:right w:val="none" w:sz="0" w:space="0" w:color="auto"/>
      </w:divBdr>
    </w:div>
    <w:div w:id="799543027">
      <w:bodyDiv w:val="1"/>
      <w:marLeft w:val="0"/>
      <w:marRight w:val="0"/>
      <w:marTop w:val="0"/>
      <w:marBottom w:val="0"/>
      <w:divBdr>
        <w:top w:val="none" w:sz="0" w:space="0" w:color="auto"/>
        <w:left w:val="none" w:sz="0" w:space="0" w:color="auto"/>
        <w:bottom w:val="none" w:sz="0" w:space="0" w:color="auto"/>
        <w:right w:val="none" w:sz="0" w:space="0" w:color="auto"/>
      </w:divBdr>
    </w:div>
    <w:div w:id="807698104">
      <w:bodyDiv w:val="1"/>
      <w:marLeft w:val="0"/>
      <w:marRight w:val="0"/>
      <w:marTop w:val="0"/>
      <w:marBottom w:val="0"/>
      <w:divBdr>
        <w:top w:val="none" w:sz="0" w:space="0" w:color="auto"/>
        <w:left w:val="none" w:sz="0" w:space="0" w:color="auto"/>
        <w:bottom w:val="none" w:sz="0" w:space="0" w:color="auto"/>
        <w:right w:val="none" w:sz="0" w:space="0" w:color="auto"/>
      </w:divBdr>
    </w:div>
    <w:div w:id="809833836">
      <w:bodyDiv w:val="1"/>
      <w:marLeft w:val="0"/>
      <w:marRight w:val="0"/>
      <w:marTop w:val="0"/>
      <w:marBottom w:val="0"/>
      <w:divBdr>
        <w:top w:val="none" w:sz="0" w:space="0" w:color="auto"/>
        <w:left w:val="none" w:sz="0" w:space="0" w:color="auto"/>
        <w:bottom w:val="none" w:sz="0" w:space="0" w:color="auto"/>
        <w:right w:val="none" w:sz="0" w:space="0" w:color="auto"/>
      </w:divBdr>
    </w:div>
    <w:div w:id="815799758">
      <w:bodyDiv w:val="1"/>
      <w:marLeft w:val="0"/>
      <w:marRight w:val="0"/>
      <w:marTop w:val="0"/>
      <w:marBottom w:val="0"/>
      <w:divBdr>
        <w:top w:val="none" w:sz="0" w:space="0" w:color="auto"/>
        <w:left w:val="none" w:sz="0" w:space="0" w:color="auto"/>
        <w:bottom w:val="none" w:sz="0" w:space="0" w:color="auto"/>
        <w:right w:val="none" w:sz="0" w:space="0" w:color="auto"/>
      </w:divBdr>
    </w:div>
    <w:div w:id="867525224">
      <w:bodyDiv w:val="1"/>
      <w:marLeft w:val="0"/>
      <w:marRight w:val="0"/>
      <w:marTop w:val="0"/>
      <w:marBottom w:val="0"/>
      <w:divBdr>
        <w:top w:val="none" w:sz="0" w:space="0" w:color="auto"/>
        <w:left w:val="none" w:sz="0" w:space="0" w:color="auto"/>
        <w:bottom w:val="none" w:sz="0" w:space="0" w:color="auto"/>
        <w:right w:val="none" w:sz="0" w:space="0" w:color="auto"/>
      </w:divBdr>
    </w:div>
    <w:div w:id="873418748">
      <w:bodyDiv w:val="1"/>
      <w:marLeft w:val="0"/>
      <w:marRight w:val="0"/>
      <w:marTop w:val="0"/>
      <w:marBottom w:val="0"/>
      <w:divBdr>
        <w:top w:val="none" w:sz="0" w:space="0" w:color="auto"/>
        <w:left w:val="none" w:sz="0" w:space="0" w:color="auto"/>
        <w:bottom w:val="none" w:sz="0" w:space="0" w:color="auto"/>
        <w:right w:val="none" w:sz="0" w:space="0" w:color="auto"/>
      </w:divBdr>
    </w:div>
    <w:div w:id="897980789">
      <w:bodyDiv w:val="1"/>
      <w:marLeft w:val="0"/>
      <w:marRight w:val="0"/>
      <w:marTop w:val="0"/>
      <w:marBottom w:val="0"/>
      <w:divBdr>
        <w:top w:val="none" w:sz="0" w:space="0" w:color="auto"/>
        <w:left w:val="none" w:sz="0" w:space="0" w:color="auto"/>
        <w:bottom w:val="none" w:sz="0" w:space="0" w:color="auto"/>
        <w:right w:val="none" w:sz="0" w:space="0" w:color="auto"/>
      </w:divBdr>
    </w:div>
    <w:div w:id="901217775">
      <w:bodyDiv w:val="1"/>
      <w:marLeft w:val="0"/>
      <w:marRight w:val="0"/>
      <w:marTop w:val="0"/>
      <w:marBottom w:val="0"/>
      <w:divBdr>
        <w:top w:val="none" w:sz="0" w:space="0" w:color="auto"/>
        <w:left w:val="none" w:sz="0" w:space="0" w:color="auto"/>
        <w:bottom w:val="none" w:sz="0" w:space="0" w:color="auto"/>
        <w:right w:val="none" w:sz="0" w:space="0" w:color="auto"/>
      </w:divBdr>
    </w:div>
    <w:div w:id="913972824">
      <w:bodyDiv w:val="1"/>
      <w:marLeft w:val="0"/>
      <w:marRight w:val="0"/>
      <w:marTop w:val="0"/>
      <w:marBottom w:val="0"/>
      <w:divBdr>
        <w:top w:val="none" w:sz="0" w:space="0" w:color="auto"/>
        <w:left w:val="none" w:sz="0" w:space="0" w:color="auto"/>
        <w:bottom w:val="none" w:sz="0" w:space="0" w:color="auto"/>
        <w:right w:val="none" w:sz="0" w:space="0" w:color="auto"/>
      </w:divBdr>
    </w:div>
    <w:div w:id="981425172">
      <w:bodyDiv w:val="1"/>
      <w:marLeft w:val="0"/>
      <w:marRight w:val="0"/>
      <w:marTop w:val="0"/>
      <w:marBottom w:val="0"/>
      <w:divBdr>
        <w:top w:val="none" w:sz="0" w:space="0" w:color="auto"/>
        <w:left w:val="none" w:sz="0" w:space="0" w:color="auto"/>
        <w:bottom w:val="none" w:sz="0" w:space="0" w:color="auto"/>
        <w:right w:val="none" w:sz="0" w:space="0" w:color="auto"/>
      </w:divBdr>
    </w:div>
    <w:div w:id="986057029">
      <w:bodyDiv w:val="1"/>
      <w:marLeft w:val="0"/>
      <w:marRight w:val="0"/>
      <w:marTop w:val="0"/>
      <w:marBottom w:val="0"/>
      <w:divBdr>
        <w:top w:val="none" w:sz="0" w:space="0" w:color="auto"/>
        <w:left w:val="none" w:sz="0" w:space="0" w:color="auto"/>
        <w:bottom w:val="none" w:sz="0" w:space="0" w:color="auto"/>
        <w:right w:val="none" w:sz="0" w:space="0" w:color="auto"/>
      </w:divBdr>
    </w:div>
    <w:div w:id="1008218604">
      <w:bodyDiv w:val="1"/>
      <w:marLeft w:val="0"/>
      <w:marRight w:val="0"/>
      <w:marTop w:val="0"/>
      <w:marBottom w:val="0"/>
      <w:divBdr>
        <w:top w:val="none" w:sz="0" w:space="0" w:color="auto"/>
        <w:left w:val="none" w:sz="0" w:space="0" w:color="auto"/>
        <w:bottom w:val="none" w:sz="0" w:space="0" w:color="auto"/>
        <w:right w:val="none" w:sz="0" w:space="0" w:color="auto"/>
      </w:divBdr>
    </w:div>
    <w:div w:id="1021590701">
      <w:bodyDiv w:val="1"/>
      <w:marLeft w:val="0"/>
      <w:marRight w:val="0"/>
      <w:marTop w:val="0"/>
      <w:marBottom w:val="0"/>
      <w:divBdr>
        <w:top w:val="none" w:sz="0" w:space="0" w:color="auto"/>
        <w:left w:val="none" w:sz="0" w:space="0" w:color="auto"/>
        <w:bottom w:val="none" w:sz="0" w:space="0" w:color="auto"/>
        <w:right w:val="none" w:sz="0" w:space="0" w:color="auto"/>
      </w:divBdr>
    </w:div>
    <w:div w:id="1035347610">
      <w:bodyDiv w:val="1"/>
      <w:marLeft w:val="0"/>
      <w:marRight w:val="0"/>
      <w:marTop w:val="0"/>
      <w:marBottom w:val="0"/>
      <w:divBdr>
        <w:top w:val="none" w:sz="0" w:space="0" w:color="auto"/>
        <w:left w:val="none" w:sz="0" w:space="0" w:color="auto"/>
        <w:bottom w:val="none" w:sz="0" w:space="0" w:color="auto"/>
        <w:right w:val="none" w:sz="0" w:space="0" w:color="auto"/>
      </w:divBdr>
    </w:div>
    <w:div w:id="1103644424">
      <w:bodyDiv w:val="1"/>
      <w:marLeft w:val="0"/>
      <w:marRight w:val="0"/>
      <w:marTop w:val="0"/>
      <w:marBottom w:val="0"/>
      <w:divBdr>
        <w:top w:val="none" w:sz="0" w:space="0" w:color="auto"/>
        <w:left w:val="none" w:sz="0" w:space="0" w:color="auto"/>
        <w:bottom w:val="none" w:sz="0" w:space="0" w:color="auto"/>
        <w:right w:val="none" w:sz="0" w:space="0" w:color="auto"/>
      </w:divBdr>
    </w:div>
    <w:div w:id="1111708530">
      <w:bodyDiv w:val="1"/>
      <w:marLeft w:val="0"/>
      <w:marRight w:val="0"/>
      <w:marTop w:val="0"/>
      <w:marBottom w:val="0"/>
      <w:divBdr>
        <w:top w:val="none" w:sz="0" w:space="0" w:color="auto"/>
        <w:left w:val="none" w:sz="0" w:space="0" w:color="auto"/>
        <w:bottom w:val="none" w:sz="0" w:space="0" w:color="auto"/>
        <w:right w:val="none" w:sz="0" w:space="0" w:color="auto"/>
      </w:divBdr>
    </w:div>
    <w:div w:id="1226143371">
      <w:bodyDiv w:val="1"/>
      <w:marLeft w:val="0"/>
      <w:marRight w:val="0"/>
      <w:marTop w:val="0"/>
      <w:marBottom w:val="0"/>
      <w:divBdr>
        <w:top w:val="none" w:sz="0" w:space="0" w:color="auto"/>
        <w:left w:val="none" w:sz="0" w:space="0" w:color="auto"/>
        <w:bottom w:val="none" w:sz="0" w:space="0" w:color="auto"/>
        <w:right w:val="none" w:sz="0" w:space="0" w:color="auto"/>
      </w:divBdr>
    </w:div>
    <w:div w:id="1237782102">
      <w:bodyDiv w:val="1"/>
      <w:marLeft w:val="0"/>
      <w:marRight w:val="0"/>
      <w:marTop w:val="0"/>
      <w:marBottom w:val="0"/>
      <w:divBdr>
        <w:top w:val="none" w:sz="0" w:space="0" w:color="auto"/>
        <w:left w:val="none" w:sz="0" w:space="0" w:color="auto"/>
        <w:bottom w:val="none" w:sz="0" w:space="0" w:color="auto"/>
        <w:right w:val="none" w:sz="0" w:space="0" w:color="auto"/>
      </w:divBdr>
    </w:div>
    <w:div w:id="1257052447">
      <w:bodyDiv w:val="1"/>
      <w:marLeft w:val="0"/>
      <w:marRight w:val="0"/>
      <w:marTop w:val="0"/>
      <w:marBottom w:val="0"/>
      <w:divBdr>
        <w:top w:val="none" w:sz="0" w:space="0" w:color="auto"/>
        <w:left w:val="none" w:sz="0" w:space="0" w:color="auto"/>
        <w:bottom w:val="none" w:sz="0" w:space="0" w:color="auto"/>
        <w:right w:val="none" w:sz="0" w:space="0" w:color="auto"/>
      </w:divBdr>
    </w:div>
    <w:div w:id="1284799637">
      <w:bodyDiv w:val="1"/>
      <w:marLeft w:val="0"/>
      <w:marRight w:val="0"/>
      <w:marTop w:val="0"/>
      <w:marBottom w:val="0"/>
      <w:divBdr>
        <w:top w:val="none" w:sz="0" w:space="0" w:color="auto"/>
        <w:left w:val="none" w:sz="0" w:space="0" w:color="auto"/>
        <w:bottom w:val="none" w:sz="0" w:space="0" w:color="auto"/>
        <w:right w:val="none" w:sz="0" w:space="0" w:color="auto"/>
      </w:divBdr>
    </w:div>
    <w:div w:id="1313873373">
      <w:bodyDiv w:val="1"/>
      <w:marLeft w:val="0"/>
      <w:marRight w:val="0"/>
      <w:marTop w:val="0"/>
      <w:marBottom w:val="0"/>
      <w:divBdr>
        <w:top w:val="none" w:sz="0" w:space="0" w:color="auto"/>
        <w:left w:val="none" w:sz="0" w:space="0" w:color="auto"/>
        <w:bottom w:val="none" w:sz="0" w:space="0" w:color="auto"/>
        <w:right w:val="none" w:sz="0" w:space="0" w:color="auto"/>
      </w:divBdr>
    </w:div>
    <w:div w:id="1373506439">
      <w:bodyDiv w:val="1"/>
      <w:marLeft w:val="0"/>
      <w:marRight w:val="0"/>
      <w:marTop w:val="0"/>
      <w:marBottom w:val="0"/>
      <w:divBdr>
        <w:top w:val="none" w:sz="0" w:space="0" w:color="auto"/>
        <w:left w:val="none" w:sz="0" w:space="0" w:color="auto"/>
        <w:bottom w:val="none" w:sz="0" w:space="0" w:color="auto"/>
        <w:right w:val="none" w:sz="0" w:space="0" w:color="auto"/>
      </w:divBdr>
    </w:div>
    <w:div w:id="1396275326">
      <w:bodyDiv w:val="1"/>
      <w:marLeft w:val="0"/>
      <w:marRight w:val="0"/>
      <w:marTop w:val="0"/>
      <w:marBottom w:val="0"/>
      <w:divBdr>
        <w:top w:val="none" w:sz="0" w:space="0" w:color="auto"/>
        <w:left w:val="none" w:sz="0" w:space="0" w:color="auto"/>
        <w:bottom w:val="none" w:sz="0" w:space="0" w:color="auto"/>
        <w:right w:val="none" w:sz="0" w:space="0" w:color="auto"/>
      </w:divBdr>
    </w:div>
    <w:div w:id="1399785649">
      <w:bodyDiv w:val="1"/>
      <w:marLeft w:val="0"/>
      <w:marRight w:val="0"/>
      <w:marTop w:val="0"/>
      <w:marBottom w:val="0"/>
      <w:divBdr>
        <w:top w:val="none" w:sz="0" w:space="0" w:color="auto"/>
        <w:left w:val="none" w:sz="0" w:space="0" w:color="auto"/>
        <w:bottom w:val="none" w:sz="0" w:space="0" w:color="auto"/>
        <w:right w:val="none" w:sz="0" w:space="0" w:color="auto"/>
      </w:divBdr>
    </w:div>
    <w:div w:id="1415862765">
      <w:bodyDiv w:val="1"/>
      <w:marLeft w:val="0"/>
      <w:marRight w:val="0"/>
      <w:marTop w:val="0"/>
      <w:marBottom w:val="0"/>
      <w:divBdr>
        <w:top w:val="none" w:sz="0" w:space="0" w:color="auto"/>
        <w:left w:val="none" w:sz="0" w:space="0" w:color="auto"/>
        <w:bottom w:val="none" w:sz="0" w:space="0" w:color="auto"/>
        <w:right w:val="none" w:sz="0" w:space="0" w:color="auto"/>
      </w:divBdr>
    </w:div>
    <w:div w:id="1457722846">
      <w:bodyDiv w:val="1"/>
      <w:marLeft w:val="0"/>
      <w:marRight w:val="0"/>
      <w:marTop w:val="0"/>
      <w:marBottom w:val="0"/>
      <w:divBdr>
        <w:top w:val="none" w:sz="0" w:space="0" w:color="auto"/>
        <w:left w:val="none" w:sz="0" w:space="0" w:color="auto"/>
        <w:bottom w:val="none" w:sz="0" w:space="0" w:color="auto"/>
        <w:right w:val="none" w:sz="0" w:space="0" w:color="auto"/>
      </w:divBdr>
    </w:div>
    <w:div w:id="1475027677">
      <w:bodyDiv w:val="1"/>
      <w:marLeft w:val="0"/>
      <w:marRight w:val="0"/>
      <w:marTop w:val="0"/>
      <w:marBottom w:val="0"/>
      <w:divBdr>
        <w:top w:val="none" w:sz="0" w:space="0" w:color="auto"/>
        <w:left w:val="none" w:sz="0" w:space="0" w:color="auto"/>
        <w:bottom w:val="none" w:sz="0" w:space="0" w:color="auto"/>
        <w:right w:val="none" w:sz="0" w:space="0" w:color="auto"/>
      </w:divBdr>
    </w:div>
    <w:div w:id="1495217849">
      <w:bodyDiv w:val="1"/>
      <w:marLeft w:val="0"/>
      <w:marRight w:val="0"/>
      <w:marTop w:val="0"/>
      <w:marBottom w:val="0"/>
      <w:divBdr>
        <w:top w:val="none" w:sz="0" w:space="0" w:color="auto"/>
        <w:left w:val="none" w:sz="0" w:space="0" w:color="auto"/>
        <w:bottom w:val="none" w:sz="0" w:space="0" w:color="auto"/>
        <w:right w:val="none" w:sz="0" w:space="0" w:color="auto"/>
      </w:divBdr>
    </w:div>
    <w:div w:id="1535001916">
      <w:bodyDiv w:val="1"/>
      <w:marLeft w:val="0"/>
      <w:marRight w:val="0"/>
      <w:marTop w:val="0"/>
      <w:marBottom w:val="0"/>
      <w:divBdr>
        <w:top w:val="none" w:sz="0" w:space="0" w:color="auto"/>
        <w:left w:val="none" w:sz="0" w:space="0" w:color="auto"/>
        <w:bottom w:val="none" w:sz="0" w:space="0" w:color="auto"/>
        <w:right w:val="none" w:sz="0" w:space="0" w:color="auto"/>
      </w:divBdr>
    </w:div>
    <w:div w:id="1535076654">
      <w:bodyDiv w:val="1"/>
      <w:marLeft w:val="0"/>
      <w:marRight w:val="0"/>
      <w:marTop w:val="0"/>
      <w:marBottom w:val="0"/>
      <w:divBdr>
        <w:top w:val="none" w:sz="0" w:space="0" w:color="auto"/>
        <w:left w:val="none" w:sz="0" w:space="0" w:color="auto"/>
        <w:bottom w:val="none" w:sz="0" w:space="0" w:color="auto"/>
        <w:right w:val="none" w:sz="0" w:space="0" w:color="auto"/>
      </w:divBdr>
    </w:div>
    <w:div w:id="1560633673">
      <w:bodyDiv w:val="1"/>
      <w:marLeft w:val="0"/>
      <w:marRight w:val="0"/>
      <w:marTop w:val="0"/>
      <w:marBottom w:val="0"/>
      <w:divBdr>
        <w:top w:val="none" w:sz="0" w:space="0" w:color="auto"/>
        <w:left w:val="none" w:sz="0" w:space="0" w:color="auto"/>
        <w:bottom w:val="none" w:sz="0" w:space="0" w:color="auto"/>
        <w:right w:val="none" w:sz="0" w:space="0" w:color="auto"/>
      </w:divBdr>
    </w:div>
    <w:div w:id="1565288404">
      <w:bodyDiv w:val="1"/>
      <w:marLeft w:val="0"/>
      <w:marRight w:val="0"/>
      <w:marTop w:val="0"/>
      <w:marBottom w:val="0"/>
      <w:divBdr>
        <w:top w:val="none" w:sz="0" w:space="0" w:color="auto"/>
        <w:left w:val="none" w:sz="0" w:space="0" w:color="auto"/>
        <w:bottom w:val="none" w:sz="0" w:space="0" w:color="auto"/>
        <w:right w:val="none" w:sz="0" w:space="0" w:color="auto"/>
      </w:divBdr>
    </w:div>
    <w:div w:id="1576740991">
      <w:bodyDiv w:val="1"/>
      <w:marLeft w:val="0"/>
      <w:marRight w:val="0"/>
      <w:marTop w:val="0"/>
      <w:marBottom w:val="0"/>
      <w:divBdr>
        <w:top w:val="none" w:sz="0" w:space="0" w:color="auto"/>
        <w:left w:val="none" w:sz="0" w:space="0" w:color="auto"/>
        <w:bottom w:val="none" w:sz="0" w:space="0" w:color="auto"/>
        <w:right w:val="none" w:sz="0" w:space="0" w:color="auto"/>
      </w:divBdr>
    </w:div>
    <w:div w:id="1592009669">
      <w:bodyDiv w:val="1"/>
      <w:marLeft w:val="0"/>
      <w:marRight w:val="0"/>
      <w:marTop w:val="0"/>
      <w:marBottom w:val="0"/>
      <w:divBdr>
        <w:top w:val="none" w:sz="0" w:space="0" w:color="auto"/>
        <w:left w:val="none" w:sz="0" w:space="0" w:color="auto"/>
        <w:bottom w:val="none" w:sz="0" w:space="0" w:color="auto"/>
        <w:right w:val="none" w:sz="0" w:space="0" w:color="auto"/>
      </w:divBdr>
    </w:div>
    <w:div w:id="1609967327">
      <w:bodyDiv w:val="1"/>
      <w:marLeft w:val="0"/>
      <w:marRight w:val="0"/>
      <w:marTop w:val="0"/>
      <w:marBottom w:val="0"/>
      <w:divBdr>
        <w:top w:val="none" w:sz="0" w:space="0" w:color="auto"/>
        <w:left w:val="none" w:sz="0" w:space="0" w:color="auto"/>
        <w:bottom w:val="none" w:sz="0" w:space="0" w:color="auto"/>
        <w:right w:val="none" w:sz="0" w:space="0" w:color="auto"/>
      </w:divBdr>
    </w:div>
    <w:div w:id="1619876469">
      <w:bodyDiv w:val="1"/>
      <w:marLeft w:val="0"/>
      <w:marRight w:val="0"/>
      <w:marTop w:val="0"/>
      <w:marBottom w:val="0"/>
      <w:divBdr>
        <w:top w:val="none" w:sz="0" w:space="0" w:color="auto"/>
        <w:left w:val="none" w:sz="0" w:space="0" w:color="auto"/>
        <w:bottom w:val="none" w:sz="0" w:space="0" w:color="auto"/>
        <w:right w:val="none" w:sz="0" w:space="0" w:color="auto"/>
      </w:divBdr>
    </w:div>
    <w:div w:id="1628196484">
      <w:bodyDiv w:val="1"/>
      <w:marLeft w:val="0"/>
      <w:marRight w:val="0"/>
      <w:marTop w:val="0"/>
      <w:marBottom w:val="0"/>
      <w:divBdr>
        <w:top w:val="none" w:sz="0" w:space="0" w:color="auto"/>
        <w:left w:val="none" w:sz="0" w:space="0" w:color="auto"/>
        <w:bottom w:val="none" w:sz="0" w:space="0" w:color="auto"/>
        <w:right w:val="none" w:sz="0" w:space="0" w:color="auto"/>
      </w:divBdr>
    </w:div>
    <w:div w:id="1638795569">
      <w:bodyDiv w:val="1"/>
      <w:marLeft w:val="0"/>
      <w:marRight w:val="0"/>
      <w:marTop w:val="0"/>
      <w:marBottom w:val="0"/>
      <w:divBdr>
        <w:top w:val="none" w:sz="0" w:space="0" w:color="auto"/>
        <w:left w:val="none" w:sz="0" w:space="0" w:color="auto"/>
        <w:bottom w:val="none" w:sz="0" w:space="0" w:color="auto"/>
        <w:right w:val="none" w:sz="0" w:space="0" w:color="auto"/>
      </w:divBdr>
    </w:div>
    <w:div w:id="1688941581">
      <w:bodyDiv w:val="1"/>
      <w:marLeft w:val="0"/>
      <w:marRight w:val="0"/>
      <w:marTop w:val="0"/>
      <w:marBottom w:val="0"/>
      <w:divBdr>
        <w:top w:val="none" w:sz="0" w:space="0" w:color="auto"/>
        <w:left w:val="none" w:sz="0" w:space="0" w:color="auto"/>
        <w:bottom w:val="none" w:sz="0" w:space="0" w:color="auto"/>
        <w:right w:val="none" w:sz="0" w:space="0" w:color="auto"/>
      </w:divBdr>
    </w:div>
    <w:div w:id="1708097050">
      <w:bodyDiv w:val="1"/>
      <w:marLeft w:val="0"/>
      <w:marRight w:val="0"/>
      <w:marTop w:val="0"/>
      <w:marBottom w:val="0"/>
      <w:divBdr>
        <w:top w:val="none" w:sz="0" w:space="0" w:color="auto"/>
        <w:left w:val="none" w:sz="0" w:space="0" w:color="auto"/>
        <w:bottom w:val="none" w:sz="0" w:space="0" w:color="auto"/>
        <w:right w:val="none" w:sz="0" w:space="0" w:color="auto"/>
      </w:divBdr>
      <w:divsChild>
        <w:div w:id="111289289">
          <w:marLeft w:val="0"/>
          <w:marRight w:val="0"/>
          <w:marTop w:val="0"/>
          <w:marBottom w:val="0"/>
          <w:divBdr>
            <w:top w:val="none" w:sz="0" w:space="0" w:color="auto"/>
            <w:left w:val="none" w:sz="0" w:space="0" w:color="auto"/>
            <w:bottom w:val="none" w:sz="0" w:space="0" w:color="auto"/>
            <w:right w:val="none" w:sz="0" w:space="0" w:color="auto"/>
          </w:divBdr>
          <w:divsChild>
            <w:div w:id="1375888635">
              <w:marLeft w:val="0"/>
              <w:marRight w:val="0"/>
              <w:marTop w:val="0"/>
              <w:marBottom w:val="0"/>
              <w:divBdr>
                <w:top w:val="none" w:sz="0" w:space="0" w:color="auto"/>
                <w:left w:val="none" w:sz="0" w:space="0" w:color="auto"/>
                <w:bottom w:val="none" w:sz="0" w:space="0" w:color="auto"/>
                <w:right w:val="none" w:sz="0" w:space="0" w:color="auto"/>
              </w:divBdr>
              <w:divsChild>
                <w:div w:id="532839461">
                  <w:marLeft w:val="0"/>
                  <w:marRight w:val="0"/>
                  <w:marTop w:val="0"/>
                  <w:marBottom w:val="0"/>
                  <w:divBdr>
                    <w:top w:val="none" w:sz="0" w:space="0" w:color="auto"/>
                    <w:left w:val="none" w:sz="0" w:space="0" w:color="auto"/>
                    <w:bottom w:val="none" w:sz="0" w:space="0" w:color="auto"/>
                    <w:right w:val="none" w:sz="0" w:space="0" w:color="auto"/>
                  </w:divBdr>
                  <w:divsChild>
                    <w:div w:id="282657956">
                      <w:marLeft w:val="0"/>
                      <w:marRight w:val="0"/>
                      <w:marTop w:val="0"/>
                      <w:marBottom w:val="0"/>
                      <w:divBdr>
                        <w:top w:val="none" w:sz="0" w:space="0" w:color="auto"/>
                        <w:left w:val="none" w:sz="0" w:space="0" w:color="auto"/>
                        <w:bottom w:val="none" w:sz="0" w:space="0" w:color="auto"/>
                        <w:right w:val="none" w:sz="0" w:space="0" w:color="auto"/>
                      </w:divBdr>
                      <w:divsChild>
                        <w:div w:id="926420763">
                          <w:marLeft w:val="0"/>
                          <w:marRight w:val="0"/>
                          <w:marTop w:val="0"/>
                          <w:marBottom w:val="0"/>
                          <w:divBdr>
                            <w:top w:val="none" w:sz="0" w:space="0" w:color="auto"/>
                            <w:left w:val="none" w:sz="0" w:space="0" w:color="auto"/>
                            <w:bottom w:val="none" w:sz="0" w:space="0" w:color="auto"/>
                            <w:right w:val="none" w:sz="0" w:space="0" w:color="auto"/>
                          </w:divBdr>
                          <w:divsChild>
                            <w:div w:id="1209800303">
                              <w:marLeft w:val="0"/>
                              <w:marRight w:val="0"/>
                              <w:marTop w:val="0"/>
                              <w:marBottom w:val="0"/>
                              <w:divBdr>
                                <w:top w:val="none" w:sz="0" w:space="0" w:color="auto"/>
                                <w:left w:val="none" w:sz="0" w:space="0" w:color="auto"/>
                                <w:bottom w:val="none" w:sz="0" w:space="0" w:color="auto"/>
                                <w:right w:val="none" w:sz="0" w:space="0" w:color="auto"/>
                              </w:divBdr>
                              <w:divsChild>
                                <w:div w:id="339083693">
                                  <w:marLeft w:val="0"/>
                                  <w:marRight w:val="0"/>
                                  <w:marTop w:val="0"/>
                                  <w:marBottom w:val="0"/>
                                  <w:divBdr>
                                    <w:top w:val="none" w:sz="0" w:space="0" w:color="auto"/>
                                    <w:left w:val="none" w:sz="0" w:space="0" w:color="auto"/>
                                    <w:bottom w:val="none" w:sz="0" w:space="0" w:color="auto"/>
                                    <w:right w:val="none" w:sz="0" w:space="0" w:color="auto"/>
                                  </w:divBdr>
                                  <w:divsChild>
                                    <w:div w:id="500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3559850">
      <w:bodyDiv w:val="1"/>
      <w:marLeft w:val="0"/>
      <w:marRight w:val="0"/>
      <w:marTop w:val="0"/>
      <w:marBottom w:val="0"/>
      <w:divBdr>
        <w:top w:val="none" w:sz="0" w:space="0" w:color="auto"/>
        <w:left w:val="none" w:sz="0" w:space="0" w:color="auto"/>
        <w:bottom w:val="none" w:sz="0" w:space="0" w:color="auto"/>
        <w:right w:val="none" w:sz="0" w:space="0" w:color="auto"/>
      </w:divBdr>
    </w:div>
    <w:div w:id="1746344007">
      <w:bodyDiv w:val="1"/>
      <w:marLeft w:val="0"/>
      <w:marRight w:val="0"/>
      <w:marTop w:val="0"/>
      <w:marBottom w:val="0"/>
      <w:divBdr>
        <w:top w:val="none" w:sz="0" w:space="0" w:color="auto"/>
        <w:left w:val="none" w:sz="0" w:space="0" w:color="auto"/>
        <w:bottom w:val="none" w:sz="0" w:space="0" w:color="auto"/>
        <w:right w:val="none" w:sz="0" w:space="0" w:color="auto"/>
      </w:divBdr>
    </w:div>
    <w:div w:id="1748459850">
      <w:bodyDiv w:val="1"/>
      <w:marLeft w:val="0"/>
      <w:marRight w:val="0"/>
      <w:marTop w:val="0"/>
      <w:marBottom w:val="0"/>
      <w:divBdr>
        <w:top w:val="none" w:sz="0" w:space="0" w:color="auto"/>
        <w:left w:val="none" w:sz="0" w:space="0" w:color="auto"/>
        <w:bottom w:val="none" w:sz="0" w:space="0" w:color="auto"/>
        <w:right w:val="none" w:sz="0" w:space="0" w:color="auto"/>
      </w:divBdr>
    </w:div>
    <w:div w:id="1785268641">
      <w:bodyDiv w:val="1"/>
      <w:marLeft w:val="0"/>
      <w:marRight w:val="0"/>
      <w:marTop w:val="0"/>
      <w:marBottom w:val="0"/>
      <w:divBdr>
        <w:top w:val="none" w:sz="0" w:space="0" w:color="auto"/>
        <w:left w:val="none" w:sz="0" w:space="0" w:color="auto"/>
        <w:bottom w:val="none" w:sz="0" w:space="0" w:color="auto"/>
        <w:right w:val="none" w:sz="0" w:space="0" w:color="auto"/>
      </w:divBdr>
    </w:div>
    <w:div w:id="1801801115">
      <w:bodyDiv w:val="1"/>
      <w:marLeft w:val="0"/>
      <w:marRight w:val="0"/>
      <w:marTop w:val="0"/>
      <w:marBottom w:val="0"/>
      <w:divBdr>
        <w:top w:val="none" w:sz="0" w:space="0" w:color="auto"/>
        <w:left w:val="none" w:sz="0" w:space="0" w:color="auto"/>
        <w:bottom w:val="none" w:sz="0" w:space="0" w:color="auto"/>
        <w:right w:val="none" w:sz="0" w:space="0" w:color="auto"/>
      </w:divBdr>
    </w:div>
    <w:div w:id="1805001568">
      <w:bodyDiv w:val="1"/>
      <w:marLeft w:val="0"/>
      <w:marRight w:val="0"/>
      <w:marTop w:val="0"/>
      <w:marBottom w:val="0"/>
      <w:divBdr>
        <w:top w:val="none" w:sz="0" w:space="0" w:color="auto"/>
        <w:left w:val="none" w:sz="0" w:space="0" w:color="auto"/>
        <w:bottom w:val="none" w:sz="0" w:space="0" w:color="auto"/>
        <w:right w:val="none" w:sz="0" w:space="0" w:color="auto"/>
      </w:divBdr>
    </w:div>
    <w:div w:id="1826895067">
      <w:bodyDiv w:val="1"/>
      <w:marLeft w:val="0"/>
      <w:marRight w:val="0"/>
      <w:marTop w:val="0"/>
      <w:marBottom w:val="0"/>
      <w:divBdr>
        <w:top w:val="none" w:sz="0" w:space="0" w:color="auto"/>
        <w:left w:val="none" w:sz="0" w:space="0" w:color="auto"/>
        <w:bottom w:val="none" w:sz="0" w:space="0" w:color="auto"/>
        <w:right w:val="none" w:sz="0" w:space="0" w:color="auto"/>
      </w:divBdr>
    </w:div>
    <w:div w:id="1829403204">
      <w:bodyDiv w:val="1"/>
      <w:marLeft w:val="0"/>
      <w:marRight w:val="0"/>
      <w:marTop w:val="0"/>
      <w:marBottom w:val="0"/>
      <w:divBdr>
        <w:top w:val="none" w:sz="0" w:space="0" w:color="auto"/>
        <w:left w:val="none" w:sz="0" w:space="0" w:color="auto"/>
        <w:bottom w:val="none" w:sz="0" w:space="0" w:color="auto"/>
        <w:right w:val="none" w:sz="0" w:space="0" w:color="auto"/>
      </w:divBdr>
    </w:div>
    <w:div w:id="1838493628">
      <w:bodyDiv w:val="1"/>
      <w:marLeft w:val="0"/>
      <w:marRight w:val="0"/>
      <w:marTop w:val="0"/>
      <w:marBottom w:val="0"/>
      <w:divBdr>
        <w:top w:val="none" w:sz="0" w:space="0" w:color="auto"/>
        <w:left w:val="none" w:sz="0" w:space="0" w:color="auto"/>
        <w:bottom w:val="none" w:sz="0" w:space="0" w:color="auto"/>
        <w:right w:val="none" w:sz="0" w:space="0" w:color="auto"/>
      </w:divBdr>
    </w:div>
    <w:div w:id="1843429362">
      <w:bodyDiv w:val="1"/>
      <w:marLeft w:val="0"/>
      <w:marRight w:val="0"/>
      <w:marTop w:val="0"/>
      <w:marBottom w:val="0"/>
      <w:divBdr>
        <w:top w:val="none" w:sz="0" w:space="0" w:color="auto"/>
        <w:left w:val="none" w:sz="0" w:space="0" w:color="auto"/>
        <w:bottom w:val="none" w:sz="0" w:space="0" w:color="auto"/>
        <w:right w:val="none" w:sz="0" w:space="0" w:color="auto"/>
      </w:divBdr>
    </w:div>
    <w:div w:id="1888833693">
      <w:bodyDiv w:val="1"/>
      <w:marLeft w:val="0"/>
      <w:marRight w:val="0"/>
      <w:marTop w:val="0"/>
      <w:marBottom w:val="0"/>
      <w:divBdr>
        <w:top w:val="none" w:sz="0" w:space="0" w:color="auto"/>
        <w:left w:val="none" w:sz="0" w:space="0" w:color="auto"/>
        <w:bottom w:val="none" w:sz="0" w:space="0" w:color="auto"/>
        <w:right w:val="none" w:sz="0" w:space="0" w:color="auto"/>
      </w:divBdr>
    </w:div>
    <w:div w:id="1931504053">
      <w:bodyDiv w:val="1"/>
      <w:marLeft w:val="0"/>
      <w:marRight w:val="0"/>
      <w:marTop w:val="0"/>
      <w:marBottom w:val="0"/>
      <w:divBdr>
        <w:top w:val="none" w:sz="0" w:space="0" w:color="auto"/>
        <w:left w:val="none" w:sz="0" w:space="0" w:color="auto"/>
        <w:bottom w:val="none" w:sz="0" w:space="0" w:color="auto"/>
        <w:right w:val="none" w:sz="0" w:space="0" w:color="auto"/>
      </w:divBdr>
    </w:div>
    <w:div w:id="1940719422">
      <w:bodyDiv w:val="1"/>
      <w:marLeft w:val="0"/>
      <w:marRight w:val="0"/>
      <w:marTop w:val="0"/>
      <w:marBottom w:val="0"/>
      <w:divBdr>
        <w:top w:val="none" w:sz="0" w:space="0" w:color="auto"/>
        <w:left w:val="none" w:sz="0" w:space="0" w:color="auto"/>
        <w:bottom w:val="none" w:sz="0" w:space="0" w:color="auto"/>
        <w:right w:val="none" w:sz="0" w:space="0" w:color="auto"/>
      </w:divBdr>
    </w:div>
    <w:div w:id="1943563481">
      <w:bodyDiv w:val="1"/>
      <w:marLeft w:val="0"/>
      <w:marRight w:val="0"/>
      <w:marTop w:val="0"/>
      <w:marBottom w:val="0"/>
      <w:divBdr>
        <w:top w:val="none" w:sz="0" w:space="0" w:color="auto"/>
        <w:left w:val="none" w:sz="0" w:space="0" w:color="auto"/>
        <w:bottom w:val="none" w:sz="0" w:space="0" w:color="auto"/>
        <w:right w:val="none" w:sz="0" w:space="0" w:color="auto"/>
      </w:divBdr>
    </w:div>
    <w:div w:id="1944067457">
      <w:bodyDiv w:val="1"/>
      <w:marLeft w:val="0"/>
      <w:marRight w:val="0"/>
      <w:marTop w:val="0"/>
      <w:marBottom w:val="0"/>
      <w:divBdr>
        <w:top w:val="none" w:sz="0" w:space="0" w:color="auto"/>
        <w:left w:val="none" w:sz="0" w:space="0" w:color="auto"/>
        <w:bottom w:val="none" w:sz="0" w:space="0" w:color="auto"/>
        <w:right w:val="none" w:sz="0" w:space="0" w:color="auto"/>
      </w:divBdr>
    </w:div>
    <w:div w:id="1946573403">
      <w:bodyDiv w:val="1"/>
      <w:marLeft w:val="0"/>
      <w:marRight w:val="0"/>
      <w:marTop w:val="0"/>
      <w:marBottom w:val="0"/>
      <w:divBdr>
        <w:top w:val="none" w:sz="0" w:space="0" w:color="auto"/>
        <w:left w:val="none" w:sz="0" w:space="0" w:color="auto"/>
        <w:bottom w:val="none" w:sz="0" w:space="0" w:color="auto"/>
        <w:right w:val="none" w:sz="0" w:space="0" w:color="auto"/>
      </w:divBdr>
    </w:div>
    <w:div w:id="1983535428">
      <w:bodyDiv w:val="1"/>
      <w:marLeft w:val="0"/>
      <w:marRight w:val="0"/>
      <w:marTop w:val="0"/>
      <w:marBottom w:val="0"/>
      <w:divBdr>
        <w:top w:val="none" w:sz="0" w:space="0" w:color="auto"/>
        <w:left w:val="none" w:sz="0" w:space="0" w:color="auto"/>
        <w:bottom w:val="none" w:sz="0" w:space="0" w:color="auto"/>
        <w:right w:val="none" w:sz="0" w:space="0" w:color="auto"/>
      </w:divBdr>
    </w:div>
    <w:div w:id="1987279346">
      <w:bodyDiv w:val="1"/>
      <w:marLeft w:val="0"/>
      <w:marRight w:val="0"/>
      <w:marTop w:val="0"/>
      <w:marBottom w:val="0"/>
      <w:divBdr>
        <w:top w:val="none" w:sz="0" w:space="0" w:color="auto"/>
        <w:left w:val="none" w:sz="0" w:space="0" w:color="auto"/>
        <w:bottom w:val="none" w:sz="0" w:space="0" w:color="auto"/>
        <w:right w:val="none" w:sz="0" w:space="0" w:color="auto"/>
      </w:divBdr>
      <w:divsChild>
        <w:div w:id="826633256">
          <w:marLeft w:val="0"/>
          <w:marRight w:val="0"/>
          <w:marTop w:val="0"/>
          <w:marBottom w:val="0"/>
          <w:divBdr>
            <w:top w:val="none" w:sz="0" w:space="0" w:color="auto"/>
            <w:left w:val="none" w:sz="0" w:space="0" w:color="auto"/>
            <w:bottom w:val="none" w:sz="0" w:space="0" w:color="auto"/>
            <w:right w:val="none" w:sz="0" w:space="0" w:color="auto"/>
          </w:divBdr>
          <w:divsChild>
            <w:div w:id="148331377">
              <w:marLeft w:val="0"/>
              <w:marRight w:val="0"/>
              <w:marTop w:val="0"/>
              <w:marBottom w:val="0"/>
              <w:divBdr>
                <w:top w:val="none" w:sz="0" w:space="0" w:color="auto"/>
                <w:left w:val="none" w:sz="0" w:space="0" w:color="auto"/>
                <w:bottom w:val="none" w:sz="0" w:space="0" w:color="auto"/>
                <w:right w:val="none" w:sz="0" w:space="0" w:color="auto"/>
              </w:divBdr>
            </w:div>
          </w:divsChild>
        </w:div>
        <w:div w:id="1633056896">
          <w:marLeft w:val="0"/>
          <w:marRight w:val="0"/>
          <w:marTop w:val="0"/>
          <w:marBottom w:val="0"/>
          <w:divBdr>
            <w:top w:val="none" w:sz="0" w:space="0" w:color="auto"/>
            <w:left w:val="none" w:sz="0" w:space="0" w:color="auto"/>
            <w:bottom w:val="none" w:sz="0" w:space="0" w:color="auto"/>
            <w:right w:val="none" w:sz="0" w:space="0" w:color="auto"/>
          </w:divBdr>
          <w:divsChild>
            <w:div w:id="654726496">
              <w:marLeft w:val="0"/>
              <w:marRight w:val="0"/>
              <w:marTop w:val="0"/>
              <w:marBottom w:val="0"/>
              <w:divBdr>
                <w:top w:val="none" w:sz="0" w:space="0" w:color="auto"/>
                <w:left w:val="none" w:sz="0" w:space="0" w:color="auto"/>
                <w:bottom w:val="none" w:sz="0" w:space="0" w:color="auto"/>
                <w:right w:val="none" w:sz="0" w:space="0" w:color="auto"/>
              </w:divBdr>
              <w:divsChild>
                <w:div w:id="174368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988280">
      <w:bodyDiv w:val="1"/>
      <w:marLeft w:val="0"/>
      <w:marRight w:val="0"/>
      <w:marTop w:val="0"/>
      <w:marBottom w:val="0"/>
      <w:divBdr>
        <w:top w:val="none" w:sz="0" w:space="0" w:color="auto"/>
        <w:left w:val="none" w:sz="0" w:space="0" w:color="auto"/>
        <w:bottom w:val="none" w:sz="0" w:space="0" w:color="auto"/>
        <w:right w:val="none" w:sz="0" w:space="0" w:color="auto"/>
      </w:divBdr>
    </w:div>
    <w:div w:id="2029796899">
      <w:bodyDiv w:val="1"/>
      <w:marLeft w:val="0"/>
      <w:marRight w:val="0"/>
      <w:marTop w:val="0"/>
      <w:marBottom w:val="0"/>
      <w:divBdr>
        <w:top w:val="none" w:sz="0" w:space="0" w:color="auto"/>
        <w:left w:val="none" w:sz="0" w:space="0" w:color="auto"/>
        <w:bottom w:val="none" w:sz="0" w:space="0" w:color="auto"/>
        <w:right w:val="none" w:sz="0" w:space="0" w:color="auto"/>
      </w:divBdr>
    </w:div>
    <w:div w:id="2037777102">
      <w:bodyDiv w:val="1"/>
      <w:marLeft w:val="0"/>
      <w:marRight w:val="0"/>
      <w:marTop w:val="0"/>
      <w:marBottom w:val="0"/>
      <w:divBdr>
        <w:top w:val="none" w:sz="0" w:space="0" w:color="auto"/>
        <w:left w:val="none" w:sz="0" w:space="0" w:color="auto"/>
        <w:bottom w:val="none" w:sz="0" w:space="0" w:color="auto"/>
        <w:right w:val="none" w:sz="0" w:space="0" w:color="auto"/>
      </w:divBdr>
    </w:div>
    <w:div w:id="2049140801">
      <w:bodyDiv w:val="1"/>
      <w:marLeft w:val="0"/>
      <w:marRight w:val="0"/>
      <w:marTop w:val="0"/>
      <w:marBottom w:val="0"/>
      <w:divBdr>
        <w:top w:val="none" w:sz="0" w:space="0" w:color="auto"/>
        <w:left w:val="none" w:sz="0" w:space="0" w:color="auto"/>
        <w:bottom w:val="none" w:sz="0" w:space="0" w:color="auto"/>
        <w:right w:val="none" w:sz="0" w:space="0" w:color="auto"/>
      </w:divBdr>
    </w:div>
    <w:div w:id="2065835668">
      <w:bodyDiv w:val="1"/>
      <w:marLeft w:val="0"/>
      <w:marRight w:val="0"/>
      <w:marTop w:val="0"/>
      <w:marBottom w:val="0"/>
      <w:divBdr>
        <w:top w:val="none" w:sz="0" w:space="0" w:color="auto"/>
        <w:left w:val="none" w:sz="0" w:space="0" w:color="auto"/>
        <w:bottom w:val="none" w:sz="0" w:space="0" w:color="auto"/>
        <w:right w:val="none" w:sz="0" w:space="0" w:color="auto"/>
      </w:divBdr>
    </w:div>
    <w:div w:id="2085032845">
      <w:bodyDiv w:val="1"/>
      <w:marLeft w:val="0"/>
      <w:marRight w:val="0"/>
      <w:marTop w:val="0"/>
      <w:marBottom w:val="0"/>
      <w:divBdr>
        <w:top w:val="none" w:sz="0" w:space="0" w:color="auto"/>
        <w:left w:val="none" w:sz="0" w:space="0" w:color="auto"/>
        <w:bottom w:val="none" w:sz="0" w:space="0" w:color="auto"/>
        <w:right w:val="none" w:sz="0" w:space="0" w:color="auto"/>
      </w:divBdr>
    </w:div>
    <w:div w:id="2123573957">
      <w:bodyDiv w:val="1"/>
      <w:marLeft w:val="0"/>
      <w:marRight w:val="0"/>
      <w:marTop w:val="0"/>
      <w:marBottom w:val="0"/>
      <w:divBdr>
        <w:top w:val="none" w:sz="0" w:space="0" w:color="auto"/>
        <w:left w:val="none" w:sz="0" w:space="0" w:color="auto"/>
        <w:bottom w:val="none" w:sz="0" w:space="0" w:color="auto"/>
        <w:right w:val="none" w:sz="0" w:space="0" w:color="auto"/>
      </w:divBdr>
      <w:divsChild>
        <w:div w:id="698774386">
          <w:marLeft w:val="0"/>
          <w:marRight w:val="0"/>
          <w:marTop w:val="0"/>
          <w:marBottom w:val="0"/>
          <w:divBdr>
            <w:top w:val="none" w:sz="0" w:space="0" w:color="auto"/>
            <w:left w:val="none" w:sz="0" w:space="0" w:color="auto"/>
            <w:bottom w:val="none" w:sz="0" w:space="0" w:color="auto"/>
            <w:right w:val="none" w:sz="0" w:space="0" w:color="auto"/>
          </w:divBdr>
          <w:divsChild>
            <w:div w:id="1030448006">
              <w:marLeft w:val="0"/>
              <w:marRight w:val="0"/>
              <w:marTop w:val="0"/>
              <w:marBottom w:val="0"/>
              <w:divBdr>
                <w:top w:val="none" w:sz="0" w:space="0" w:color="auto"/>
                <w:left w:val="none" w:sz="0" w:space="0" w:color="auto"/>
                <w:bottom w:val="none" w:sz="0" w:space="0" w:color="auto"/>
                <w:right w:val="none" w:sz="0" w:space="0" w:color="auto"/>
              </w:divBdr>
            </w:div>
          </w:divsChild>
        </w:div>
        <w:div w:id="2007899279">
          <w:marLeft w:val="0"/>
          <w:marRight w:val="0"/>
          <w:marTop w:val="0"/>
          <w:marBottom w:val="0"/>
          <w:divBdr>
            <w:top w:val="none" w:sz="0" w:space="0" w:color="auto"/>
            <w:left w:val="none" w:sz="0" w:space="0" w:color="auto"/>
            <w:bottom w:val="none" w:sz="0" w:space="0" w:color="auto"/>
            <w:right w:val="none" w:sz="0" w:space="0" w:color="auto"/>
          </w:divBdr>
          <w:divsChild>
            <w:div w:id="152536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21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lara.englund@marlaw.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pts.se/internet-och-telefoni/dsa-forordningen---regler-om-digitala-tjanster-for-en-sakrare-onlinemiljo/" TargetMode="External"/><Relationship Id="rId1" Type="http://schemas.openxmlformats.org/officeDocument/2006/relationships/hyperlink" Target="https://digital-strategy.ec.europa.eu/en/policies/digital-services-act-packag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D2821-B03C-408C-A81D-F1AA34A15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8389</Words>
  <Characters>44462</Characters>
  <Application>Microsoft Office Word</Application>
  <DocSecurity>0</DocSecurity>
  <Lines>370</Lines>
  <Paragraphs>105</Paragraphs>
  <ScaleCrop>false</ScaleCrop>
  <HeadingPairs>
    <vt:vector size="2" baseType="variant">
      <vt:variant>
        <vt:lpstr>Rubrik</vt:lpstr>
      </vt:variant>
      <vt:variant>
        <vt:i4>1</vt:i4>
      </vt:variant>
    </vt:vector>
  </HeadingPairs>
  <TitlesOfParts>
    <vt:vector size="1" baseType="lpstr">
      <vt:lpstr/>
    </vt:vector>
  </TitlesOfParts>
  <Company>ITS Nordic AB</Company>
  <LinksUpToDate>false</LinksUpToDate>
  <CharactersWithSpaces>52746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MarLaw</dc:creator>
  <cp:keywords/>
  <dc:description/>
  <cp:lastModifiedBy>SENA Legal </cp:lastModifiedBy>
  <cp:revision>8</cp:revision>
  <cp:lastPrinted>2025-09-15T18:15:00Z</cp:lastPrinted>
  <dcterms:created xsi:type="dcterms:W3CDTF">2025-09-15T17:44:00Z</dcterms:created>
  <dcterms:modified xsi:type="dcterms:W3CDTF">2025-09-15T18:15:00Z</dcterms:modified>
</cp:coreProperties>
</file>