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57EA" w14:textId="77777777" w:rsidR="00C6275F" w:rsidRPr="00081629" w:rsidRDefault="00C6275F"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Julia Suderow Rodríguez</w:t>
      </w:r>
    </w:p>
    <w:p w14:paraId="16D68687" w14:textId="77777777" w:rsidR="00C6275F" w:rsidRPr="00081629" w:rsidRDefault="00C6275F"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SUDEROW FERNÁNDEZ ABOGADAS</w:t>
      </w:r>
    </w:p>
    <w:p w14:paraId="3EF39D58" w14:textId="77777777" w:rsidR="00C6275F" w:rsidRPr="00081629" w:rsidRDefault="00C6275F"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University of Deusto</w:t>
      </w:r>
    </w:p>
    <w:p w14:paraId="22E80A91" w14:textId="77777777" w:rsidR="00C6275F" w:rsidRPr="00081629" w:rsidRDefault="00C6275F"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Email: </w:t>
      </w:r>
      <w:hyperlink r:id="rId8" w:tgtFrame="_blank" w:history="1">
        <w:r w:rsidRPr="00081629">
          <w:rPr>
            <w:rStyle w:val="Hipervnculo"/>
            <w:rFonts w:ascii="Times New Roman" w:hAnsi="Times New Roman" w:cs="Times New Roman"/>
            <w:sz w:val="20"/>
            <w:szCs w:val="20"/>
            <w:lang w:val="en-GB"/>
          </w:rPr>
          <w:t>jsuderow@suderowfernandez.com</w:t>
        </w:r>
      </w:hyperlink>
    </w:p>
    <w:p w14:paraId="3AEA2F19" w14:textId="77777777" w:rsidR="00C6275F" w:rsidRPr="00081629" w:rsidRDefault="00C6275F"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Alejandro Martínez Luna</w:t>
      </w:r>
    </w:p>
    <w:p w14:paraId="451DA46E" w14:textId="77777777" w:rsidR="00C6275F" w:rsidRPr="00081629" w:rsidRDefault="00C6275F"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SUDEROW FERNÁNDEZ ABOGADAS</w:t>
      </w:r>
    </w:p>
    <w:p w14:paraId="1D39DB57" w14:textId="77777777" w:rsidR="00C6275F" w:rsidRPr="00081629" w:rsidRDefault="00C6275F"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Email: </w:t>
      </w:r>
      <w:hyperlink r:id="rId9" w:tgtFrame="_blank" w:history="1">
        <w:r w:rsidRPr="00081629">
          <w:rPr>
            <w:rStyle w:val="Hipervnculo"/>
            <w:rFonts w:ascii="Times New Roman" w:hAnsi="Times New Roman" w:cs="Times New Roman"/>
            <w:sz w:val="20"/>
            <w:szCs w:val="20"/>
            <w:lang w:val="en-GB"/>
          </w:rPr>
          <w:t>amartinez@suderowfernandez.com</w:t>
        </w:r>
      </w:hyperlink>
    </w:p>
    <w:p w14:paraId="14A8F938" w14:textId="77777777" w:rsidR="0057304A" w:rsidRPr="00081629" w:rsidRDefault="0057304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Maritza Iliana Núñez Osorio</w:t>
      </w:r>
    </w:p>
    <w:p w14:paraId="50E102DA" w14:textId="1C0AD2BF" w:rsidR="0057304A" w:rsidRPr="00081629" w:rsidRDefault="0057304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University Autónoma of Madrid</w:t>
      </w:r>
    </w:p>
    <w:p w14:paraId="388D144B" w14:textId="5677F3FF" w:rsidR="0057304A" w:rsidRPr="00081629" w:rsidRDefault="0057304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Email: </w:t>
      </w:r>
      <w:hyperlink r:id="rId10" w:history="1">
        <w:r w:rsidRPr="00081629">
          <w:rPr>
            <w:rStyle w:val="Hipervnculo"/>
            <w:rFonts w:ascii="Times New Roman" w:hAnsi="Times New Roman" w:cs="Times New Roman"/>
            <w:sz w:val="20"/>
            <w:szCs w:val="20"/>
            <w:lang w:val="en-GB"/>
          </w:rPr>
          <w:t>maritzailiana@icam.es</w:t>
        </w:r>
      </w:hyperlink>
    </w:p>
    <w:p w14:paraId="7208CF0C" w14:textId="5DB9AAD0" w:rsidR="0057304A" w:rsidRPr="00081629" w:rsidRDefault="0057304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Roberto Vallina Hoset</w:t>
      </w:r>
    </w:p>
    <w:p w14:paraId="0628387D" w14:textId="24E6705E" w:rsidR="0057304A" w:rsidRPr="00081629" w:rsidRDefault="0057304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COMPETITION LITIGATION</w:t>
      </w:r>
    </w:p>
    <w:p w14:paraId="07A77100" w14:textId="18624EAF" w:rsidR="0057304A" w:rsidRPr="00081629" w:rsidRDefault="0057304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Email: </w:t>
      </w:r>
      <w:hyperlink r:id="rId11" w:history="1">
        <w:r w:rsidRPr="00081629">
          <w:rPr>
            <w:rStyle w:val="Hipervnculo"/>
            <w:rFonts w:ascii="Times New Roman" w:hAnsi="Times New Roman" w:cs="Times New Roman"/>
            <w:sz w:val="20"/>
            <w:szCs w:val="20"/>
            <w:lang w:val="en-GB"/>
          </w:rPr>
          <w:t>rvh@competition-litigation.com</w:t>
        </w:r>
      </w:hyperlink>
    </w:p>
    <w:p w14:paraId="4FA0681B" w14:textId="0D1176D7" w:rsidR="007318B2" w:rsidRPr="005D1973" w:rsidRDefault="007318B2" w:rsidP="00612AF0">
      <w:pPr>
        <w:spacing w:line="276" w:lineRule="auto"/>
        <w:jc w:val="both"/>
        <w:rPr>
          <w:rFonts w:ascii="Times New Roman" w:hAnsi="Times New Roman" w:cs="Times New Roman"/>
          <w:sz w:val="20"/>
          <w:szCs w:val="20"/>
        </w:rPr>
      </w:pPr>
      <w:r w:rsidRPr="005D1973">
        <w:rPr>
          <w:rFonts w:ascii="Times New Roman" w:hAnsi="Times New Roman" w:cs="Times New Roman"/>
          <w:sz w:val="20"/>
          <w:szCs w:val="20"/>
        </w:rPr>
        <w:t>Manuel Cañadas Bouwen</w:t>
      </w:r>
    </w:p>
    <w:p w14:paraId="57C6A2EF" w14:textId="77777777" w:rsidR="007318B2" w:rsidRPr="005D1973" w:rsidRDefault="007318B2" w:rsidP="00612AF0">
      <w:pPr>
        <w:spacing w:line="276" w:lineRule="auto"/>
        <w:jc w:val="both"/>
        <w:rPr>
          <w:rFonts w:ascii="Times New Roman" w:hAnsi="Times New Roman" w:cs="Times New Roman"/>
          <w:sz w:val="20"/>
          <w:szCs w:val="20"/>
        </w:rPr>
      </w:pPr>
      <w:r w:rsidRPr="005D1973">
        <w:rPr>
          <w:rFonts w:ascii="Times New Roman" w:hAnsi="Times New Roman" w:cs="Times New Roman"/>
          <w:sz w:val="20"/>
          <w:szCs w:val="20"/>
        </w:rPr>
        <w:t>CALLOL, COCA &amp; ASOCIADOS</w:t>
      </w:r>
    </w:p>
    <w:p w14:paraId="7A657D78" w14:textId="77777777" w:rsidR="007318B2" w:rsidRPr="00081629" w:rsidRDefault="007318B2" w:rsidP="00612AF0">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Email: </w:t>
      </w:r>
      <w:hyperlink r:id="rId12" w:history="1">
        <w:r w:rsidRPr="00081629">
          <w:rPr>
            <w:rStyle w:val="Hipervnculo"/>
            <w:rFonts w:ascii="Times New Roman" w:hAnsi="Times New Roman" w:cs="Times New Roman"/>
            <w:sz w:val="20"/>
            <w:szCs w:val="20"/>
            <w:lang w:val="en-GB"/>
          </w:rPr>
          <w:t>manuel.canadas@callolcoca.com</w:t>
        </w:r>
      </w:hyperlink>
    </w:p>
    <w:p w14:paraId="228B4BD9" w14:textId="4D8033BF" w:rsidR="007318B2" w:rsidRPr="00081629" w:rsidRDefault="007318B2" w:rsidP="00612AF0">
      <w:pPr>
        <w:spacing w:line="276" w:lineRule="auto"/>
        <w:jc w:val="both"/>
        <w:rPr>
          <w:rFonts w:ascii="Times New Roman" w:hAnsi="Times New Roman" w:cs="Times New Roman"/>
          <w:sz w:val="20"/>
          <w:szCs w:val="20"/>
          <w:lang w:val="en-GB"/>
        </w:rPr>
      </w:pPr>
    </w:p>
    <w:p w14:paraId="1D4D8F75" w14:textId="50DC2172" w:rsidR="00C6275F" w:rsidRPr="00081629" w:rsidRDefault="00C6275F" w:rsidP="00612AF0">
      <w:pPr>
        <w:spacing w:line="276" w:lineRule="auto"/>
        <w:jc w:val="both"/>
        <w:rPr>
          <w:rFonts w:ascii="Times New Roman" w:hAnsi="Times New Roman" w:cs="Times New Roman"/>
          <w:sz w:val="20"/>
          <w:szCs w:val="20"/>
          <w:lang w:val="en-GB"/>
        </w:rPr>
      </w:pPr>
    </w:p>
    <w:p w14:paraId="43854010" w14:textId="77777777" w:rsidR="00C6275F" w:rsidRDefault="00C6275F" w:rsidP="00612AF0">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LIDC Report 2025. Question A, Iberian Chapter</w:t>
      </w:r>
    </w:p>
    <w:p w14:paraId="09216E94" w14:textId="77777777" w:rsidR="005D1973" w:rsidRPr="00081629" w:rsidRDefault="005D1973" w:rsidP="00612AF0">
      <w:pPr>
        <w:spacing w:line="276" w:lineRule="auto"/>
        <w:jc w:val="both"/>
        <w:rPr>
          <w:rFonts w:ascii="Times New Roman" w:hAnsi="Times New Roman" w:cs="Times New Roman"/>
          <w:b/>
          <w:bCs/>
          <w:sz w:val="20"/>
          <w:szCs w:val="20"/>
          <w:lang w:val="en-GB"/>
        </w:rPr>
      </w:pPr>
    </w:p>
    <w:p w14:paraId="69F7875E" w14:textId="77777777" w:rsidR="0016341D" w:rsidRPr="00081629" w:rsidRDefault="00C6275F" w:rsidP="005D1973">
      <w:pPr>
        <w:spacing w:line="276" w:lineRule="auto"/>
        <w:jc w:val="center"/>
        <w:rPr>
          <w:rFonts w:ascii="Times New Roman" w:hAnsi="Times New Roman" w:cs="Times New Roman"/>
          <w:sz w:val="20"/>
          <w:szCs w:val="20"/>
          <w:lang w:val="en-GB"/>
        </w:rPr>
      </w:pPr>
      <w:r w:rsidRPr="00081629">
        <w:rPr>
          <w:rFonts w:ascii="Times New Roman" w:hAnsi="Times New Roman" w:cs="Times New Roman"/>
          <w:b/>
          <w:bCs/>
          <w:sz w:val="20"/>
          <w:szCs w:val="20"/>
          <w:lang w:val="en-GB"/>
        </w:rPr>
        <w:t>—ABUSE OF RELATIVE MARKET POWER IN SPAIN—</w:t>
      </w:r>
    </w:p>
    <w:p w14:paraId="58110E05" w14:textId="77777777" w:rsidR="0016341D" w:rsidRPr="00081629" w:rsidRDefault="0016341D" w:rsidP="00612AF0">
      <w:pPr>
        <w:spacing w:line="276" w:lineRule="auto"/>
        <w:jc w:val="both"/>
        <w:rPr>
          <w:rFonts w:ascii="Times New Roman" w:hAnsi="Times New Roman" w:cs="Times New Roman"/>
          <w:sz w:val="20"/>
          <w:szCs w:val="20"/>
          <w:lang w:val="en-GB"/>
        </w:rPr>
      </w:pPr>
    </w:p>
    <w:p w14:paraId="2153ACBC" w14:textId="20581F54" w:rsidR="0016341D" w:rsidRPr="00081629" w:rsidRDefault="0016341D" w:rsidP="00612AF0">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1. Introduction: Origin and Development of the Rules in your Jurisdiction</w:t>
      </w:r>
    </w:p>
    <w:p w14:paraId="221676C0" w14:textId="77777777" w:rsidR="007318B2" w:rsidRPr="00081629" w:rsidRDefault="007318B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Spanish law has long prohibited the abuse of relative market power beyond traditional dominance</w:t>
      </w:r>
      <w:r w:rsidR="00C15383" w:rsidRPr="00081629">
        <w:rPr>
          <w:rFonts w:ascii="Times New Roman" w:hAnsi="Times New Roman" w:cs="Times New Roman"/>
          <w:sz w:val="20"/>
          <w:szCs w:val="20"/>
          <w:lang w:val="en-GB"/>
        </w:rPr>
        <w:t>.  Even if it does not mention the terms “relative market power”, Spanish law does recognize</w:t>
      </w:r>
      <w:r w:rsidRPr="00081629">
        <w:rPr>
          <w:rFonts w:ascii="Times New Roman" w:hAnsi="Times New Roman" w:cs="Times New Roman"/>
          <w:sz w:val="20"/>
          <w:szCs w:val="20"/>
          <w:lang w:val="en-GB"/>
        </w:rPr>
        <w:t xml:space="preserve"> the concept of economic dependence under both unfair‑competition and competition </w:t>
      </w:r>
      <w:r w:rsidR="00C15383" w:rsidRPr="00081629">
        <w:rPr>
          <w:rFonts w:ascii="Times New Roman" w:hAnsi="Times New Roman" w:cs="Times New Roman"/>
          <w:sz w:val="20"/>
          <w:szCs w:val="20"/>
          <w:lang w:val="en-GB"/>
        </w:rPr>
        <w:t>acts</w:t>
      </w:r>
      <w:r w:rsidRPr="00081629">
        <w:rPr>
          <w:rFonts w:ascii="Times New Roman" w:hAnsi="Times New Roman" w:cs="Times New Roman"/>
          <w:sz w:val="20"/>
          <w:szCs w:val="20"/>
          <w:lang w:val="en-GB"/>
        </w:rPr>
        <w:t xml:space="preserve">.  </w:t>
      </w:r>
    </w:p>
    <w:p w14:paraId="52D65E0B" w14:textId="77777777" w:rsidR="007318B2" w:rsidRPr="00081629" w:rsidRDefault="007318B2" w:rsidP="00930BE2">
      <w:pPr>
        <w:spacing w:line="276" w:lineRule="auto"/>
        <w:jc w:val="both"/>
        <w:rPr>
          <w:rFonts w:ascii="Times New Roman" w:hAnsi="Times New Roman" w:cs="Times New Roman"/>
          <w:sz w:val="20"/>
          <w:szCs w:val="20"/>
          <w:lang w:val="en-GB"/>
        </w:rPr>
      </w:pPr>
    </w:p>
    <w:p w14:paraId="04E2B1FA" w14:textId="77777777" w:rsidR="007318B2" w:rsidRPr="00081629" w:rsidRDefault="007318B2"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1.1</w:t>
      </w:r>
      <w:r w:rsidRPr="00081629">
        <w:rPr>
          <w:rFonts w:ascii="Times New Roman" w:hAnsi="Times New Roman" w:cs="Times New Roman"/>
          <w:b/>
          <w:bCs/>
          <w:sz w:val="20"/>
          <w:szCs w:val="20"/>
          <w:lang w:val="en-GB"/>
        </w:rPr>
        <w:tab/>
        <w:t>Unfair Competition Act</w:t>
      </w:r>
    </w:p>
    <w:p w14:paraId="07D27F78" w14:textId="69A85D55" w:rsidR="007318B2" w:rsidRPr="00081629" w:rsidRDefault="007318B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From an Unfair Competition law standpoint, Article 16.2 of the Unfair Competition Act 1991</w:t>
      </w:r>
      <w:r w:rsidR="00A27498">
        <w:rPr>
          <w:rStyle w:val="Refdenotaalpie"/>
          <w:rFonts w:ascii="Times New Roman" w:hAnsi="Times New Roman" w:cs="Times New Roman"/>
          <w:sz w:val="20"/>
          <w:szCs w:val="20"/>
          <w:lang w:val="en-GB"/>
        </w:rPr>
        <w:footnoteReference w:id="1"/>
      </w:r>
      <w:r w:rsidR="0005691E" w:rsidRPr="00081629">
        <w:rPr>
          <w:rFonts w:ascii="Times New Roman" w:hAnsi="Times New Roman" w:cs="Times New Roman"/>
          <w:sz w:val="20"/>
          <w:szCs w:val="20"/>
          <w:lang w:val="en-GB"/>
        </w:rPr>
        <w:t xml:space="preserve"> (</w:t>
      </w:r>
      <w:r w:rsidR="00C93B3E" w:rsidRPr="00081629">
        <w:rPr>
          <w:rFonts w:ascii="Times New Roman" w:hAnsi="Times New Roman" w:cs="Times New Roman"/>
          <w:sz w:val="20"/>
          <w:szCs w:val="20"/>
          <w:lang w:val="en-GB"/>
        </w:rPr>
        <w:t>UCA</w:t>
      </w:r>
      <w:r w:rsidR="0005691E"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 xml:space="preserve"> introduced a general clause prohibiting the exploitation of a trading partner who “does not dispose of an equivalent alternative”. This rule, drafted in neutral terms, covers vertical relationships on both the supply and the demand side and is enforceable before the civil </w:t>
      </w:r>
      <w:r w:rsidR="00B33266" w:rsidRPr="00081629">
        <w:rPr>
          <w:rFonts w:ascii="Times New Roman" w:hAnsi="Times New Roman" w:cs="Times New Roman"/>
          <w:sz w:val="20"/>
          <w:szCs w:val="20"/>
          <w:lang w:val="en-GB"/>
        </w:rPr>
        <w:t>C</w:t>
      </w:r>
      <w:r w:rsidRPr="00081629">
        <w:rPr>
          <w:rFonts w:ascii="Times New Roman" w:hAnsi="Times New Roman" w:cs="Times New Roman"/>
          <w:sz w:val="20"/>
          <w:szCs w:val="20"/>
          <w:lang w:val="en-GB"/>
        </w:rPr>
        <w:t xml:space="preserve">ourts through actions for cessation, removal of effects and damages.  </w:t>
      </w:r>
    </w:p>
    <w:p w14:paraId="3170C230" w14:textId="1CEFB444" w:rsidR="007318B2" w:rsidRPr="00081629" w:rsidRDefault="007318B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lastRenderedPageBreak/>
        <w:t xml:space="preserve">Article 16.2 of the </w:t>
      </w:r>
      <w:r w:rsidR="00C93B3E"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was subsequently modified in 1999</w:t>
      </w:r>
      <w:r w:rsidR="00A27498">
        <w:rPr>
          <w:rStyle w:val="Refdenotaalpie"/>
          <w:rFonts w:ascii="Times New Roman" w:hAnsi="Times New Roman" w:cs="Times New Roman"/>
          <w:sz w:val="20"/>
          <w:szCs w:val="20"/>
          <w:lang w:val="en-GB"/>
        </w:rPr>
        <w:footnoteReference w:id="2"/>
      </w:r>
      <w:r w:rsidRPr="00081629">
        <w:rPr>
          <w:rFonts w:ascii="Times New Roman" w:hAnsi="Times New Roman" w:cs="Times New Roman"/>
          <w:sz w:val="20"/>
          <w:szCs w:val="20"/>
          <w:lang w:val="en-GB"/>
        </w:rPr>
        <w:t xml:space="preserve"> to insert a presumption of economic dependence where, in addition to normal discount/terms, the supplier must regularly grant a client extra advantages not offered to comparable buyers. Also, a new Article 16.3 introduced two specific per se unfair </w:t>
      </w:r>
      <w:r w:rsidR="3E041321" w:rsidRPr="00081629">
        <w:rPr>
          <w:rFonts w:ascii="Times New Roman" w:hAnsi="Times New Roman" w:cs="Times New Roman"/>
          <w:sz w:val="20"/>
          <w:szCs w:val="20"/>
          <w:lang w:val="en-GB"/>
        </w:rPr>
        <w:t>behaviours</w:t>
      </w:r>
      <w:r w:rsidRPr="00081629">
        <w:rPr>
          <w:rFonts w:ascii="Times New Roman" w:hAnsi="Times New Roman" w:cs="Times New Roman"/>
          <w:sz w:val="20"/>
          <w:szCs w:val="20"/>
          <w:lang w:val="en-GB"/>
        </w:rPr>
        <w:t xml:space="preserve"> under economic dependence situations: </w:t>
      </w:r>
      <w:r w:rsidR="71F8D42A" w:rsidRPr="00081629">
        <w:rPr>
          <w:rFonts w:ascii="Times New Roman" w:hAnsi="Times New Roman" w:cs="Times New Roman"/>
          <w:sz w:val="20"/>
          <w:szCs w:val="20"/>
          <w:lang w:val="en-GB"/>
        </w:rPr>
        <w:t>First,</w:t>
      </w:r>
      <w:r w:rsidRPr="00081629">
        <w:rPr>
          <w:rFonts w:ascii="Times New Roman" w:hAnsi="Times New Roman" w:cs="Times New Roman"/>
          <w:sz w:val="20"/>
          <w:szCs w:val="20"/>
          <w:lang w:val="en-GB"/>
        </w:rPr>
        <w:t xml:space="preserve"> breaking, even partially, an established commercial relationship without a written, precise notice of at least six months, except for serious breach or force majeure and </w:t>
      </w:r>
      <w:r w:rsidR="00BF8146" w:rsidRPr="00081629">
        <w:rPr>
          <w:rFonts w:ascii="Times New Roman" w:hAnsi="Times New Roman" w:cs="Times New Roman"/>
          <w:sz w:val="20"/>
          <w:szCs w:val="20"/>
          <w:lang w:val="en-GB"/>
        </w:rPr>
        <w:t>second,</w:t>
      </w:r>
      <w:r w:rsidR="0BB8E9B1"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 obtaining terms (prices, payment conditions, extra charges, cooperation terms) under threat to break off business relations when those terms are not in the supply contract.</w:t>
      </w:r>
    </w:p>
    <w:p w14:paraId="4DD669A1" w14:textId="77777777" w:rsidR="007318B2" w:rsidRPr="00081629" w:rsidRDefault="007318B2" w:rsidP="00930BE2">
      <w:pPr>
        <w:spacing w:line="276" w:lineRule="auto"/>
        <w:jc w:val="both"/>
        <w:rPr>
          <w:rFonts w:ascii="Times New Roman" w:hAnsi="Times New Roman" w:cs="Times New Roman"/>
          <w:sz w:val="20"/>
          <w:szCs w:val="20"/>
          <w:lang w:val="en-GB"/>
        </w:rPr>
      </w:pPr>
    </w:p>
    <w:p w14:paraId="359F1630" w14:textId="77777777" w:rsidR="007318B2" w:rsidRPr="00081629" w:rsidRDefault="007318B2"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1.2</w:t>
      </w:r>
      <w:r w:rsidRPr="00081629">
        <w:rPr>
          <w:rFonts w:ascii="Times New Roman" w:hAnsi="Times New Roman" w:cs="Times New Roman"/>
          <w:b/>
          <w:bCs/>
          <w:sz w:val="20"/>
          <w:szCs w:val="20"/>
          <w:lang w:val="en-GB"/>
        </w:rPr>
        <w:tab/>
        <w:t>Competition Acts.</w:t>
      </w:r>
    </w:p>
    <w:p w14:paraId="3322FAF7" w14:textId="48DDD7FC" w:rsidR="007318B2" w:rsidRPr="00081629" w:rsidRDefault="007318B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original 1989 Competition Act</w:t>
      </w:r>
      <w:r w:rsidR="007507F5">
        <w:rPr>
          <w:rStyle w:val="Refdenotaalpie"/>
          <w:rFonts w:ascii="Times New Roman" w:hAnsi="Times New Roman" w:cs="Times New Roman"/>
          <w:sz w:val="20"/>
          <w:szCs w:val="20"/>
          <w:lang w:val="en-GB"/>
        </w:rPr>
        <w:footnoteReference w:id="3"/>
      </w:r>
      <w:r w:rsidRPr="00081629">
        <w:rPr>
          <w:rFonts w:ascii="Times New Roman" w:hAnsi="Times New Roman" w:cs="Times New Roman"/>
          <w:sz w:val="20"/>
          <w:szCs w:val="20"/>
          <w:lang w:val="en-GB"/>
        </w:rPr>
        <w:t xml:space="preserve"> </w:t>
      </w:r>
      <w:r w:rsidR="0005691E" w:rsidRPr="00081629">
        <w:rPr>
          <w:rFonts w:ascii="Times New Roman" w:hAnsi="Times New Roman" w:cs="Times New Roman"/>
          <w:sz w:val="20"/>
          <w:szCs w:val="20"/>
          <w:lang w:val="en-GB"/>
        </w:rPr>
        <w:t xml:space="preserve">(LDC 89) </w:t>
      </w:r>
      <w:r w:rsidRPr="00081629">
        <w:rPr>
          <w:rFonts w:ascii="Times New Roman" w:hAnsi="Times New Roman" w:cs="Times New Roman"/>
          <w:sz w:val="20"/>
          <w:szCs w:val="20"/>
          <w:lang w:val="en-GB"/>
        </w:rPr>
        <w:t xml:space="preserve">did not mention economic dependence. This concept was introduced in the </w:t>
      </w:r>
      <w:r w:rsidR="0005691E" w:rsidRPr="00081629">
        <w:rPr>
          <w:rFonts w:ascii="Times New Roman" w:hAnsi="Times New Roman" w:cs="Times New Roman"/>
          <w:sz w:val="20"/>
          <w:szCs w:val="20"/>
          <w:lang w:val="en-GB"/>
        </w:rPr>
        <w:t>LDC 89</w:t>
      </w:r>
      <w:r w:rsidRPr="00081629">
        <w:rPr>
          <w:rFonts w:ascii="Times New Roman" w:hAnsi="Times New Roman" w:cs="Times New Roman"/>
          <w:sz w:val="20"/>
          <w:szCs w:val="20"/>
          <w:lang w:val="en-GB"/>
        </w:rPr>
        <w:t xml:space="preserve"> in 1999</w:t>
      </w:r>
      <w:r w:rsidR="007507F5">
        <w:rPr>
          <w:rStyle w:val="Refdenotaalpie"/>
          <w:rFonts w:ascii="Times New Roman" w:hAnsi="Times New Roman" w:cs="Times New Roman"/>
          <w:sz w:val="20"/>
          <w:szCs w:val="20"/>
          <w:lang w:val="en-GB"/>
        </w:rPr>
        <w:footnoteReference w:id="4"/>
      </w:r>
      <w:r w:rsidRPr="00081629">
        <w:rPr>
          <w:rFonts w:ascii="Times New Roman" w:hAnsi="Times New Roman" w:cs="Times New Roman"/>
          <w:sz w:val="20"/>
          <w:szCs w:val="20"/>
          <w:lang w:val="en-GB"/>
        </w:rPr>
        <w:t xml:space="preserve">, </w:t>
      </w:r>
      <w:r w:rsidR="5D304D61" w:rsidRPr="00081629">
        <w:rPr>
          <w:rFonts w:ascii="Times New Roman" w:hAnsi="Times New Roman" w:cs="Times New Roman"/>
          <w:sz w:val="20"/>
          <w:szCs w:val="20"/>
          <w:lang w:val="en-GB"/>
        </w:rPr>
        <w:t>while</w:t>
      </w:r>
      <w:r w:rsidRPr="00081629">
        <w:rPr>
          <w:rFonts w:ascii="Times New Roman" w:hAnsi="Times New Roman" w:cs="Times New Roman"/>
          <w:sz w:val="20"/>
          <w:szCs w:val="20"/>
          <w:lang w:val="en-GB"/>
        </w:rPr>
        <w:t xml:space="preserve"> the </w:t>
      </w:r>
      <w:r w:rsidR="00C93B3E"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was upgraded, by inserting “the abusive exploitation of a situation of economic dependence” as a modality of abuse of dominant position, together with the same presumption of economic dependence inserted in the </w:t>
      </w:r>
      <w:r w:rsidR="00C93B3E"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w:t>
      </w:r>
    </w:p>
    <w:p w14:paraId="6002B32A" w14:textId="076DBBCF" w:rsidR="007318B2" w:rsidRPr="00081629" w:rsidRDefault="007318B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Consequently, since 1999, abuses of economic dependence were covered simultaneously by both the </w:t>
      </w:r>
      <w:r w:rsidR="00C93B3E"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and the </w:t>
      </w:r>
      <w:r w:rsidR="0005691E" w:rsidRPr="00081629">
        <w:rPr>
          <w:rFonts w:ascii="Times New Roman" w:hAnsi="Times New Roman" w:cs="Times New Roman"/>
          <w:sz w:val="20"/>
          <w:szCs w:val="20"/>
          <w:lang w:val="en-GB"/>
        </w:rPr>
        <w:t>LDC 89</w:t>
      </w:r>
      <w:r w:rsidRPr="00081629">
        <w:rPr>
          <w:rFonts w:ascii="Times New Roman" w:hAnsi="Times New Roman" w:cs="Times New Roman"/>
          <w:sz w:val="20"/>
          <w:szCs w:val="20"/>
          <w:lang w:val="en-GB"/>
        </w:rPr>
        <w:t>, until 2007, when the Competition Act was recast. The new 2007 Competition Act</w:t>
      </w:r>
      <w:r w:rsidR="007507F5">
        <w:rPr>
          <w:rStyle w:val="Refdenotaalpie"/>
          <w:rFonts w:ascii="Times New Roman" w:hAnsi="Times New Roman" w:cs="Times New Roman"/>
          <w:sz w:val="20"/>
          <w:szCs w:val="20"/>
          <w:lang w:val="en-GB"/>
        </w:rPr>
        <w:footnoteReference w:id="5"/>
      </w:r>
      <w:r w:rsidR="0005691E" w:rsidRPr="00081629">
        <w:rPr>
          <w:rFonts w:ascii="Times New Roman" w:hAnsi="Times New Roman" w:cs="Times New Roman"/>
          <w:sz w:val="20"/>
          <w:szCs w:val="20"/>
          <w:lang w:val="en-GB"/>
        </w:rPr>
        <w:t xml:space="preserve"> (LDC)</w:t>
      </w:r>
      <w:r w:rsidRPr="00081629">
        <w:rPr>
          <w:rFonts w:ascii="Times New Roman" w:hAnsi="Times New Roman" w:cs="Times New Roman"/>
          <w:sz w:val="20"/>
          <w:szCs w:val="20"/>
          <w:lang w:val="en-GB"/>
        </w:rPr>
        <w:t xml:space="preserve"> deleted the specific wording on economic dependence explicitly noting that it was already addressed </w:t>
      </w:r>
      <w:r w:rsidR="0005691E" w:rsidRPr="00081629">
        <w:rPr>
          <w:rFonts w:ascii="Times New Roman" w:hAnsi="Times New Roman" w:cs="Times New Roman"/>
          <w:sz w:val="20"/>
          <w:szCs w:val="20"/>
          <w:lang w:val="en-GB"/>
        </w:rPr>
        <w:t>i</w:t>
      </w:r>
      <w:r w:rsidRPr="00081629">
        <w:rPr>
          <w:rFonts w:ascii="Times New Roman" w:hAnsi="Times New Roman" w:cs="Times New Roman"/>
          <w:sz w:val="20"/>
          <w:szCs w:val="20"/>
          <w:lang w:val="en-GB"/>
        </w:rPr>
        <w:t xml:space="preserve">n the </w:t>
      </w:r>
      <w:r w:rsidR="00C93B3E"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and that, where appropriate, dependency cases could still be pursued as “distortion of competition by unfair acts” under Article 3 of the </w:t>
      </w:r>
      <w:r w:rsidR="0005691E" w:rsidRPr="00081629">
        <w:rPr>
          <w:rFonts w:ascii="Times New Roman" w:hAnsi="Times New Roman" w:cs="Times New Roman"/>
          <w:sz w:val="20"/>
          <w:szCs w:val="20"/>
          <w:lang w:val="en-GB"/>
        </w:rPr>
        <w:t>LDC</w:t>
      </w:r>
      <w:r w:rsidRPr="00081629">
        <w:rPr>
          <w:rFonts w:ascii="Times New Roman" w:hAnsi="Times New Roman" w:cs="Times New Roman"/>
          <w:sz w:val="20"/>
          <w:szCs w:val="20"/>
          <w:lang w:val="en-GB"/>
        </w:rPr>
        <w:t>.</w:t>
      </w:r>
    </w:p>
    <w:p w14:paraId="62A03F80" w14:textId="012F380E" w:rsidR="007318B2" w:rsidRPr="00081629" w:rsidRDefault="007318B2"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In practice, from 2007 onwards, Article 16 of the </w:t>
      </w:r>
      <w:r w:rsidR="00C93B3E" w:rsidRPr="48D21451">
        <w:rPr>
          <w:rFonts w:ascii="Times New Roman" w:hAnsi="Times New Roman" w:cs="Times New Roman"/>
          <w:sz w:val="20"/>
          <w:szCs w:val="20"/>
          <w:lang w:val="en-GB"/>
        </w:rPr>
        <w:t>UCA</w:t>
      </w:r>
      <w:r w:rsidRPr="48D21451">
        <w:rPr>
          <w:rFonts w:ascii="Times New Roman" w:hAnsi="Times New Roman" w:cs="Times New Roman"/>
          <w:sz w:val="20"/>
          <w:szCs w:val="20"/>
          <w:lang w:val="en-GB"/>
        </w:rPr>
        <w:t xml:space="preserve"> has been the primary legal provision governing private enforcement cases of economic dependence before Spanish </w:t>
      </w:r>
      <w:r w:rsidR="4D5EEF88" w:rsidRPr="48D21451">
        <w:rPr>
          <w:rFonts w:ascii="Times New Roman" w:hAnsi="Times New Roman" w:cs="Times New Roman"/>
          <w:sz w:val="20"/>
          <w:szCs w:val="20"/>
          <w:lang w:val="en-GB"/>
        </w:rPr>
        <w:t>C</w:t>
      </w:r>
      <w:r w:rsidRPr="48D21451">
        <w:rPr>
          <w:rFonts w:ascii="Times New Roman" w:hAnsi="Times New Roman" w:cs="Times New Roman"/>
          <w:sz w:val="20"/>
          <w:szCs w:val="20"/>
          <w:lang w:val="en-GB"/>
        </w:rPr>
        <w:t>ourts, while public enforcement was left with abuses of economic dependence cases where competition is significantly distorted and public interest affected.</w:t>
      </w:r>
    </w:p>
    <w:p w14:paraId="38B10B42" w14:textId="77777777" w:rsidR="007318B2" w:rsidRPr="00081629" w:rsidRDefault="007318B2" w:rsidP="00930BE2">
      <w:pPr>
        <w:spacing w:line="276" w:lineRule="auto"/>
        <w:jc w:val="both"/>
        <w:rPr>
          <w:rFonts w:ascii="Times New Roman" w:hAnsi="Times New Roman" w:cs="Times New Roman"/>
          <w:sz w:val="20"/>
          <w:szCs w:val="20"/>
          <w:lang w:val="en-GB"/>
        </w:rPr>
      </w:pPr>
    </w:p>
    <w:p w14:paraId="7B09C32E" w14:textId="77777777" w:rsidR="007318B2" w:rsidRPr="00081629" w:rsidRDefault="007318B2"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1.3</w:t>
      </w:r>
      <w:r w:rsidRPr="00081629">
        <w:rPr>
          <w:rFonts w:ascii="Times New Roman" w:hAnsi="Times New Roman" w:cs="Times New Roman"/>
          <w:b/>
          <w:bCs/>
          <w:sz w:val="20"/>
          <w:szCs w:val="20"/>
          <w:lang w:val="en-GB"/>
        </w:rPr>
        <w:tab/>
        <w:t>Sector‑Specific Ex‑Ante Legislation: Food Supply Chain Act 2013.</w:t>
      </w:r>
    </w:p>
    <w:p w14:paraId="4091C49B" w14:textId="01974B18" w:rsidR="007318B2" w:rsidRPr="00081629" w:rsidRDefault="007318B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Beyond the general framework, Spain adopted </w:t>
      </w:r>
      <w:r w:rsidR="00B33266" w:rsidRPr="00081629">
        <w:rPr>
          <w:rFonts w:ascii="Times New Roman" w:hAnsi="Times New Roman" w:cs="Times New Roman"/>
          <w:sz w:val="20"/>
          <w:szCs w:val="20"/>
          <w:lang w:val="en-GB"/>
        </w:rPr>
        <w:t xml:space="preserve">a </w:t>
      </w:r>
      <w:r w:rsidRPr="00081629">
        <w:rPr>
          <w:rFonts w:ascii="Times New Roman" w:hAnsi="Times New Roman" w:cs="Times New Roman"/>
          <w:sz w:val="20"/>
          <w:szCs w:val="20"/>
          <w:lang w:val="en-GB"/>
        </w:rPr>
        <w:t>sector‑specific statute that operates ex-ante preventing abuses in imbalanced bargaining situations between primary producers and large retailers. Although the Food Supply Chain Act 2013</w:t>
      </w:r>
      <w:r w:rsidR="007507F5">
        <w:rPr>
          <w:rStyle w:val="Refdenotaalpie"/>
          <w:rFonts w:ascii="Times New Roman" w:hAnsi="Times New Roman" w:cs="Times New Roman"/>
          <w:sz w:val="20"/>
          <w:szCs w:val="20"/>
          <w:lang w:val="en-GB"/>
        </w:rPr>
        <w:footnoteReference w:id="6"/>
      </w:r>
      <w:r w:rsidRPr="00081629">
        <w:rPr>
          <w:rFonts w:ascii="Times New Roman" w:hAnsi="Times New Roman" w:cs="Times New Roman"/>
          <w:sz w:val="20"/>
          <w:szCs w:val="20"/>
          <w:lang w:val="en-GB"/>
        </w:rPr>
        <w:t xml:space="preserve"> (recently amended to transpose Directive (EU) 2019/633) does not explicitly use the term “economic dependence”, it addresses it indirectly by imposing specific obligations (such as the need for written contracts, the prohibition of unilateral changes to key contractual conditions or the prohibition express prohibition of below-cost selling, aimed at preventing value destruction along the chain) to prevent abuse from the outset, instead of merely prohibiting it, which is already done by the </w:t>
      </w:r>
      <w:r w:rsidR="00B33266" w:rsidRPr="00081629">
        <w:rPr>
          <w:rFonts w:ascii="Times New Roman" w:hAnsi="Times New Roman" w:cs="Times New Roman"/>
          <w:sz w:val="20"/>
          <w:szCs w:val="20"/>
          <w:lang w:val="en-GB"/>
        </w:rPr>
        <w:t>LCD</w:t>
      </w:r>
      <w:r w:rsidRPr="00081629">
        <w:rPr>
          <w:rFonts w:ascii="Times New Roman" w:hAnsi="Times New Roman" w:cs="Times New Roman"/>
          <w:sz w:val="20"/>
          <w:szCs w:val="20"/>
          <w:lang w:val="en-GB"/>
        </w:rPr>
        <w:t xml:space="preserve">. </w:t>
      </w:r>
    </w:p>
    <w:p w14:paraId="333042C1" w14:textId="226D7459" w:rsidR="007318B2" w:rsidRPr="00081629" w:rsidRDefault="007318B2" w:rsidP="48D21451">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Food Supply Chain Act 2013 also establishes a sanctions regime and a monitoring body (the Food Information and Control Agency – AICA) to detect violations with certain legal presumptions benefiting the weaker party.  </w:t>
      </w:r>
      <w:r w:rsidR="651E2106" w:rsidRPr="48D21451">
        <w:rPr>
          <w:rFonts w:ascii="Times New Roman" w:eastAsia="Times New Roman" w:hAnsi="Times New Roman" w:cs="Times New Roman"/>
          <w:sz w:val="20"/>
          <w:szCs w:val="20"/>
          <w:lang w:val="en-GB"/>
        </w:rPr>
        <w:t>By presuming that prices must cover costs, that "grey list" practices are inherently unfair, and that producers are the weaker party, the Food Supply Chain Act 2013 systematically dismantles the imbalance between primary producers and large distributors. It forces transparency, accountability, and fairness, shifting the burden of proof to those with the most power and making it significantly easier for weaker parties to defend their rights.</w:t>
      </w:r>
    </w:p>
    <w:p w14:paraId="5D7DB4C9" w14:textId="77777777" w:rsidR="007318B2" w:rsidRPr="00081629" w:rsidRDefault="007318B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lastRenderedPageBreak/>
        <w:t xml:space="preserve">Therefore, an abusive practice in the food sector could be denounced both under the general umbrella of the </w:t>
      </w:r>
      <w:r w:rsidR="00B33266" w:rsidRPr="00081629">
        <w:rPr>
          <w:rFonts w:ascii="Times New Roman" w:hAnsi="Times New Roman" w:cs="Times New Roman"/>
          <w:sz w:val="20"/>
          <w:szCs w:val="20"/>
          <w:lang w:val="en-GB"/>
        </w:rPr>
        <w:t>LCD</w:t>
      </w:r>
      <w:r w:rsidRPr="00081629">
        <w:rPr>
          <w:rFonts w:ascii="Times New Roman" w:hAnsi="Times New Roman" w:cs="Times New Roman"/>
          <w:sz w:val="20"/>
          <w:szCs w:val="20"/>
          <w:lang w:val="en-GB"/>
        </w:rPr>
        <w:t xml:space="preserve"> and under the specific and more protective regime of the Food Supply Chain Act 2013.</w:t>
      </w:r>
    </w:p>
    <w:p w14:paraId="3A8D7895" w14:textId="77777777" w:rsidR="0016341D" w:rsidRPr="00081629" w:rsidRDefault="0016341D" w:rsidP="00930BE2">
      <w:pPr>
        <w:spacing w:line="276" w:lineRule="auto"/>
        <w:jc w:val="both"/>
        <w:rPr>
          <w:rFonts w:ascii="Times New Roman" w:hAnsi="Times New Roman" w:cs="Times New Roman"/>
          <w:b/>
          <w:bCs/>
          <w:sz w:val="20"/>
          <w:szCs w:val="20"/>
          <w:lang w:val="en-GB"/>
        </w:rPr>
      </w:pPr>
    </w:p>
    <w:p w14:paraId="6057C5BE" w14:textId="77777777" w:rsidR="0016341D" w:rsidRPr="00081629" w:rsidRDefault="0016341D"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2</w:t>
      </w:r>
      <w:r w:rsidR="006727F8" w:rsidRPr="00081629">
        <w:rPr>
          <w:rFonts w:ascii="Times New Roman" w:hAnsi="Times New Roman" w:cs="Times New Roman"/>
          <w:b/>
          <w:bCs/>
          <w:sz w:val="20"/>
          <w:szCs w:val="20"/>
          <w:lang w:val="en-GB"/>
        </w:rPr>
        <w:t>. Identifying relative market power: a conceptual conundrum</w:t>
      </w:r>
    </w:p>
    <w:p w14:paraId="2249ED28" w14:textId="77777777" w:rsidR="00915B21" w:rsidRPr="00081629" w:rsidRDefault="00915B2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Since Spanish law does not account for the terms “relative market power”</w:t>
      </w:r>
      <w:r w:rsidR="00C15383"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 xml:space="preserve"> </w:t>
      </w:r>
      <w:r w:rsidR="00C15383" w:rsidRPr="00081629">
        <w:rPr>
          <w:rFonts w:ascii="Times New Roman" w:hAnsi="Times New Roman" w:cs="Times New Roman"/>
          <w:sz w:val="20"/>
          <w:szCs w:val="20"/>
          <w:lang w:val="en-GB"/>
        </w:rPr>
        <w:t>i</w:t>
      </w:r>
      <w:r w:rsidRPr="00081629">
        <w:rPr>
          <w:rFonts w:ascii="Times New Roman" w:hAnsi="Times New Roman" w:cs="Times New Roman"/>
          <w:sz w:val="20"/>
          <w:szCs w:val="20"/>
          <w:lang w:val="en-GB"/>
        </w:rPr>
        <w:t xml:space="preserve">t has been the role of Courts and scholars to fill the gap in terminology and explain the abuse of relative market power from the standpoint of the law, which labels it as exploitation of economic dependence. </w:t>
      </w:r>
    </w:p>
    <w:p w14:paraId="091BD6ED" w14:textId="03ABFBCD" w:rsidR="006727F8" w:rsidRPr="00081629" w:rsidRDefault="006727F8"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In the following sections, a more detailed explanation is provided on the interplay between</w:t>
      </w:r>
      <w:r w:rsidR="00915B21" w:rsidRPr="48D21451">
        <w:rPr>
          <w:rFonts w:ascii="Times New Roman" w:hAnsi="Times New Roman" w:cs="Times New Roman"/>
          <w:sz w:val="20"/>
          <w:szCs w:val="20"/>
          <w:lang w:val="en-GB"/>
        </w:rPr>
        <w:t xml:space="preserve"> the concepts of</w:t>
      </w:r>
      <w:r w:rsidRPr="48D21451">
        <w:rPr>
          <w:rFonts w:ascii="Times New Roman" w:hAnsi="Times New Roman" w:cs="Times New Roman"/>
          <w:sz w:val="20"/>
          <w:szCs w:val="20"/>
          <w:lang w:val="en-GB"/>
        </w:rPr>
        <w:t xml:space="preserve"> market power, defining the relevant market, economic dependence, </w:t>
      </w:r>
      <w:r w:rsidR="6AD60FA7" w:rsidRPr="48D21451">
        <w:rPr>
          <w:rFonts w:ascii="Times New Roman" w:hAnsi="Times New Roman" w:cs="Times New Roman"/>
          <w:sz w:val="20"/>
          <w:szCs w:val="20"/>
          <w:lang w:val="en-GB"/>
        </w:rPr>
        <w:t>imbalance,</w:t>
      </w:r>
      <w:r w:rsidRPr="48D21451">
        <w:rPr>
          <w:rFonts w:ascii="Times New Roman" w:hAnsi="Times New Roman" w:cs="Times New Roman"/>
          <w:sz w:val="20"/>
          <w:szCs w:val="20"/>
          <w:lang w:val="en-GB"/>
        </w:rPr>
        <w:t xml:space="preserve"> and the assessment of alternatives.</w:t>
      </w:r>
      <w:r w:rsidR="00C15383" w:rsidRPr="48D21451">
        <w:rPr>
          <w:rFonts w:ascii="Times New Roman" w:hAnsi="Times New Roman" w:cs="Times New Roman"/>
          <w:sz w:val="20"/>
          <w:szCs w:val="20"/>
          <w:lang w:val="en-GB"/>
        </w:rPr>
        <w:t xml:space="preserve"> </w:t>
      </w:r>
      <w:r w:rsidRPr="48D21451">
        <w:rPr>
          <w:rFonts w:ascii="Times New Roman" w:hAnsi="Times New Roman" w:cs="Times New Roman"/>
          <w:sz w:val="20"/>
          <w:szCs w:val="20"/>
          <w:lang w:val="en-GB"/>
        </w:rPr>
        <w:t xml:space="preserve">In any case, </w:t>
      </w:r>
      <w:r w:rsidR="026B3344" w:rsidRPr="48D21451">
        <w:rPr>
          <w:rFonts w:ascii="Times New Roman" w:hAnsi="Times New Roman" w:cs="Times New Roman"/>
          <w:sz w:val="20"/>
          <w:szCs w:val="20"/>
          <w:lang w:val="en-GB"/>
        </w:rPr>
        <w:t>before</w:t>
      </w:r>
      <w:r w:rsidRPr="48D21451">
        <w:rPr>
          <w:rFonts w:ascii="Times New Roman" w:hAnsi="Times New Roman" w:cs="Times New Roman"/>
          <w:sz w:val="20"/>
          <w:szCs w:val="20"/>
          <w:lang w:val="en-GB"/>
        </w:rPr>
        <w:t xml:space="preserve"> </w:t>
      </w:r>
      <w:r w:rsidR="54EDE0C5" w:rsidRPr="48D21451">
        <w:rPr>
          <w:rFonts w:ascii="Times New Roman" w:hAnsi="Times New Roman" w:cs="Times New Roman"/>
          <w:sz w:val="20"/>
          <w:szCs w:val="20"/>
          <w:lang w:val="en-GB"/>
        </w:rPr>
        <w:t>analysing</w:t>
      </w:r>
      <w:r w:rsidR="008F7E88" w:rsidRPr="48D21451">
        <w:rPr>
          <w:rFonts w:ascii="Times New Roman" w:hAnsi="Times New Roman" w:cs="Times New Roman"/>
          <w:sz w:val="20"/>
          <w:szCs w:val="20"/>
          <w:lang w:val="en-GB"/>
        </w:rPr>
        <w:t xml:space="preserve"> </w:t>
      </w:r>
      <w:r w:rsidRPr="48D21451">
        <w:rPr>
          <w:rFonts w:ascii="Times New Roman" w:hAnsi="Times New Roman" w:cs="Times New Roman"/>
          <w:sz w:val="20"/>
          <w:szCs w:val="20"/>
          <w:lang w:val="en-GB"/>
        </w:rPr>
        <w:t xml:space="preserve">these concepts, it is important to remark that the application by Spanish Courts has been </w:t>
      </w:r>
      <w:r w:rsidR="004C2537" w:rsidRPr="48D21451">
        <w:rPr>
          <w:rFonts w:ascii="Times New Roman" w:hAnsi="Times New Roman" w:cs="Times New Roman"/>
          <w:sz w:val="20"/>
          <w:szCs w:val="20"/>
          <w:lang w:val="en-GB"/>
        </w:rPr>
        <w:t>uneven</w:t>
      </w:r>
      <w:r w:rsidR="00915B21" w:rsidRPr="48D21451">
        <w:rPr>
          <w:rFonts w:ascii="Times New Roman" w:hAnsi="Times New Roman" w:cs="Times New Roman"/>
          <w:sz w:val="20"/>
          <w:szCs w:val="20"/>
          <w:lang w:val="en-GB"/>
        </w:rPr>
        <w:t>, especially</w:t>
      </w:r>
      <w:r w:rsidRPr="48D21451">
        <w:rPr>
          <w:rFonts w:ascii="Times New Roman" w:hAnsi="Times New Roman" w:cs="Times New Roman"/>
          <w:sz w:val="20"/>
          <w:szCs w:val="20"/>
          <w:lang w:val="en-GB"/>
        </w:rPr>
        <w:t xml:space="preserve"> in the weight given to </w:t>
      </w:r>
      <w:r w:rsidR="004C2537" w:rsidRPr="48D21451">
        <w:rPr>
          <w:rFonts w:ascii="Times New Roman" w:hAnsi="Times New Roman" w:cs="Times New Roman"/>
          <w:sz w:val="20"/>
          <w:szCs w:val="20"/>
          <w:lang w:val="en-GB"/>
        </w:rPr>
        <w:t>each of these concepts</w:t>
      </w:r>
      <w:r w:rsidRPr="48D21451">
        <w:rPr>
          <w:rFonts w:ascii="Times New Roman" w:hAnsi="Times New Roman" w:cs="Times New Roman"/>
          <w:sz w:val="20"/>
          <w:szCs w:val="20"/>
          <w:lang w:val="en-GB"/>
        </w:rPr>
        <w:t xml:space="preserve"> in each case.</w:t>
      </w:r>
    </w:p>
    <w:p w14:paraId="0C10E8D7" w14:textId="77777777" w:rsidR="006727F8" w:rsidRPr="00081629" w:rsidRDefault="006475D9"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To shed light on the matter, t</w:t>
      </w:r>
      <w:r w:rsidR="006727F8" w:rsidRPr="00081629">
        <w:rPr>
          <w:rFonts w:ascii="Times New Roman" w:hAnsi="Times New Roman" w:cs="Times New Roman"/>
          <w:sz w:val="20"/>
          <w:szCs w:val="20"/>
          <w:lang w:val="en-GB"/>
        </w:rPr>
        <w:t xml:space="preserve">he latest Supreme Court Judgment </w:t>
      </w:r>
      <w:r w:rsidRPr="00081629">
        <w:rPr>
          <w:rFonts w:ascii="Times New Roman" w:hAnsi="Times New Roman" w:cs="Times New Roman"/>
          <w:sz w:val="20"/>
          <w:szCs w:val="20"/>
          <w:lang w:val="en-GB"/>
        </w:rPr>
        <w:t>addressing this topic</w:t>
      </w:r>
      <w:r w:rsidR="006727F8" w:rsidRPr="00081629">
        <w:rPr>
          <w:rFonts w:ascii="Times New Roman" w:hAnsi="Times New Roman" w:cs="Times New Roman"/>
          <w:sz w:val="20"/>
          <w:szCs w:val="20"/>
          <w:lang w:val="en-GB"/>
        </w:rPr>
        <w:t>, dated 27 May 2025 (ECLI:ES:TS:2025:2348) clearly explains that the unlawfulness lies in the alteration of the competitive structure of the market and the hindering of competition among economic agents in that market which may be caused not only by companies that abuse their</w:t>
      </w:r>
      <w:r w:rsidRPr="00081629">
        <w:rPr>
          <w:rFonts w:ascii="Times New Roman" w:hAnsi="Times New Roman" w:cs="Times New Roman"/>
          <w:sz w:val="20"/>
          <w:szCs w:val="20"/>
          <w:lang w:val="en-GB"/>
        </w:rPr>
        <w:t xml:space="preserve"> absolute</w:t>
      </w:r>
      <w:r w:rsidR="006727F8" w:rsidRPr="00081629">
        <w:rPr>
          <w:rFonts w:ascii="Times New Roman" w:hAnsi="Times New Roman" w:cs="Times New Roman"/>
          <w:sz w:val="20"/>
          <w:szCs w:val="20"/>
          <w:lang w:val="en-GB"/>
        </w:rPr>
        <w:t xml:space="preserve"> dominant position, but also by companies which, without having such a dominant position, have relative market power and exploit the dependence of their customers or suppliers who have no equivalent alternative for the exercise of their activity, so that, due to the asymmetry of market power, they prevent or hinder competition. </w:t>
      </w:r>
    </w:p>
    <w:p w14:paraId="7FC1300E" w14:textId="6E7BA91F" w:rsidR="006475D9" w:rsidRPr="00081629" w:rsidRDefault="006475D9"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In what follows, a section will be devoted to each of these concepts, which serve as a prerequisite before determining if the relatively dominant </w:t>
      </w:r>
      <w:r w:rsidR="00915B21" w:rsidRPr="48D21451">
        <w:rPr>
          <w:rFonts w:ascii="Times New Roman" w:hAnsi="Times New Roman" w:cs="Times New Roman"/>
          <w:sz w:val="20"/>
          <w:szCs w:val="20"/>
          <w:lang w:val="en-GB"/>
        </w:rPr>
        <w:t>company</w:t>
      </w:r>
      <w:r w:rsidRPr="48D21451">
        <w:rPr>
          <w:rFonts w:ascii="Times New Roman" w:hAnsi="Times New Roman" w:cs="Times New Roman"/>
          <w:sz w:val="20"/>
          <w:szCs w:val="20"/>
          <w:lang w:val="en-GB"/>
        </w:rPr>
        <w:t xml:space="preserve"> has abused its position. After </w:t>
      </w:r>
      <w:r w:rsidR="05E9BE1E" w:rsidRPr="48D21451">
        <w:rPr>
          <w:rFonts w:ascii="Times New Roman" w:hAnsi="Times New Roman" w:cs="Times New Roman"/>
          <w:sz w:val="20"/>
          <w:szCs w:val="20"/>
          <w:lang w:val="en-GB"/>
        </w:rPr>
        <w:t>laying the groundwork</w:t>
      </w:r>
      <w:r w:rsidRPr="48D21451">
        <w:rPr>
          <w:rFonts w:ascii="Times New Roman" w:hAnsi="Times New Roman" w:cs="Times New Roman"/>
          <w:sz w:val="20"/>
          <w:szCs w:val="20"/>
          <w:lang w:val="en-GB"/>
        </w:rPr>
        <w:t xml:space="preserve"> to </w:t>
      </w:r>
      <w:r w:rsidR="00915B21" w:rsidRPr="48D21451">
        <w:rPr>
          <w:rFonts w:ascii="Times New Roman" w:hAnsi="Times New Roman" w:cs="Times New Roman"/>
          <w:sz w:val="20"/>
          <w:szCs w:val="20"/>
          <w:lang w:val="en-GB"/>
        </w:rPr>
        <w:t>assess</w:t>
      </w:r>
      <w:r w:rsidRPr="48D21451">
        <w:rPr>
          <w:rFonts w:ascii="Times New Roman" w:hAnsi="Times New Roman" w:cs="Times New Roman"/>
          <w:sz w:val="20"/>
          <w:szCs w:val="20"/>
          <w:lang w:val="en-GB"/>
        </w:rPr>
        <w:t xml:space="preserve"> the potential unlawfulness</w:t>
      </w:r>
      <w:r w:rsidR="00915B21" w:rsidRPr="48D21451">
        <w:rPr>
          <w:rFonts w:ascii="Times New Roman" w:hAnsi="Times New Roman" w:cs="Times New Roman"/>
          <w:sz w:val="20"/>
          <w:szCs w:val="20"/>
          <w:lang w:val="en-GB"/>
        </w:rPr>
        <w:t xml:space="preserve"> of the </w:t>
      </w:r>
      <w:r w:rsidR="3AB7307D" w:rsidRPr="48D21451">
        <w:rPr>
          <w:rFonts w:ascii="Times New Roman" w:hAnsi="Times New Roman" w:cs="Times New Roman"/>
          <w:sz w:val="20"/>
          <w:szCs w:val="20"/>
          <w:lang w:val="en-GB"/>
        </w:rPr>
        <w:t>behaviour</w:t>
      </w:r>
      <w:r w:rsidRPr="48D21451">
        <w:rPr>
          <w:rFonts w:ascii="Times New Roman" w:hAnsi="Times New Roman" w:cs="Times New Roman"/>
          <w:sz w:val="20"/>
          <w:szCs w:val="20"/>
          <w:lang w:val="en-GB"/>
        </w:rPr>
        <w:t xml:space="preserve">, Section </w:t>
      </w:r>
      <w:r w:rsidR="00C93B3E" w:rsidRPr="48D21451">
        <w:rPr>
          <w:rFonts w:ascii="Times New Roman" w:hAnsi="Times New Roman" w:cs="Times New Roman"/>
          <w:sz w:val="20"/>
          <w:szCs w:val="20"/>
          <w:lang w:val="en-GB"/>
        </w:rPr>
        <w:t>3</w:t>
      </w:r>
      <w:r w:rsidRPr="48D21451">
        <w:rPr>
          <w:rFonts w:ascii="Times New Roman" w:hAnsi="Times New Roman" w:cs="Times New Roman"/>
          <w:sz w:val="20"/>
          <w:szCs w:val="20"/>
          <w:lang w:val="en-GB"/>
        </w:rPr>
        <w:t xml:space="preserve"> will explain the Spanish experience in determining the abuse of relative market power.</w:t>
      </w:r>
    </w:p>
    <w:p w14:paraId="315D92E1" w14:textId="77777777" w:rsidR="00F1430A" w:rsidRPr="00081629" w:rsidRDefault="00F1430A" w:rsidP="00930BE2">
      <w:pPr>
        <w:spacing w:line="276" w:lineRule="auto"/>
        <w:jc w:val="both"/>
        <w:rPr>
          <w:rFonts w:ascii="Times New Roman" w:hAnsi="Times New Roman" w:cs="Times New Roman"/>
          <w:sz w:val="20"/>
          <w:szCs w:val="20"/>
          <w:lang w:val="en-GB"/>
        </w:rPr>
      </w:pPr>
    </w:p>
    <w:p w14:paraId="6DD89D13" w14:textId="77777777" w:rsidR="006727F8" w:rsidRPr="00081629" w:rsidRDefault="006727F8" w:rsidP="00612AF0">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 xml:space="preserve">2.1. </w:t>
      </w:r>
      <w:r w:rsidR="00F1430A" w:rsidRPr="00081629">
        <w:rPr>
          <w:rFonts w:ascii="Times New Roman" w:hAnsi="Times New Roman" w:cs="Times New Roman"/>
          <w:b/>
          <w:bCs/>
          <w:sz w:val="20"/>
          <w:szCs w:val="20"/>
          <w:lang w:val="en-GB"/>
        </w:rPr>
        <w:t>Making sense</w:t>
      </w:r>
      <w:r w:rsidRPr="00081629">
        <w:rPr>
          <w:rFonts w:ascii="Times New Roman" w:hAnsi="Times New Roman" w:cs="Times New Roman"/>
          <w:b/>
          <w:bCs/>
          <w:sz w:val="20"/>
          <w:szCs w:val="20"/>
          <w:lang w:val="en-GB"/>
        </w:rPr>
        <w:t xml:space="preserve"> of relative market power</w:t>
      </w:r>
    </w:p>
    <w:p w14:paraId="2A0ECBDA" w14:textId="77777777" w:rsidR="00915B21" w:rsidRPr="00081629" w:rsidRDefault="006727F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Spanish competition law does not formally recognize “relative market power” as an autonomous legal category. However, the concept of “economic dependence” regulated under Article 16.2 of the </w:t>
      </w:r>
      <w:r w:rsidR="00C93B3E"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operates as a functional equivalent. As previously explained in Section </w:t>
      </w:r>
      <w:r w:rsidR="00C93B3E" w:rsidRPr="00081629">
        <w:rPr>
          <w:rFonts w:ascii="Times New Roman" w:hAnsi="Times New Roman" w:cs="Times New Roman"/>
          <w:sz w:val="20"/>
          <w:szCs w:val="20"/>
          <w:lang w:val="en-GB"/>
        </w:rPr>
        <w:t>1.1</w:t>
      </w:r>
      <w:r w:rsidRPr="00081629">
        <w:rPr>
          <w:rFonts w:ascii="Times New Roman" w:hAnsi="Times New Roman" w:cs="Times New Roman"/>
          <w:sz w:val="20"/>
          <w:szCs w:val="20"/>
          <w:lang w:val="en-GB"/>
        </w:rPr>
        <w:t xml:space="preserve">, the provision deems it unfair for a company to exploit the </w:t>
      </w:r>
      <w:bookmarkStart w:id="0" w:name="_Int_Yos5WYQ4"/>
      <w:r w:rsidRPr="00081629">
        <w:rPr>
          <w:rFonts w:ascii="Times New Roman" w:hAnsi="Times New Roman" w:cs="Times New Roman"/>
          <w:sz w:val="20"/>
          <w:szCs w:val="20"/>
          <w:lang w:val="en-GB"/>
        </w:rPr>
        <w:t>situation of economic</w:t>
      </w:r>
      <w:bookmarkEnd w:id="0"/>
      <w:r w:rsidRPr="00081629">
        <w:rPr>
          <w:rFonts w:ascii="Times New Roman" w:hAnsi="Times New Roman" w:cs="Times New Roman"/>
          <w:sz w:val="20"/>
          <w:szCs w:val="20"/>
          <w:lang w:val="en-GB"/>
        </w:rPr>
        <w:t xml:space="preserve"> dependence of its clients or suppliers when they lack an equivalent alternative for the normal exercise of their business activity. </w:t>
      </w:r>
    </w:p>
    <w:p w14:paraId="14AF3DE5" w14:textId="77777777" w:rsidR="006727F8" w:rsidRPr="00081629" w:rsidRDefault="006727F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This enables the legal framework to address vertical commercial relationships</w:t>
      </w:r>
      <w:r w:rsidR="00915B21" w:rsidRPr="00081629">
        <w:rPr>
          <w:rFonts w:ascii="Times New Roman" w:hAnsi="Times New Roman" w:cs="Times New Roman"/>
          <w:sz w:val="20"/>
          <w:szCs w:val="20"/>
          <w:lang w:val="en-GB"/>
        </w:rPr>
        <w:t xml:space="preserve">, </w:t>
      </w:r>
      <w:r w:rsidR="008E1710" w:rsidRPr="00081629">
        <w:rPr>
          <w:rFonts w:ascii="Times New Roman" w:hAnsi="Times New Roman" w:cs="Times New Roman"/>
          <w:sz w:val="20"/>
          <w:szCs w:val="20"/>
          <w:lang w:val="en-GB"/>
        </w:rPr>
        <w:t>typically</w:t>
      </w:r>
      <w:r w:rsidRPr="00081629">
        <w:rPr>
          <w:rFonts w:ascii="Times New Roman" w:hAnsi="Times New Roman" w:cs="Times New Roman"/>
          <w:sz w:val="20"/>
          <w:szCs w:val="20"/>
          <w:lang w:val="en-GB"/>
        </w:rPr>
        <w:t xml:space="preserve"> characterized by significant imbalances in bargaining power, even in the absence of a dominant position in the relevant market.</w:t>
      </w:r>
    </w:p>
    <w:p w14:paraId="21E6298C" w14:textId="77777777" w:rsidR="00ED0C4B" w:rsidRPr="00081629" w:rsidRDefault="006727F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provision allows for the sanctioning of abusive conduct when one party takes advantage of the other party</w:t>
      </w:r>
      <w:r w:rsidR="008E1710" w:rsidRPr="00081629">
        <w:rPr>
          <w:rFonts w:ascii="Times New Roman" w:hAnsi="Times New Roman" w:cs="Times New Roman"/>
          <w:sz w:val="20"/>
          <w:szCs w:val="20"/>
          <w:lang w:val="en-GB"/>
        </w:rPr>
        <w:t>’s</w:t>
      </w:r>
      <w:r w:rsidRPr="00081629">
        <w:rPr>
          <w:rFonts w:ascii="Times New Roman" w:hAnsi="Times New Roman" w:cs="Times New Roman"/>
          <w:sz w:val="20"/>
          <w:szCs w:val="20"/>
          <w:lang w:val="en-GB"/>
        </w:rPr>
        <w:t xml:space="preserve"> lack</w:t>
      </w:r>
      <w:r w:rsidR="008E1710" w:rsidRPr="00081629">
        <w:rPr>
          <w:rFonts w:ascii="Times New Roman" w:hAnsi="Times New Roman" w:cs="Times New Roman"/>
          <w:sz w:val="20"/>
          <w:szCs w:val="20"/>
          <w:lang w:val="en-GB"/>
        </w:rPr>
        <w:t xml:space="preserve"> of</w:t>
      </w:r>
      <w:r w:rsidRPr="00081629">
        <w:rPr>
          <w:rFonts w:ascii="Times New Roman" w:hAnsi="Times New Roman" w:cs="Times New Roman"/>
          <w:sz w:val="20"/>
          <w:szCs w:val="20"/>
          <w:lang w:val="en-GB"/>
        </w:rPr>
        <w:t xml:space="preserve"> a </w:t>
      </w:r>
      <w:r w:rsidR="008E1710" w:rsidRPr="00081629">
        <w:rPr>
          <w:rFonts w:ascii="Times New Roman" w:hAnsi="Times New Roman" w:cs="Times New Roman"/>
          <w:sz w:val="20"/>
          <w:szCs w:val="20"/>
          <w:lang w:val="en-GB"/>
        </w:rPr>
        <w:t>viable alternative</w:t>
      </w:r>
      <w:r w:rsidRPr="00081629">
        <w:rPr>
          <w:rFonts w:ascii="Times New Roman" w:hAnsi="Times New Roman" w:cs="Times New Roman"/>
          <w:sz w:val="20"/>
          <w:szCs w:val="20"/>
          <w:lang w:val="en-GB"/>
        </w:rPr>
        <w:t xml:space="preserve">, which may occur in structural intermediation scenarios. In fact, the provision on abuses of relative market power was initially conceived to be integrated in the </w:t>
      </w:r>
      <w:r w:rsidR="00C93B3E" w:rsidRPr="00081629">
        <w:rPr>
          <w:rFonts w:ascii="Times New Roman" w:hAnsi="Times New Roman" w:cs="Times New Roman"/>
          <w:sz w:val="20"/>
          <w:szCs w:val="20"/>
          <w:lang w:val="en-GB"/>
        </w:rPr>
        <w:t>LDC</w:t>
      </w:r>
      <w:r w:rsidRPr="00081629">
        <w:rPr>
          <w:rFonts w:ascii="Times New Roman" w:hAnsi="Times New Roman" w:cs="Times New Roman"/>
          <w:sz w:val="20"/>
          <w:szCs w:val="20"/>
          <w:lang w:val="en-GB"/>
        </w:rPr>
        <w:t xml:space="preserve"> as part of the general clause on abuse of dominant position. However, it was finally decided to </w:t>
      </w:r>
      <w:r w:rsidR="00C93B3E" w:rsidRPr="00081629">
        <w:rPr>
          <w:rFonts w:ascii="Times New Roman" w:hAnsi="Times New Roman" w:cs="Times New Roman"/>
          <w:sz w:val="20"/>
          <w:szCs w:val="20"/>
          <w:lang w:val="en-GB"/>
        </w:rPr>
        <w:t>include</w:t>
      </w:r>
      <w:r w:rsidR="00ED0C4B" w:rsidRPr="00081629">
        <w:rPr>
          <w:rFonts w:ascii="Times New Roman" w:hAnsi="Times New Roman" w:cs="Times New Roman"/>
          <w:sz w:val="20"/>
          <w:szCs w:val="20"/>
          <w:lang w:val="en-GB"/>
        </w:rPr>
        <w:t xml:space="preserve"> a specific </w:t>
      </w:r>
      <w:r w:rsidR="00C93B3E" w:rsidRPr="00081629">
        <w:rPr>
          <w:rFonts w:ascii="Times New Roman" w:hAnsi="Times New Roman" w:cs="Times New Roman"/>
          <w:sz w:val="20"/>
          <w:szCs w:val="20"/>
          <w:lang w:val="en-GB"/>
        </w:rPr>
        <w:t>provision in the UCA</w:t>
      </w:r>
      <w:r w:rsidR="00ED0C4B" w:rsidRPr="00081629">
        <w:rPr>
          <w:rFonts w:ascii="Times New Roman" w:hAnsi="Times New Roman" w:cs="Times New Roman"/>
          <w:sz w:val="20"/>
          <w:szCs w:val="20"/>
          <w:lang w:val="en-GB"/>
        </w:rPr>
        <w:t xml:space="preserve">. </w:t>
      </w:r>
    </w:p>
    <w:p w14:paraId="15D4B1E9" w14:textId="28817BE5" w:rsidR="00CA0C31" w:rsidRPr="00081629" w:rsidRDefault="00ED0C4B"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Nonetheless,</w:t>
      </w:r>
      <w:r w:rsidR="006727F8" w:rsidRPr="00081629">
        <w:rPr>
          <w:rFonts w:ascii="Times New Roman" w:hAnsi="Times New Roman" w:cs="Times New Roman"/>
          <w:sz w:val="20"/>
          <w:szCs w:val="20"/>
          <w:lang w:val="en-GB"/>
        </w:rPr>
        <w:t xml:space="preserve"> </w:t>
      </w:r>
      <w:r w:rsidR="007318B2" w:rsidRPr="00081629">
        <w:rPr>
          <w:rFonts w:ascii="Times New Roman" w:hAnsi="Times New Roman" w:cs="Times New Roman"/>
          <w:sz w:val="20"/>
          <w:szCs w:val="20"/>
          <w:lang w:val="en-GB"/>
        </w:rPr>
        <w:t>A</w:t>
      </w:r>
      <w:r w:rsidRPr="00081629">
        <w:rPr>
          <w:rFonts w:ascii="Times New Roman" w:hAnsi="Times New Roman" w:cs="Times New Roman"/>
          <w:sz w:val="20"/>
          <w:szCs w:val="20"/>
          <w:lang w:val="en-GB"/>
        </w:rPr>
        <w:t xml:space="preserve">rticle 3 LDC establishes that the distortion of competition can also be found in cases where an anticompetitive </w:t>
      </w:r>
      <w:r w:rsidR="7C94E5CD" w:rsidRPr="00081629">
        <w:rPr>
          <w:rFonts w:ascii="Times New Roman" w:hAnsi="Times New Roman" w:cs="Times New Roman"/>
          <w:sz w:val="20"/>
          <w:szCs w:val="20"/>
          <w:lang w:val="en-GB"/>
        </w:rPr>
        <w:t>behaviour</w:t>
      </w:r>
      <w:r w:rsidRPr="00081629">
        <w:rPr>
          <w:rFonts w:ascii="Times New Roman" w:hAnsi="Times New Roman" w:cs="Times New Roman"/>
          <w:sz w:val="20"/>
          <w:szCs w:val="20"/>
          <w:lang w:val="en-GB"/>
        </w:rPr>
        <w:t xml:space="preserve"> is deemed unfair and could affect public interest. Introducing the public interest element to assess an otherwise private matter in the field of competition is a novelty of the Spanish legal system. Abuse of relative market power does not necessarily fall into a competition infringement. However, in a given case, if there could be a prejudice to public interest, it could be considered as a competition infringement which could be investigated by the Spanish Competition Authority (CNMC).</w:t>
      </w:r>
      <w:r w:rsidR="006E46C3" w:rsidRPr="00081629">
        <w:rPr>
          <w:rFonts w:ascii="Times New Roman" w:hAnsi="Times New Roman" w:cs="Times New Roman"/>
          <w:sz w:val="20"/>
          <w:szCs w:val="20"/>
          <w:lang w:val="en-GB"/>
        </w:rPr>
        <w:t xml:space="preserve"> This article has been criticized by the doctrine in cases of public enforcement given the difficulty to </w:t>
      </w:r>
      <w:r w:rsidR="006E46C3" w:rsidRPr="00081629">
        <w:rPr>
          <w:rFonts w:ascii="Times New Roman" w:hAnsi="Times New Roman" w:cs="Times New Roman"/>
          <w:sz w:val="20"/>
          <w:szCs w:val="20"/>
          <w:lang w:val="en-GB"/>
        </w:rPr>
        <w:lastRenderedPageBreak/>
        <w:t>determine when an unlawful conduct has an impact on public order.</w:t>
      </w:r>
      <w:r w:rsidR="006E46C3" w:rsidRPr="00081629">
        <w:rPr>
          <w:rStyle w:val="Refdenotaalpie"/>
          <w:rFonts w:ascii="Times New Roman" w:hAnsi="Times New Roman" w:cs="Times New Roman"/>
          <w:sz w:val="20"/>
          <w:szCs w:val="20"/>
          <w:lang w:val="en-GB"/>
        </w:rPr>
        <w:footnoteReference w:id="7"/>
      </w:r>
      <w:r w:rsidR="00CA0C31" w:rsidRPr="00081629">
        <w:rPr>
          <w:rFonts w:ascii="Times New Roman" w:hAnsi="Times New Roman" w:cs="Times New Roman"/>
          <w:sz w:val="20"/>
          <w:szCs w:val="20"/>
          <w:lang w:val="en-GB"/>
        </w:rPr>
        <w:t xml:space="preserve">This parallel prohibition of the exploitation of economic dependence, both in the </w:t>
      </w:r>
      <w:r w:rsidR="00C93B3E" w:rsidRPr="00081629">
        <w:rPr>
          <w:rFonts w:ascii="Times New Roman" w:hAnsi="Times New Roman" w:cs="Times New Roman"/>
          <w:sz w:val="20"/>
          <w:szCs w:val="20"/>
          <w:lang w:val="en-GB"/>
        </w:rPr>
        <w:t>UCA</w:t>
      </w:r>
      <w:r w:rsidR="00CA0C31" w:rsidRPr="00081629">
        <w:rPr>
          <w:rFonts w:ascii="Times New Roman" w:hAnsi="Times New Roman" w:cs="Times New Roman"/>
          <w:sz w:val="20"/>
          <w:szCs w:val="20"/>
          <w:lang w:val="en-GB"/>
        </w:rPr>
        <w:t xml:space="preserve"> and in the </w:t>
      </w:r>
      <w:r w:rsidR="00C93B3E" w:rsidRPr="00081629">
        <w:rPr>
          <w:rFonts w:ascii="Times New Roman" w:hAnsi="Times New Roman" w:cs="Times New Roman"/>
          <w:sz w:val="20"/>
          <w:szCs w:val="20"/>
          <w:lang w:val="en-GB"/>
        </w:rPr>
        <w:t>LDC (</w:t>
      </w:r>
      <w:r w:rsidR="00CA0C31" w:rsidRPr="00081629">
        <w:rPr>
          <w:rFonts w:ascii="Times New Roman" w:hAnsi="Times New Roman" w:cs="Times New Roman"/>
          <w:sz w:val="20"/>
          <w:szCs w:val="20"/>
          <w:lang w:val="en-GB"/>
        </w:rPr>
        <w:t>if it affects public interests</w:t>
      </w:r>
      <w:r w:rsidR="00C93B3E" w:rsidRPr="00081629">
        <w:rPr>
          <w:rFonts w:ascii="Times New Roman" w:hAnsi="Times New Roman" w:cs="Times New Roman"/>
          <w:sz w:val="20"/>
          <w:szCs w:val="20"/>
          <w:lang w:val="en-GB"/>
        </w:rPr>
        <w:t>)</w:t>
      </w:r>
      <w:r w:rsidR="00CA0C31" w:rsidRPr="00081629">
        <w:rPr>
          <w:rFonts w:ascii="Times New Roman" w:hAnsi="Times New Roman" w:cs="Times New Roman"/>
          <w:sz w:val="20"/>
          <w:szCs w:val="20"/>
          <w:lang w:val="en-GB"/>
        </w:rPr>
        <w:t xml:space="preserve">, has been considered by some scholars as unnecessary from a legislative point of view, as the mechanism provided in the </w:t>
      </w:r>
      <w:r w:rsidR="00C93B3E" w:rsidRPr="00081629">
        <w:rPr>
          <w:rFonts w:ascii="Times New Roman" w:hAnsi="Times New Roman" w:cs="Times New Roman"/>
          <w:sz w:val="20"/>
          <w:szCs w:val="20"/>
          <w:lang w:val="en-GB"/>
        </w:rPr>
        <w:t>UCA</w:t>
      </w:r>
      <w:r w:rsidR="00CA0C31" w:rsidRPr="00081629">
        <w:rPr>
          <w:rFonts w:ascii="Times New Roman" w:hAnsi="Times New Roman" w:cs="Times New Roman"/>
          <w:sz w:val="20"/>
          <w:szCs w:val="20"/>
          <w:lang w:val="en-GB"/>
        </w:rPr>
        <w:t xml:space="preserve"> alone would suffice to ensure the protection of legitimate interests, without incurring in overlaps that complicate the effective protection of the rights concerned.</w:t>
      </w:r>
      <w:r w:rsidR="00CA0C31" w:rsidRPr="00081629">
        <w:rPr>
          <w:rStyle w:val="Refdenotaalpie"/>
          <w:rFonts w:ascii="Times New Roman" w:hAnsi="Times New Roman" w:cs="Times New Roman"/>
          <w:sz w:val="20"/>
          <w:szCs w:val="20"/>
          <w:lang w:val="en-GB"/>
        </w:rPr>
        <w:footnoteReference w:id="8"/>
      </w:r>
    </w:p>
    <w:p w14:paraId="1BB9E727" w14:textId="1737E170" w:rsidR="00FE6459" w:rsidRPr="00081629" w:rsidRDefault="009347DD"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Spain lacks case law </w:t>
      </w:r>
      <w:r w:rsidR="0DBE3448" w:rsidRPr="48D21451">
        <w:rPr>
          <w:rFonts w:ascii="Times New Roman" w:hAnsi="Times New Roman" w:cs="Times New Roman"/>
          <w:sz w:val="20"/>
          <w:szCs w:val="20"/>
          <w:lang w:val="en-GB"/>
        </w:rPr>
        <w:t>analysing</w:t>
      </w:r>
      <w:r w:rsidRPr="48D21451">
        <w:rPr>
          <w:rFonts w:ascii="Times New Roman" w:hAnsi="Times New Roman" w:cs="Times New Roman"/>
          <w:sz w:val="20"/>
          <w:szCs w:val="20"/>
          <w:lang w:val="en-GB"/>
        </w:rPr>
        <w:t xml:space="preserve"> the scope of abuses of relative market power that can affect public interest</w:t>
      </w:r>
      <w:r w:rsidR="00C93B3E" w:rsidRPr="48D21451">
        <w:rPr>
          <w:rFonts w:ascii="Times New Roman" w:hAnsi="Times New Roman" w:cs="Times New Roman"/>
          <w:sz w:val="20"/>
          <w:szCs w:val="20"/>
          <w:lang w:val="en-GB"/>
        </w:rPr>
        <w:t>.</w:t>
      </w:r>
      <w:r w:rsidRPr="48D21451">
        <w:rPr>
          <w:rFonts w:ascii="Times New Roman" w:hAnsi="Times New Roman" w:cs="Times New Roman"/>
          <w:sz w:val="20"/>
          <w:szCs w:val="20"/>
          <w:lang w:val="en-GB"/>
        </w:rPr>
        <w:t xml:space="preserve"> </w:t>
      </w:r>
      <w:r w:rsidR="00FE6459" w:rsidRPr="48D21451">
        <w:rPr>
          <w:rFonts w:ascii="Times New Roman" w:hAnsi="Times New Roman" w:cs="Times New Roman"/>
          <w:sz w:val="20"/>
          <w:szCs w:val="20"/>
          <w:lang w:val="en-GB"/>
        </w:rPr>
        <w:t xml:space="preserve">The CNMC </w:t>
      </w:r>
      <w:r w:rsidR="008F2529" w:rsidRPr="48D21451">
        <w:rPr>
          <w:rFonts w:ascii="Times New Roman" w:hAnsi="Times New Roman" w:cs="Times New Roman"/>
          <w:sz w:val="20"/>
          <w:szCs w:val="20"/>
          <w:lang w:val="en-GB"/>
        </w:rPr>
        <w:t xml:space="preserve">investigated in 2014 a case concerning the provisioning of two supermarket chains where one was </w:t>
      </w:r>
      <w:r w:rsidR="00D73ECC" w:rsidRPr="48D21451">
        <w:rPr>
          <w:rFonts w:ascii="Times New Roman" w:hAnsi="Times New Roman" w:cs="Times New Roman"/>
          <w:sz w:val="20"/>
          <w:szCs w:val="20"/>
          <w:lang w:val="en-GB"/>
        </w:rPr>
        <w:t>alleged to be economically dependent on the other. The CNMC used the turnover percentage reasoning used by the European Commission in Rewe (COMP/M.1221 REWE/MEINL)</w:t>
      </w:r>
      <w:r w:rsidRPr="48D21451">
        <w:rPr>
          <w:rFonts w:ascii="Times New Roman" w:hAnsi="Times New Roman" w:cs="Times New Roman"/>
          <w:sz w:val="20"/>
          <w:szCs w:val="20"/>
          <w:lang w:val="en-GB"/>
        </w:rPr>
        <w:t xml:space="preserve">. The </w:t>
      </w:r>
      <w:r w:rsidR="004D6807" w:rsidRPr="48D21451">
        <w:rPr>
          <w:rFonts w:ascii="Times New Roman" w:hAnsi="Times New Roman" w:cs="Times New Roman"/>
          <w:sz w:val="20"/>
          <w:szCs w:val="20"/>
          <w:lang w:val="en-GB"/>
        </w:rPr>
        <w:t>CNMC</w:t>
      </w:r>
      <w:r w:rsidRPr="48D21451">
        <w:rPr>
          <w:rFonts w:ascii="Times New Roman" w:hAnsi="Times New Roman" w:cs="Times New Roman"/>
          <w:sz w:val="20"/>
          <w:szCs w:val="20"/>
          <w:lang w:val="en-GB"/>
        </w:rPr>
        <w:t xml:space="preserve"> closed the file. After this decision was appealed, the </w:t>
      </w:r>
      <w:r w:rsidR="004D6807" w:rsidRPr="48D21451">
        <w:rPr>
          <w:rFonts w:ascii="Times New Roman" w:hAnsi="Times New Roman" w:cs="Times New Roman"/>
          <w:sz w:val="20"/>
          <w:szCs w:val="20"/>
          <w:lang w:val="en-GB"/>
        </w:rPr>
        <w:t>High Court (Audiencia Nacional)</w:t>
      </w:r>
      <w:r w:rsidRPr="48D21451">
        <w:rPr>
          <w:rFonts w:ascii="Times New Roman" w:hAnsi="Times New Roman" w:cs="Times New Roman"/>
          <w:sz w:val="20"/>
          <w:szCs w:val="20"/>
          <w:lang w:val="en-GB"/>
        </w:rPr>
        <w:t>, in its judgment dated 28 June 2023 (ECLI:ES:AN:2023:</w:t>
      </w:r>
      <w:r w:rsidR="00C00AD6" w:rsidRPr="48D21451">
        <w:rPr>
          <w:rFonts w:ascii="Times New Roman" w:hAnsi="Times New Roman" w:cs="Times New Roman"/>
          <w:sz w:val="20"/>
          <w:szCs w:val="20"/>
          <w:lang w:val="en-GB"/>
        </w:rPr>
        <w:t>3458</w:t>
      </w:r>
      <w:r w:rsidRPr="48D21451">
        <w:rPr>
          <w:rFonts w:ascii="Times New Roman" w:hAnsi="Times New Roman" w:cs="Times New Roman"/>
          <w:sz w:val="20"/>
          <w:szCs w:val="20"/>
          <w:lang w:val="en-GB"/>
        </w:rPr>
        <w:t xml:space="preserve">) argued that while article 3 LDC could be applicable in cases relating to economic dependence, it is not possible to argue that an unfair competition behavior can affect public interest if such </w:t>
      </w:r>
      <w:r w:rsidR="37C189C7" w:rsidRPr="48D21451">
        <w:rPr>
          <w:rFonts w:ascii="Times New Roman" w:hAnsi="Times New Roman" w:cs="Times New Roman"/>
          <w:sz w:val="20"/>
          <w:szCs w:val="20"/>
          <w:lang w:val="en-GB"/>
        </w:rPr>
        <w:t>behaviour</w:t>
      </w:r>
      <w:r w:rsidRPr="48D21451">
        <w:rPr>
          <w:rFonts w:ascii="Times New Roman" w:hAnsi="Times New Roman" w:cs="Times New Roman"/>
          <w:sz w:val="20"/>
          <w:szCs w:val="20"/>
          <w:lang w:val="en-GB"/>
        </w:rPr>
        <w:t xml:space="preserve"> is susceptible to benefiting consumers.</w:t>
      </w:r>
    </w:p>
    <w:p w14:paraId="45E57CCA" w14:textId="77777777" w:rsidR="006727F8" w:rsidRPr="00081629" w:rsidRDefault="00C00AD6"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Regardless of the discussion on the possible application of public enforcement under the </w:t>
      </w:r>
      <w:r w:rsidR="004D6807" w:rsidRPr="00081629">
        <w:rPr>
          <w:rFonts w:ascii="Times New Roman" w:hAnsi="Times New Roman" w:cs="Times New Roman"/>
          <w:sz w:val="20"/>
          <w:szCs w:val="20"/>
          <w:lang w:val="en-GB"/>
        </w:rPr>
        <w:t>LDC</w:t>
      </w:r>
      <w:r w:rsidRPr="00081629">
        <w:rPr>
          <w:rFonts w:ascii="Times New Roman" w:hAnsi="Times New Roman" w:cs="Times New Roman"/>
          <w:sz w:val="20"/>
          <w:szCs w:val="20"/>
          <w:lang w:val="en-GB"/>
        </w:rPr>
        <w:t xml:space="preserve"> on abuse of relative market cases, most of the legal doctrine focuses on private relations </w:t>
      </w:r>
      <w:r w:rsidR="00181AE3" w:rsidRPr="00081629">
        <w:rPr>
          <w:rFonts w:ascii="Times New Roman" w:hAnsi="Times New Roman" w:cs="Times New Roman"/>
          <w:sz w:val="20"/>
          <w:szCs w:val="20"/>
          <w:lang w:val="en-GB"/>
        </w:rPr>
        <w:t>B</w:t>
      </w:r>
      <w:r w:rsidRPr="00081629">
        <w:rPr>
          <w:rFonts w:ascii="Times New Roman" w:hAnsi="Times New Roman" w:cs="Times New Roman"/>
          <w:sz w:val="20"/>
          <w:szCs w:val="20"/>
          <w:lang w:val="en-GB"/>
        </w:rPr>
        <w:t>2</w:t>
      </w:r>
      <w:r w:rsidR="00181AE3" w:rsidRPr="00081629">
        <w:rPr>
          <w:rFonts w:ascii="Times New Roman" w:hAnsi="Times New Roman" w:cs="Times New Roman"/>
          <w:sz w:val="20"/>
          <w:szCs w:val="20"/>
          <w:lang w:val="en-GB"/>
        </w:rPr>
        <w:t>B</w:t>
      </w:r>
      <w:r w:rsidRPr="00081629">
        <w:rPr>
          <w:rFonts w:ascii="Times New Roman" w:hAnsi="Times New Roman" w:cs="Times New Roman"/>
          <w:sz w:val="20"/>
          <w:szCs w:val="20"/>
          <w:lang w:val="en-GB"/>
        </w:rPr>
        <w:t xml:space="preserve">, and consider that Article 16.2 </w:t>
      </w:r>
      <w:r w:rsidR="004D6807" w:rsidRPr="00081629">
        <w:rPr>
          <w:rFonts w:ascii="Times New Roman" w:hAnsi="Times New Roman" w:cs="Times New Roman"/>
          <w:sz w:val="20"/>
          <w:szCs w:val="20"/>
          <w:lang w:val="en-GB"/>
        </w:rPr>
        <w:t xml:space="preserve">UCA </w:t>
      </w:r>
      <w:r w:rsidRPr="00081629">
        <w:rPr>
          <w:rFonts w:ascii="Times New Roman" w:hAnsi="Times New Roman" w:cs="Times New Roman"/>
          <w:sz w:val="20"/>
          <w:szCs w:val="20"/>
          <w:lang w:val="en-GB"/>
        </w:rPr>
        <w:t>can serve as a</w:t>
      </w:r>
      <w:r w:rsidR="1C9A4277" w:rsidRPr="00081629">
        <w:rPr>
          <w:rFonts w:ascii="Times New Roman" w:hAnsi="Times New Roman" w:cs="Times New Roman"/>
          <w:sz w:val="20"/>
          <w:szCs w:val="20"/>
          <w:lang w:val="en-GB"/>
        </w:rPr>
        <w:t xml:space="preserve"> “general clause prohibiting the abuse of contractual power in commercial relationships between undertakings</w:t>
      </w:r>
      <w:r w:rsidR="01D5B3F7" w:rsidRPr="00081629">
        <w:rPr>
          <w:rFonts w:ascii="Times New Roman" w:hAnsi="Times New Roman" w:cs="Times New Roman"/>
          <w:sz w:val="20"/>
          <w:szCs w:val="20"/>
          <w:lang w:val="en-GB"/>
        </w:rPr>
        <w:t>”</w:t>
      </w:r>
      <w:r w:rsidR="1C9A4277" w:rsidRPr="00081629">
        <w:rPr>
          <w:rFonts w:ascii="Times New Roman" w:hAnsi="Times New Roman" w:cs="Times New Roman"/>
          <w:sz w:val="20"/>
          <w:szCs w:val="20"/>
          <w:lang w:val="en-GB"/>
        </w:rPr>
        <w:t xml:space="preserve">. </w:t>
      </w:r>
      <w:r w:rsidR="004D6807" w:rsidRPr="00081629">
        <w:rPr>
          <w:rFonts w:ascii="Times New Roman" w:hAnsi="Times New Roman" w:cs="Times New Roman"/>
          <w:sz w:val="20"/>
          <w:szCs w:val="20"/>
          <w:lang w:val="en-GB"/>
        </w:rPr>
        <w:t>This shifts the focus away from competition rules, framing the issue as something that applies to any commercial contract.</w:t>
      </w:r>
      <w:r w:rsidR="1C9A4277" w:rsidRPr="00081629">
        <w:rPr>
          <w:rFonts w:ascii="Times New Roman" w:hAnsi="Times New Roman" w:cs="Times New Roman"/>
          <w:sz w:val="20"/>
          <w:szCs w:val="20"/>
          <w:lang w:val="en-GB"/>
        </w:rPr>
        <w:t xml:space="preserve"> The focus here is not on harm to the market, but on the relationship between businesses. What matters is whether one party uses its stronger position to impose unfair terms on the other. It is a way to protect fairness and prevent abuse in everyday commercial dealings.</w:t>
      </w:r>
      <w:r w:rsidR="006727F8" w:rsidRPr="00081629">
        <w:rPr>
          <w:rStyle w:val="Refdenotaalpie"/>
          <w:rFonts w:ascii="Times New Roman" w:hAnsi="Times New Roman" w:cs="Times New Roman"/>
          <w:sz w:val="20"/>
          <w:szCs w:val="20"/>
          <w:lang w:val="en-GB"/>
        </w:rPr>
        <w:footnoteReference w:id="9"/>
      </w:r>
    </w:p>
    <w:p w14:paraId="0FF11F03" w14:textId="0F61B4DF" w:rsidR="006727F8" w:rsidRPr="00081629" w:rsidRDefault="38FA9C00"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Nevertheless, the inclusion of the abuse of relative market power in the </w:t>
      </w:r>
      <w:r w:rsidR="4900272A" w:rsidRPr="00081629">
        <w:rPr>
          <w:rFonts w:ascii="Times New Roman" w:hAnsi="Times New Roman" w:cs="Times New Roman"/>
          <w:sz w:val="20"/>
          <w:szCs w:val="20"/>
          <w:lang w:val="en-GB"/>
        </w:rPr>
        <w:t>U</w:t>
      </w:r>
      <w:r w:rsidRPr="00081629">
        <w:rPr>
          <w:rFonts w:ascii="Times New Roman" w:hAnsi="Times New Roman" w:cs="Times New Roman"/>
          <w:sz w:val="20"/>
          <w:szCs w:val="20"/>
          <w:lang w:val="en-GB"/>
        </w:rPr>
        <w:t xml:space="preserve">nfair </w:t>
      </w:r>
      <w:r w:rsidR="4900272A" w:rsidRPr="00081629">
        <w:rPr>
          <w:rFonts w:ascii="Times New Roman" w:hAnsi="Times New Roman" w:cs="Times New Roman"/>
          <w:sz w:val="20"/>
          <w:szCs w:val="20"/>
          <w:lang w:val="en-GB"/>
        </w:rPr>
        <w:t>C</w:t>
      </w:r>
      <w:r w:rsidRPr="00081629">
        <w:rPr>
          <w:rFonts w:ascii="Times New Roman" w:hAnsi="Times New Roman" w:cs="Times New Roman"/>
          <w:sz w:val="20"/>
          <w:szCs w:val="20"/>
          <w:lang w:val="en-GB"/>
        </w:rPr>
        <w:t xml:space="preserve">ompetition </w:t>
      </w:r>
      <w:r w:rsidR="4900272A" w:rsidRPr="00081629">
        <w:rPr>
          <w:rFonts w:ascii="Times New Roman" w:hAnsi="Times New Roman" w:cs="Times New Roman"/>
          <w:sz w:val="20"/>
          <w:szCs w:val="20"/>
          <w:lang w:val="en-GB"/>
        </w:rPr>
        <w:t>Act</w:t>
      </w:r>
      <w:r w:rsidRPr="00081629">
        <w:rPr>
          <w:rFonts w:ascii="Times New Roman" w:hAnsi="Times New Roman" w:cs="Times New Roman"/>
          <w:sz w:val="20"/>
          <w:szCs w:val="20"/>
          <w:lang w:val="en-GB"/>
        </w:rPr>
        <w:t xml:space="preserve"> instead of the </w:t>
      </w:r>
      <w:r w:rsidR="5EB15DC0" w:rsidRPr="00081629">
        <w:rPr>
          <w:rFonts w:ascii="Times New Roman" w:hAnsi="Times New Roman" w:cs="Times New Roman"/>
          <w:sz w:val="20"/>
          <w:szCs w:val="20"/>
          <w:lang w:val="en-GB"/>
        </w:rPr>
        <w:t>C</w:t>
      </w:r>
      <w:r w:rsidRPr="00081629">
        <w:rPr>
          <w:rFonts w:ascii="Times New Roman" w:hAnsi="Times New Roman" w:cs="Times New Roman"/>
          <w:sz w:val="20"/>
          <w:szCs w:val="20"/>
          <w:lang w:val="en-GB"/>
        </w:rPr>
        <w:t xml:space="preserve">ompetition </w:t>
      </w:r>
      <w:r w:rsidR="5EB15DC0" w:rsidRPr="00081629">
        <w:rPr>
          <w:rFonts w:ascii="Times New Roman" w:hAnsi="Times New Roman" w:cs="Times New Roman"/>
          <w:sz w:val="20"/>
          <w:szCs w:val="20"/>
          <w:lang w:val="en-GB"/>
        </w:rPr>
        <w:t>A</w:t>
      </w:r>
      <w:r w:rsidRPr="00081629">
        <w:rPr>
          <w:rFonts w:ascii="Times New Roman" w:hAnsi="Times New Roman" w:cs="Times New Roman"/>
          <w:sz w:val="20"/>
          <w:szCs w:val="20"/>
          <w:lang w:val="en-GB"/>
        </w:rPr>
        <w:t>ct has resulted in a more comprehensive regulation</w:t>
      </w:r>
      <w:r w:rsidR="5EB15DC0"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 xml:space="preserve"> which allows to combat these </w:t>
      </w:r>
      <w:r w:rsidR="4EF96969" w:rsidRPr="00081629">
        <w:rPr>
          <w:rFonts w:ascii="Times New Roman" w:hAnsi="Times New Roman" w:cs="Times New Roman"/>
          <w:sz w:val="20"/>
          <w:szCs w:val="20"/>
          <w:lang w:val="en-GB"/>
        </w:rPr>
        <w:t>behaviours</w:t>
      </w:r>
      <w:r w:rsidRPr="00081629">
        <w:rPr>
          <w:rFonts w:ascii="Times New Roman" w:hAnsi="Times New Roman" w:cs="Times New Roman"/>
          <w:sz w:val="20"/>
          <w:szCs w:val="20"/>
          <w:lang w:val="en-GB"/>
        </w:rPr>
        <w:t xml:space="preserve"> even when a competition law infringement has not taken place, this is, in cases when the consequence of the exploitative </w:t>
      </w:r>
      <w:r w:rsidR="60288501" w:rsidRPr="00081629">
        <w:rPr>
          <w:rFonts w:ascii="Times New Roman" w:hAnsi="Times New Roman" w:cs="Times New Roman"/>
          <w:sz w:val="20"/>
          <w:szCs w:val="20"/>
          <w:lang w:val="en-GB"/>
        </w:rPr>
        <w:t>behaviour</w:t>
      </w:r>
      <w:r w:rsidRPr="00081629">
        <w:rPr>
          <w:rFonts w:ascii="Times New Roman" w:hAnsi="Times New Roman" w:cs="Times New Roman"/>
          <w:sz w:val="20"/>
          <w:szCs w:val="20"/>
          <w:lang w:val="en-GB"/>
        </w:rPr>
        <w:t xml:space="preserve"> lacks the notoriety or relevance to affect public interest.</w:t>
      </w:r>
      <w:r w:rsidR="006727F8" w:rsidRPr="00081629">
        <w:rPr>
          <w:rStyle w:val="Refdenotaalpie"/>
          <w:rFonts w:ascii="Times New Roman" w:hAnsi="Times New Roman" w:cs="Times New Roman"/>
          <w:sz w:val="20"/>
          <w:szCs w:val="20"/>
          <w:lang w:val="en-GB"/>
        </w:rPr>
        <w:footnoteReference w:id="10"/>
      </w:r>
      <w:r w:rsidR="007507F5">
        <w:rPr>
          <w:rFonts w:ascii="Times New Roman" w:hAnsi="Times New Roman" w:cs="Times New Roman"/>
          <w:sz w:val="20"/>
          <w:szCs w:val="20"/>
          <w:lang w:val="en-GB"/>
        </w:rPr>
        <w:t xml:space="preserve"> </w:t>
      </w:r>
      <w:r w:rsidR="1B9F318F" w:rsidRPr="00081629">
        <w:rPr>
          <w:rFonts w:ascii="Times New Roman" w:eastAsia="Times New Roman" w:hAnsi="Times New Roman" w:cs="Times New Roman"/>
          <w:color w:val="000000" w:themeColor="text1"/>
          <w:sz w:val="20"/>
          <w:szCs w:val="20"/>
          <w:lang w:val="en-GB"/>
        </w:rPr>
        <w:t>In line with this, Article 3 of the Spanish Unfair Competition Act expressly provides that acts of unfair competition are actionable independently of whether they constitute a breach of antitrust law, thereby reinforcing the complementary relationship between both legal regimes.</w:t>
      </w:r>
    </w:p>
    <w:p w14:paraId="303F7076" w14:textId="304B67E0" w:rsidR="006727F8" w:rsidRPr="00081629" w:rsidRDefault="006727F8"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Abuse of dominant position can be understood in absolute terms, meaning that a key player </w:t>
      </w:r>
      <w:r w:rsidR="000D1C50" w:rsidRPr="48D21451">
        <w:rPr>
          <w:rFonts w:ascii="Times New Roman" w:hAnsi="Times New Roman" w:cs="Times New Roman"/>
          <w:sz w:val="20"/>
          <w:szCs w:val="20"/>
          <w:lang w:val="en-GB"/>
        </w:rPr>
        <w:t xml:space="preserve">has control over </w:t>
      </w:r>
      <w:r w:rsidRPr="48D21451">
        <w:rPr>
          <w:rFonts w:ascii="Times New Roman" w:hAnsi="Times New Roman" w:cs="Times New Roman"/>
          <w:sz w:val="20"/>
          <w:szCs w:val="20"/>
          <w:lang w:val="en-GB"/>
        </w:rPr>
        <w:t xml:space="preserve">the whole relevant market. The public interest in avoiding these practices is a key principle of competition law. By contrast, when the power held by an undertaking in the market is not absolute, </w:t>
      </w:r>
      <w:r w:rsidR="000D1C50" w:rsidRPr="48D21451">
        <w:rPr>
          <w:rFonts w:ascii="Times New Roman" w:hAnsi="Times New Roman" w:cs="Times New Roman"/>
          <w:sz w:val="20"/>
          <w:szCs w:val="20"/>
          <w:lang w:val="en-GB"/>
        </w:rPr>
        <w:t xml:space="preserve">the </w:t>
      </w:r>
      <w:r w:rsidRPr="48D21451">
        <w:rPr>
          <w:rFonts w:ascii="Times New Roman" w:hAnsi="Times New Roman" w:cs="Times New Roman"/>
          <w:sz w:val="20"/>
          <w:szCs w:val="20"/>
          <w:lang w:val="en-GB"/>
        </w:rPr>
        <w:t xml:space="preserve">potential abuse is no longer considered an infringement of competition law. The same </w:t>
      </w:r>
      <w:r w:rsidR="0A5F3433" w:rsidRPr="48D21451">
        <w:rPr>
          <w:rFonts w:ascii="Times New Roman" w:hAnsi="Times New Roman" w:cs="Times New Roman"/>
          <w:sz w:val="20"/>
          <w:szCs w:val="20"/>
          <w:lang w:val="en-GB"/>
        </w:rPr>
        <w:t>behaviour</w:t>
      </w:r>
      <w:r w:rsidRPr="48D21451">
        <w:rPr>
          <w:rFonts w:ascii="Times New Roman" w:hAnsi="Times New Roman" w:cs="Times New Roman"/>
          <w:sz w:val="20"/>
          <w:szCs w:val="20"/>
          <w:lang w:val="en-GB"/>
        </w:rPr>
        <w:t xml:space="preserve"> could </w:t>
      </w:r>
      <w:r w:rsidR="000D1C50" w:rsidRPr="48D21451">
        <w:rPr>
          <w:rFonts w:ascii="Times New Roman" w:hAnsi="Times New Roman" w:cs="Times New Roman"/>
          <w:sz w:val="20"/>
          <w:szCs w:val="20"/>
          <w:lang w:val="en-GB"/>
        </w:rPr>
        <w:t>either</w:t>
      </w:r>
      <w:r w:rsidRPr="48D21451">
        <w:rPr>
          <w:rFonts w:ascii="Times New Roman" w:hAnsi="Times New Roman" w:cs="Times New Roman"/>
          <w:sz w:val="20"/>
          <w:szCs w:val="20"/>
          <w:lang w:val="en-GB"/>
        </w:rPr>
        <w:t xml:space="preserve"> be considered as a competition infringement or as an unfair competition practice depending on whether the company’s market power is absolute or relative. Therefore, the absoluteness of the market power marks the threshold to differ if the </w:t>
      </w:r>
      <w:r w:rsidR="004D6807" w:rsidRPr="48D21451">
        <w:rPr>
          <w:rFonts w:ascii="Times New Roman" w:hAnsi="Times New Roman" w:cs="Times New Roman"/>
          <w:sz w:val="20"/>
          <w:szCs w:val="20"/>
          <w:lang w:val="en-GB"/>
        </w:rPr>
        <w:t>LDC</w:t>
      </w:r>
      <w:r w:rsidRPr="48D21451">
        <w:rPr>
          <w:rFonts w:ascii="Times New Roman" w:hAnsi="Times New Roman" w:cs="Times New Roman"/>
          <w:sz w:val="20"/>
          <w:szCs w:val="20"/>
          <w:lang w:val="en-GB"/>
        </w:rPr>
        <w:t xml:space="preserve"> is applicable, or if the case must follow the unfair competition regime. </w:t>
      </w:r>
    </w:p>
    <w:p w14:paraId="0CCA2574" w14:textId="77777777" w:rsidR="001860E6" w:rsidRPr="00081629" w:rsidRDefault="764E287F"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exploitation of a situation of economic dependence is a clear example of the contradictions in the Spanish legal system </w:t>
      </w:r>
      <w:r w:rsidR="001860E6" w:rsidRPr="00081629">
        <w:rPr>
          <w:rFonts w:ascii="Times New Roman" w:hAnsi="Times New Roman" w:cs="Times New Roman"/>
          <w:sz w:val="20"/>
          <w:szCs w:val="20"/>
          <w:lang w:val="en-GB"/>
        </w:rPr>
        <w:t>regarding</w:t>
      </w:r>
      <w:r w:rsidRPr="00081629">
        <w:rPr>
          <w:rFonts w:ascii="Times New Roman" w:hAnsi="Times New Roman" w:cs="Times New Roman"/>
          <w:sz w:val="20"/>
          <w:szCs w:val="20"/>
          <w:lang w:val="en-GB"/>
        </w:rPr>
        <w:t xml:space="preserve"> competition, as it is classified in two ways: as an antitrust offence under the </w:t>
      </w:r>
      <w:r w:rsidR="007B07B5" w:rsidRPr="00081629">
        <w:rPr>
          <w:rFonts w:ascii="Times New Roman" w:hAnsi="Times New Roman" w:cs="Times New Roman"/>
          <w:sz w:val="20"/>
          <w:szCs w:val="20"/>
          <w:lang w:val="en-GB"/>
        </w:rPr>
        <w:t>LDC</w:t>
      </w:r>
      <w:r w:rsidRPr="00081629">
        <w:rPr>
          <w:rFonts w:ascii="Times New Roman" w:hAnsi="Times New Roman" w:cs="Times New Roman"/>
          <w:sz w:val="20"/>
          <w:szCs w:val="20"/>
          <w:lang w:val="en-GB"/>
        </w:rPr>
        <w:t xml:space="preserve"> and as an act of unfair competition under the </w:t>
      </w:r>
      <w:r w:rsidR="007B07B5"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This regulatory duplication creates legal uncertainty and procedural complexity, as the same conduct can be prosecuted through administrative and civil channels, with the risk of contradictory rulings and double jeopardy. Legal doctrine and case law tend to consider that there is no real </w:t>
      </w:r>
      <w:r w:rsidR="001860E6"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double punishment</w:t>
      </w:r>
      <w:r w:rsidR="001860E6"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 xml:space="preserve">, but rather that, depending on the dominant position </w:t>
      </w:r>
      <w:r w:rsidRPr="00081629">
        <w:rPr>
          <w:rFonts w:ascii="Times New Roman" w:hAnsi="Times New Roman" w:cs="Times New Roman"/>
          <w:sz w:val="20"/>
          <w:szCs w:val="20"/>
          <w:lang w:val="en-GB"/>
        </w:rPr>
        <w:lastRenderedPageBreak/>
        <w:t xml:space="preserve">of the company and the relevance of the conduct, the offence will be dealt with in the antitrust or civil courts, but not cumulatively. </w:t>
      </w:r>
    </w:p>
    <w:p w14:paraId="420B8AAA" w14:textId="77777777" w:rsidR="006727F8" w:rsidRPr="00081629" w:rsidRDefault="006727F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Precisely because of the sheer importance of differentiating absolute market power from market power that can only be exerted upon certain market players, it is unfortunate that </w:t>
      </w:r>
      <w:r w:rsidR="000D1C50" w:rsidRPr="00081629">
        <w:rPr>
          <w:rFonts w:ascii="Times New Roman" w:hAnsi="Times New Roman" w:cs="Times New Roman"/>
          <w:sz w:val="20"/>
          <w:szCs w:val="20"/>
          <w:lang w:val="en-GB"/>
        </w:rPr>
        <w:t xml:space="preserve">neither </w:t>
      </w:r>
      <w:r w:rsidRPr="00081629">
        <w:rPr>
          <w:rFonts w:ascii="Times New Roman" w:hAnsi="Times New Roman" w:cs="Times New Roman"/>
          <w:sz w:val="20"/>
          <w:szCs w:val="20"/>
          <w:lang w:val="en-GB"/>
        </w:rPr>
        <w:t xml:space="preserve">the </w:t>
      </w:r>
      <w:r w:rsidR="007B07B5" w:rsidRPr="00081629">
        <w:rPr>
          <w:rFonts w:ascii="Times New Roman" w:hAnsi="Times New Roman" w:cs="Times New Roman"/>
          <w:sz w:val="20"/>
          <w:szCs w:val="20"/>
          <w:lang w:val="en-GB"/>
        </w:rPr>
        <w:t>LDC</w:t>
      </w:r>
      <w:r w:rsidR="000D1C50" w:rsidRPr="00081629">
        <w:rPr>
          <w:rFonts w:ascii="Times New Roman" w:hAnsi="Times New Roman" w:cs="Times New Roman"/>
          <w:sz w:val="20"/>
          <w:szCs w:val="20"/>
          <w:lang w:val="en-GB"/>
        </w:rPr>
        <w:t xml:space="preserve"> nor the </w:t>
      </w:r>
      <w:r w:rsidR="007B07B5"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make express reference to the term “relative”. </w:t>
      </w:r>
    </w:p>
    <w:p w14:paraId="4FD36616" w14:textId="77777777" w:rsidR="006727F8" w:rsidRPr="00081629" w:rsidRDefault="006727F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Nonetheless, Spanish </w:t>
      </w:r>
      <w:r w:rsidR="007B07B5" w:rsidRPr="00081629">
        <w:rPr>
          <w:rFonts w:ascii="Times New Roman" w:hAnsi="Times New Roman" w:cs="Times New Roman"/>
          <w:sz w:val="20"/>
          <w:szCs w:val="20"/>
          <w:lang w:val="en-GB"/>
        </w:rPr>
        <w:t>C</w:t>
      </w:r>
      <w:r w:rsidRPr="00081629">
        <w:rPr>
          <w:rFonts w:ascii="Times New Roman" w:hAnsi="Times New Roman" w:cs="Times New Roman"/>
          <w:sz w:val="20"/>
          <w:szCs w:val="20"/>
          <w:lang w:val="en-GB"/>
        </w:rPr>
        <w:t xml:space="preserve">ourts are aware of the close connection of these abuses with competition law and have given a definition of what ought to be understood as relative market power. The </w:t>
      </w:r>
      <w:r w:rsidR="00837B9E" w:rsidRPr="00081629">
        <w:rPr>
          <w:rFonts w:ascii="Times New Roman" w:hAnsi="Times New Roman" w:cs="Times New Roman"/>
          <w:sz w:val="20"/>
          <w:szCs w:val="20"/>
          <w:lang w:val="en-GB"/>
        </w:rPr>
        <w:t>judgment</w:t>
      </w:r>
      <w:r w:rsidR="007B07B5" w:rsidRPr="00081629">
        <w:rPr>
          <w:rFonts w:ascii="Times New Roman" w:hAnsi="Times New Roman" w:cs="Times New Roman"/>
          <w:sz w:val="20"/>
          <w:szCs w:val="20"/>
          <w:lang w:val="en-GB"/>
        </w:rPr>
        <w:t xml:space="preserve"> of the </w:t>
      </w:r>
      <w:r w:rsidR="5C5DFD17"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Madrid dated 10 January 2006 (ECLI:ES:APM:2006:15039A) provides a</w:t>
      </w:r>
      <w:r w:rsidR="00A91BE8" w:rsidRPr="00081629">
        <w:rPr>
          <w:rFonts w:ascii="Times New Roman" w:hAnsi="Times New Roman" w:cs="Times New Roman"/>
          <w:sz w:val="20"/>
          <w:szCs w:val="20"/>
          <w:lang w:val="en-GB"/>
        </w:rPr>
        <w:t>n</w:t>
      </w:r>
      <w:r w:rsidRPr="00081629">
        <w:rPr>
          <w:rFonts w:ascii="Times New Roman" w:hAnsi="Times New Roman" w:cs="Times New Roman"/>
          <w:sz w:val="20"/>
          <w:szCs w:val="20"/>
          <w:lang w:val="en-GB"/>
        </w:rPr>
        <w:t xml:space="preserve"> explanation: </w:t>
      </w:r>
    </w:p>
    <w:p w14:paraId="7C003B05" w14:textId="77777777" w:rsidR="006727F8" w:rsidRPr="00081629" w:rsidRDefault="006727F8" w:rsidP="00930BE2">
      <w:pPr>
        <w:spacing w:line="276" w:lineRule="auto"/>
        <w:ind w:left="708"/>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doctrine studies this case in comparison with no other than the abuse of a dominant position in the market as provided for in the Competition Act, finding the difference in the absolute nature of the latter as opposed to the relative nature of the former. This makes it necessary to consider the particularities of the strategy of the company that may find itself in a situation of dependence and to check whether there are equivalent alternatives in the relevant market.” </w:t>
      </w:r>
    </w:p>
    <w:p w14:paraId="2FE537A3" w14:textId="023B921B" w:rsidR="002E78BE" w:rsidRPr="00081629" w:rsidRDefault="006727F8"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Relative market power can also be defined in terms of the unlawful </w:t>
      </w:r>
      <w:r w:rsidR="314526D9" w:rsidRPr="48D21451">
        <w:rPr>
          <w:rFonts w:ascii="Times New Roman" w:hAnsi="Times New Roman" w:cs="Times New Roman"/>
          <w:sz w:val="20"/>
          <w:szCs w:val="20"/>
          <w:lang w:val="en-GB"/>
        </w:rPr>
        <w:t>behaviour</w:t>
      </w:r>
      <w:r w:rsidRPr="48D21451">
        <w:rPr>
          <w:rFonts w:ascii="Times New Roman" w:hAnsi="Times New Roman" w:cs="Times New Roman"/>
          <w:sz w:val="20"/>
          <w:szCs w:val="20"/>
          <w:lang w:val="en-GB"/>
        </w:rPr>
        <w:t xml:space="preserve">, that could not reasonably be carried out if other companies are not economically dependent on such company. </w:t>
      </w:r>
    </w:p>
    <w:p w14:paraId="0794359F" w14:textId="77777777" w:rsidR="006727F8" w:rsidRPr="00081629" w:rsidRDefault="006727F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w:t>
      </w:r>
      <w:r w:rsidR="00837B9E" w:rsidRPr="00081629">
        <w:rPr>
          <w:rFonts w:ascii="Times New Roman" w:hAnsi="Times New Roman" w:cs="Times New Roman"/>
          <w:sz w:val="20"/>
          <w:szCs w:val="20"/>
          <w:lang w:val="en-GB"/>
        </w:rPr>
        <w:t xml:space="preserve">judgment of the </w:t>
      </w:r>
      <w:r w:rsidRPr="00081629">
        <w:rPr>
          <w:rFonts w:ascii="Times New Roman" w:hAnsi="Times New Roman" w:cs="Times New Roman"/>
          <w:sz w:val="20"/>
          <w:szCs w:val="20"/>
          <w:lang w:val="en-GB"/>
        </w:rPr>
        <w:t>Commercial Court of Barcelona dated 21 March 2022 (ECLI:ES:JMB:2022:2973) defines it as a "position of strength” used to impose abusive conditions, agreements or clauses that distort, damage, or harm the position of weaker companies in the market, either in relation to competitors or in relation to the market and their relative position therein. </w:t>
      </w:r>
    </w:p>
    <w:p w14:paraId="5BD9BA39" w14:textId="77777777" w:rsidR="00F1430A" w:rsidRPr="00081629" w:rsidRDefault="00F1430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To sum up, beyond the presumption in Article 16.2 LCD regarding economic dependence explained in Section</w:t>
      </w:r>
      <w:r w:rsidR="00864981" w:rsidRPr="00081629">
        <w:rPr>
          <w:rFonts w:ascii="Times New Roman" w:hAnsi="Times New Roman" w:cs="Times New Roman"/>
          <w:sz w:val="20"/>
          <w:szCs w:val="20"/>
          <w:lang w:val="en-GB"/>
        </w:rPr>
        <w:t xml:space="preserve"> 2.4</w:t>
      </w:r>
      <w:r w:rsidRPr="00081629">
        <w:rPr>
          <w:rFonts w:ascii="Times New Roman" w:hAnsi="Times New Roman" w:cs="Times New Roman"/>
          <w:sz w:val="20"/>
          <w:szCs w:val="20"/>
          <w:lang w:val="en-GB"/>
        </w:rPr>
        <w:t xml:space="preserve">, Spanish law does not contain further legal or factual presumptions applicable to the assessment of relative market power. Case law links these concepts using a reverse explanation. The </w:t>
      </w:r>
      <w:r w:rsidR="00837B9E" w:rsidRPr="00081629">
        <w:rPr>
          <w:rFonts w:ascii="Times New Roman" w:hAnsi="Times New Roman" w:cs="Times New Roman"/>
          <w:sz w:val="20"/>
          <w:szCs w:val="20"/>
          <w:lang w:val="en-GB"/>
        </w:rPr>
        <w:t xml:space="preserve">judgment of the </w:t>
      </w:r>
      <w:r w:rsidR="6AB353AB"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Córdoba dated 26 June 2018 (ECLI:</w:t>
      </w:r>
      <w:bookmarkStart w:id="1" w:name="_Int_JX2knIlH"/>
      <w:r w:rsidRPr="00081629">
        <w:rPr>
          <w:rFonts w:ascii="Times New Roman" w:hAnsi="Times New Roman" w:cs="Times New Roman"/>
          <w:sz w:val="20"/>
          <w:szCs w:val="20"/>
          <w:lang w:val="en-GB"/>
        </w:rPr>
        <w:t>ES:APGR</w:t>
      </w:r>
      <w:bookmarkEnd w:id="1"/>
      <w:r w:rsidRPr="00081629">
        <w:rPr>
          <w:rFonts w:ascii="Times New Roman" w:hAnsi="Times New Roman" w:cs="Times New Roman"/>
          <w:sz w:val="20"/>
          <w:szCs w:val="20"/>
          <w:lang w:val="en-GB"/>
        </w:rPr>
        <w:t xml:space="preserve">:2018:1134) states that it must be denied that a company has relative market power if the </w:t>
      </w:r>
      <w:r w:rsidR="00A8311B" w:rsidRPr="00081629">
        <w:rPr>
          <w:rFonts w:ascii="Times New Roman" w:hAnsi="Times New Roman" w:cs="Times New Roman"/>
          <w:sz w:val="20"/>
          <w:szCs w:val="20"/>
          <w:lang w:val="en-GB"/>
        </w:rPr>
        <w:t>company has</w:t>
      </w:r>
      <w:r w:rsidRPr="00081629">
        <w:rPr>
          <w:rFonts w:ascii="Times New Roman" w:hAnsi="Times New Roman" w:cs="Times New Roman"/>
          <w:sz w:val="20"/>
          <w:szCs w:val="20"/>
          <w:lang w:val="en-GB"/>
        </w:rPr>
        <w:t xml:space="preserve"> an equivalent alternative to place its product or service in the defined relevant market. </w:t>
      </w:r>
    </w:p>
    <w:p w14:paraId="4ACA1604" w14:textId="77777777" w:rsidR="00F1430A" w:rsidRPr="00081629" w:rsidRDefault="00F1430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determination of economic dependence remains highly contextual and requires a detailed case-by-case analysis. No fixed thresholds or general presumptions are applied. Therefore, while economic dependence may serve as a proxy to address situations similar to relative market power, it does not establish it as a distinct legal category under Spanish competition law. </w:t>
      </w:r>
    </w:p>
    <w:p w14:paraId="45BB7437" w14:textId="77777777" w:rsidR="00500005" w:rsidRPr="00081629" w:rsidRDefault="00500005"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market analysis carried out in abuse of relative market power cases is narrower in comparison to regular competition law in abuses of dominant position cases. As public interest is not concerned under unfair competition, civil litigation is only focused on the damage that one of the parties has suffered, as opposed to the traditional concern of competition law regarding the negative effects on the market. Following this narrow scope, although the relevant market is defined as is usually done in competition law cases, the relative market power of the defendant is only studied in relation to the claimant</w:t>
      </w:r>
      <w:r w:rsidR="00283FED" w:rsidRPr="00081629">
        <w:rPr>
          <w:rFonts w:ascii="Times New Roman" w:hAnsi="Times New Roman" w:cs="Times New Roman"/>
          <w:sz w:val="20"/>
          <w:szCs w:val="20"/>
          <w:lang w:val="en-GB"/>
        </w:rPr>
        <w:t>, i.e.,</w:t>
      </w:r>
      <w:r w:rsidRPr="00081629">
        <w:rPr>
          <w:rFonts w:ascii="Times New Roman" w:hAnsi="Times New Roman" w:cs="Times New Roman"/>
          <w:sz w:val="20"/>
          <w:szCs w:val="20"/>
          <w:lang w:val="en-GB"/>
        </w:rPr>
        <w:t xml:space="preserve"> relative market power is measured only in terms of the companies concerned, with no regard to other players in the market over whom the same company can also have relative market power.</w:t>
      </w:r>
    </w:p>
    <w:p w14:paraId="436636E0" w14:textId="77777777" w:rsidR="004B11F7" w:rsidRPr="00081629" w:rsidRDefault="635A2C0C"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w:t>
      </w:r>
      <w:r w:rsidR="00283FED" w:rsidRPr="00081629">
        <w:rPr>
          <w:rFonts w:ascii="Times New Roman" w:hAnsi="Times New Roman" w:cs="Times New Roman"/>
          <w:sz w:val="20"/>
          <w:szCs w:val="20"/>
          <w:lang w:val="en-GB"/>
        </w:rPr>
        <w:t xml:space="preserve">judgment of the </w:t>
      </w:r>
      <w:r w:rsidR="1F033104"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Álava dated 11 June 2012 (ECLI:</w:t>
      </w:r>
      <w:bookmarkStart w:id="2" w:name="_Int_nf9jAgmp"/>
      <w:r w:rsidRPr="00081629">
        <w:rPr>
          <w:rFonts w:ascii="Times New Roman" w:hAnsi="Times New Roman" w:cs="Times New Roman"/>
          <w:sz w:val="20"/>
          <w:szCs w:val="20"/>
          <w:lang w:val="en-GB"/>
        </w:rPr>
        <w:t>ES:APVI</w:t>
      </w:r>
      <w:bookmarkEnd w:id="2"/>
      <w:r w:rsidRPr="00081629">
        <w:rPr>
          <w:rFonts w:ascii="Times New Roman" w:hAnsi="Times New Roman" w:cs="Times New Roman"/>
          <w:sz w:val="20"/>
          <w:szCs w:val="20"/>
          <w:lang w:val="en-GB"/>
        </w:rPr>
        <w:t xml:space="preserve">:2012:575) </w:t>
      </w:r>
      <w:r w:rsidR="00283FED" w:rsidRPr="00081629">
        <w:rPr>
          <w:rFonts w:ascii="Times New Roman" w:hAnsi="Times New Roman" w:cs="Times New Roman"/>
          <w:sz w:val="20"/>
          <w:szCs w:val="20"/>
          <w:lang w:val="en-GB"/>
        </w:rPr>
        <w:t xml:space="preserve">simply </w:t>
      </w:r>
      <w:r w:rsidRPr="00081629">
        <w:rPr>
          <w:rFonts w:ascii="Times New Roman" w:hAnsi="Times New Roman" w:cs="Times New Roman"/>
          <w:sz w:val="20"/>
          <w:szCs w:val="20"/>
          <w:lang w:val="en-GB"/>
        </w:rPr>
        <w:t xml:space="preserve">refers to relative market power as “market power vis-à-vis the </w:t>
      </w:r>
      <w:r w:rsidR="00283FED" w:rsidRPr="00081629">
        <w:rPr>
          <w:rFonts w:ascii="Times New Roman" w:hAnsi="Times New Roman" w:cs="Times New Roman"/>
          <w:sz w:val="20"/>
          <w:szCs w:val="20"/>
          <w:lang w:val="en-GB"/>
        </w:rPr>
        <w:t>claimant</w:t>
      </w:r>
      <w:r w:rsidRPr="00081629">
        <w:rPr>
          <w:rFonts w:ascii="Times New Roman" w:hAnsi="Times New Roman" w:cs="Times New Roman"/>
          <w:sz w:val="20"/>
          <w:szCs w:val="20"/>
          <w:lang w:val="en-GB"/>
        </w:rPr>
        <w:t xml:space="preserve">”. </w:t>
      </w:r>
      <w:r w:rsidR="00283FED" w:rsidRPr="00081629">
        <w:rPr>
          <w:rFonts w:ascii="Times New Roman" w:hAnsi="Times New Roman" w:cs="Times New Roman"/>
          <w:sz w:val="20"/>
          <w:szCs w:val="20"/>
          <w:lang w:val="en-GB"/>
        </w:rPr>
        <w:t>This reasoning has been applied in other cases</w:t>
      </w:r>
      <w:r w:rsidRPr="00081629">
        <w:rPr>
          <w:rFonts w:ascii="Times New Roman" w:hAnsi="Times New Roman" w:cs="Times New Roman"/>
          <w:sz w:val="20"/>
          <w:szCs w:val="20"/>
          <w:lang w:val="en-GB"/>
        </w:rPr>
        <w:t>, such</w:t>
      </w:r>
      <w:r w:rsidR="00283FED"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as </w:t>
      </w:r>
      <w:r w:rsidR="00283FED" w:rsidRPr="00081629">
        <w:rPr>
          <w:rFonts w:ascii="Times New Roman" w:hAnsi="Times New Roman" w:cs="Times New Roman"/>
          <w:sz w:val="20"/>
          <w:szCs w:val="20"/>
          <w:lang w:val="en-GB"/>
        </w:rPr>
        <w:t xml:space="preserve">in the judgment of the </w:t>
      </w:r>
      <w:r w:rsidR="4025C64F" w:rsidRPr="00081629">
        <w:rPr>
          <w:rFonts w:ascii="Times New Roman" w:hAnsi="Times New Roman" w:cs="Times New Roman"/>
          <w:sz w:val="20"/>
          <w:szCs w:val="20"/>
          <w:lang w:val="en-GB"/>
        </w:rPr>
        <w:t>t</w:t>
      </w:r>
      <w:r w:rsidRPr="00081629">
        <w:rPr>
          <w:rFonts w:ascii="Times New Roman" w:hAnsi="Times New Roman" w:cs="Times New Roman"/>
          <w:sz w:val="20"/>
          <w:szCs w:val="20"/>
          <w:lang w:val="en-GB"/>
        </w:rPr>
        <w:t xml:space="preserve">he </w:t>
      </w:r>
      <w:r w:rsidR="14359E08"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Madrid dated 18 January 2019 (ECLI:</w:t>
      </w:r>
      <w:bookmarkStart w:id="3" w:name="_Int_GqzyiCvS"/>
      <w:r w:rsidRPr="00081629">
        <w:rPr>
          <w:rFonts w:ascii="Times New Roman" w:hAnsi="Times New Roman" w:cs="Times New Roman"/>
          <w:sz w:val="20"/>
          <w:szCs w:val="20"/>
          <w:lang w:val="en-GB"/>
        </w:rPr>
        <w:t>ES:APM</w:t>
      </w:r>
      <w:bookmarkEnd w:id="3"/>
      <w:r w:rsidRPr="00081629">
        <w:rPr>
          <w:rFonts w:ascii="Times New Roman" w:hAnsi="Times New Roman" w:cs="Times New Roman"/>
          <w:sz w:val="20"/>
          <w:szCs w:val="20"/>
          <w:lang w:val="en-GB"/>
        </w:rPr>
        <w:t xml:space="preserve">:2019:1046). Courts have expressly stated that the “relativeness” of the market power applies only to the claimants. The </w:t>
      </w:r>
      <w:r w:rsidR="00283FED" w:rsidRPr="00081629">
        <w:rPr>
          <w:rFonts w:ascii="Times New Roman" w:hAnsi="Times New Roman" w:cs="Times New Roman"/>
          <w:sz w:val="20"/>
          <w:szCs w:val="20"/>
          <w:lang w:val="en-GB"/>
        </w:rPr>
        <w:t xml:space="preserve">judgment of the </w:t>
      </w:r>
      <w:r w:rsidR="5910C404"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Madrid dated 28 October 2011 (ECLI:ES:APM:2008:15141) stresses that there is no need to specify if the company is also dominant in relation to the majority of other companies competing with the claimant, which is what distinguishes the situation of economic dependence in unfair competition. </w:t>
      </w:r>
    </w:p>
    <w:p w14:paraId="4354017F" w14:textId="77777777" w:rsidR="004B11F7" w:rsidRPr="00081629" w:rsidRDefault="004B11F7" w:rsidP="00930BE2">
      <w:pPr>
        <w:spacing w:line="276" w:lineRule="auto"/>
        <w:jc w:val="both"/>
        <w:rPr>
          <w:rFonts w:ascii="Times New Roman" w:hAnsi="Times New Roman" w:cs="Times New Roman"/>
          <w:b/>
          <w:bCs/>
          <w:sz w:val="20"/>
          <w:szCs w:val="20"/>
          <w:lang w:val="en-GB"/>
        </w:rPr>
      </w:pPr>
    </w:p>
    <w:p w14:paraId="08CA41FA" w14:textId="77777777" w:rsidR="006475D9" w:rsidRPr="00081629" w:rsidRDefault="006475D9"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Intermediation power as a proxy for relative market power</w:t>
      </w:r>
    </w:p>
    <w:p w14:paraId="5251C951" w14:textId="77777777" w:rsidR="006727F8" w:rsidRPr="00081629" w:rsidRDefault="45EBBCFD" w:rsidP="00930BE2">
      <w:pPr>
        <w:spacing w:line="276" w:lineRule="auto"/>
        <w:jc w:val="both"/>
        <w:rPr>
          <w:rStyle w:val="Refdenotaalpie"/>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Spanish law does not explicitly recognize </w:t>
      </w:r>
      <w:r w:rsidR="00283FED" w:rsidRPr="00081629">
        <w:rPr>
          <w:rFonts w:ascii="Times New Roman" w:hAnsi="Times New Roman" w:cs="Times New Roman"/>
          <w:sz w:val="20"/>
          <w:szCs w:val="20"/>
          <w:lang w:val="en-GB"/>
        </w:rPr>
        <w:t xml:space="preserve">intermediation power </w:t>
      </w:r>
      <w:r w:rsidRPr="00081629">
        <w:rPr>
          <w:rFonts w:ascii="Times New Roman" w:hAnsi="Times New Roman" w:cs="Times New Roman"/>
          <w:sz w:val="20"/>
          <w:szCs w:val="20"/>
          <w:lang w:val="en-GB"/>
        </w:rPr>
        <w:t>as a distinct legal concept. Nevertheless, some scholars have argued that</w:t>
      </w:r>
      <w:r w:rsidR="78B021E4" w:rsidRPr="00081629">
        <w:rPr>
          <w:rFonts w:ascii="Times New Roman" w:hAnsi="Times New Roman" w:cs="Times New Roman"/>
          <w:sz w:val="20"/>
          <w:szCs w:val="20"/>
          <w:lang w:val="en-GB"/>
        </w:rPr>
        <w:t xml:space="preserve"> in digital markets,</w:t>
      </w:r>
      <w:r w:rsidRPr="00081629">
        <w:rPr>
          <w:rFonts w:ascii="Times New Roman" w:hAnsi="Times New Roman" w:cs="Times New Roman"/>
          <w:sz w:val="20"/>
          <w:szCs w:val="20"/>
          <w:lang w:val="en-GB"/>
        </w:rPr>
        <w:t xml:space="preserve"> certain platforms exercise structural control over market access, </w:t>
      </w:r>
      <w:r w:rsidR="78B021E4" w:rsidRPr="00081629">
        <w:rPr>
          <w:rFonts w:ascii="Times New Roman" w:hAnsi="Times New Roman" w:cs="Times New Roman"/>
          <w:sz w:val="20"/>
          <w:szCs w:val="20"/>
          <w:lang w:val="en-GB"/>
        </w:rPr>
        <w:t xml:space="preserve">intermediating between economic agents and </w:t>
      </w:r>
      <w:r w:rsidRPr="00081629">
        <w:rPr>
          <w:rFonts w:ascii="Times New Roman" w:hAnsi="Times New Roman" w:cs="Times New Roman"/>
          <w:sz w:val="20"/>
          <w:szCs w:val="20"/>
          <w:lang w:val="en-GB"/>
        </w:rPr>
        <w:t>creating asymmetric dependencies that are functionally equivalent to relative market power. Although this power does not fall within the traditional framework of market dominance,</w:t>
      </w:r>
      <w:r w:rsidR="78B021E4" w:rsidRPr="00081629">
        <w:rPr>
          <w:rFonts w:ascii="Times New Roman" w:hAnsi="Times New Roman" w:cs="Times New Roman"/>
          <w:sz w:val="20"/>
          <w:szCs w:val="20"/>
          <w:lang w:val="en-GB"/>
        </w:rPr>
        <w:t xml:space="preserve"> whether it is absolute or relative,</w:t>
      </w:r>
      <w:r w:rsidRPr="00081629">
        <w:rPr>
          <w:rFonts w:ascii="Times New Roman" w:hAnsi="Times New Roman" w:cs="Times New Roman"/>
          <w:sz w:val="20"/>
          <w:szCs w:val="20"/>
          <w:lang w:val="en-GB"/>
        </w:rPr>
        <w:t xml:space="preserve"> it</w:t>
      </w:r>
      <w:r w:rsidR="78B021E4" w:rsidRPr="00081629">
        <w:rPr>
          <w:rFonts w:ascii="Times New Roman" w:hAnsi="Times New Roman" w:cs="Times New Roman"/>
          <w:sz w:val="20"/>
          <w:szCs w:val="20"/>
          <w:lang w:val="en-GB"/>
        </w:rPr>
        <w:t xml:space="preserve"> nevertheless</w:t>
      </w:r>
      <w:r w:rsidRPr="00081629">
        <w:rPr>
          <w:rFonts w:ascii="Times New Roman" w:hAnsi="Times New Roman" w:cs="Times New Roman"/>
          <w:sz w:val="20"/>
          <w:szCs w:val="20"/>
          <w:lang w:val="en-GB"/>
        </w:rPr>
        <w:t xml:space="preserve"> enables gatekeeping practices and abusive </w:t>
      </w:r>
      <w:r w:rsidR="1A66331E" w:rsidRPr="00081629">
        <w:rPr>
          <w:rFonts w:ascii="Times New Roman" w:hAnsi="Times New Roman" w:cs="Times New Roman"/>
          <w:sz w:val="20"/>
          <w:szCs w:val="20"/>
          <w:lang w:val="en-GB"/>
        </w:rPr>
        <w:t>behaviour</w:t>
      </w:r>
      <w:r w:rsidRPr="00081629">
        <w:rPr>
          <w:rFonts w:ascii="Times New Roman" w:hAnsi="Times New Roman" w:cs="Times New Roman"/>
          <w:sz w:val="20"/>
          <w:szCs w:val="20"/>
          <w:lang w:val="en-GB"/>
        </w:rPr>
        <w:t xml:space="preserve">. The academia contends that Spanish unfair competition law, through Article 16.2 </w:t>
      </w:r>
      <w:r w:rsidR="00283FED"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provides a partial legal basis to address these cases, though in absence of a clear legislation on the matter.</w:t>
      </w:r>
      <w:r w:rsidR="006475D9" w:rsidRPr="00081629">
        <w:rPr>
          <w:rStyle w:val="Refdenotaalpie"/>
          <w:rFonts w:ascii="Times New Roman" w:hAnsi="Times New Roman" w:cs="Times New Roman"/>
          <w:sz w:val="20"/>
          <w:szCs w:val="20"/>
          <w:lang w:val="en-GB"/>
        </w:rPr>
        <w:footnoteReference w:id="11"/>
      </w:r>
      <w:r w:rsidRPr="00081629">
        <w:rPr>
          <w:rFonts w:ascii="Times New Roman" w:hAnsi="Times New Roman" w:cs="Times New Roman"/>
          <w:sz w:val="20"/>
          <w:szCs w:val="20"/>
          <w:lang w:val="en-GB"/>
        </w:rPr>
        <w:t> </w:t>
      </w:r>
    </w:p>
    <w:p w14:paraId="26A51CCB" w14:textId="1D02D9B9" w:rsidR="00A8311B" w:rsidRPr="00081629" w:rsidRDefault="00F1430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concept of intermediation power is rather underexplored, even in fields where it is more evident, such as competition law. Take the example of the Booking case (CNMC, Case S/0005/21), where the </w:t>
      </w:r>
      <w:r w:rsidR="00283FED" w:rsidRPr="00081629">
        <w:rPr>
          <w:rFonts w:ascii="Times New Roman" w:hAnsi="Times New Roman" w:cs="Times New Roman"/>
          <w:sz w:val="20"/>
          <w:szCs w:val="20"/>
          <w:lang w:val="en-GB"/>
        </w:rPr>
        <w:t>CNMC</w:t>
      </w:r>
      <w:r w:rsidRPr="00081629">
        <w:rPr>
          <w:rFonts w:ascii="Times New Roman" w:hAnsi="Times New Roman" w:cs="Times New Roman"/>
          <w:sz w:val="20"/>
          <w:szCs w:val="20"/>
          <w:lang w:val="en-GB"/>
        </w:rPr>
        <w:t xml:space="preserve"> found that the platform imposed unfair commercial terms and restricted hotels’ access to competing platforms, leveraging its central position as a necessary intermediary for access to demand. However, the decision made no reference to the concept of “intermediation power”, despite the case reflecting its features.</w:t>
      </w:r>
      <w:r w:rsidRPr="00081629">
        <w:rPr>
          <w:rStyle w:val="Refdenotaalpie"/>
          <w:rFonts w:ascii="Times New Roman" w:hAnsi="Times New Roman" w:cs="Times New Roman"/>
          <w:sz w:val="20"/>
          <w:szCs w:val="20"/>
          <w:lang w:val="en-GB"/>
        </w:rPr>
        <w:footnoteReference w:id="12"/>
      </w:r>
    </w:p>
    <w:p w14:paraId="274E4E98" w14:textId="77777777" w:rsidR="00F1430A" w:rsidRPr="00081629" w:rsidRDefault="78E7C04E" w:rsidP="00930BE2">
      <w:pPr>
        <w:spacing w:line="276" w:lineRule="auto"/>
        <w:jc w:val="both"/>
        <w:rPr>
          <w:rFonts w:ascii="Times New Roman" w:eastAsia="Times New Roman" w:hAnsi="Times New Roman" w:cs="Times New Roman"/>
          <w:color w:val="000000" w:themeColor="text1"/>
          <w:sz w:val="20"/>
          <w:szCs w:val="20"/>
          <w:lang w:val="en-GB"/>
        </w:rPr>
      </w:pPr>
      <w:r w:rsidRPr="00081629">
        <w:rPr>
          <w:rFonts w:ascii="Times New Roman" w:hAnsi="Times New Roman" w:cs="Times New Roman"/>
          <w:sz w:val="20"/>
          <w:szCs w:val="20"/>
          <w:lang w:val="en-GB"/>
        </w:rPr>
        <w:t xml:space="preserve">The CNMC </w:t>
      </w:r>
      <w:r w:rsidR="00283FED" w:rsidRPr="00081629">
        <w:rPr>
          <w:rFonts w:ascii="Times New Roman" w:hAnsi="Times New Roman" w:cs="Times New Roman"/>
          <w:sz w:val="20"/>
          <w:szCs w:val="20"/>
          <w:lang w:val="en-GB"/>
        </w:rPr>
        <w:t>c</w:t>
      </w:r>
      <w:r w:rsidRPr="00081629">
        <w:rPr>
          <w:rFonts w:ascii="Times New Roman" w:hAnsi="Times New Roman" w:cs="Times New Roman"/>
          <w:sz w:val="20"/>
          <w:szCs w:val="20"/>
          <w:lang w:val="en-GB"/>
        </w:rPr>
        <w:t xml:space="preserve">ould explicitly address the notion of intermediation power, as it reflects a growing source of asymmetry and dependency in digital markets. </w:t>
      </w:r>
      <w:r w:rsidR="52CE6A49" w:rsidRPr="00081629">
        <w:rPr>
          <w:rFonts w:ascii="Times New Roman" w:hAnsi="Times New Roman" w:cs="Times New Roman"/>
          <w:sz w:val="20"/>
          <w:szCs w:val="20"/>
          <w:lang w:val="en-GB"/>
        </w:rPr>
        <w:t>Recognizing</w:t>
      </w:r>
      <w:r w:rsidRPr="00081629">
        <w:rPr>
          <w:rFonts w:ascii="Times New Roman" w:hAnsi="Times New Roman" w:cs="Times New Roman"/>
          <w:sz w:val="20"/>
          <w:szCs w:val="20"/>
          <w:lang w:val="en-GB"/>
        </w:rPr>
        <w:t xml:space="preserve"> this concept would allow the </w:t>
      </w:r>
      <w:r w:rsidR="00283FED" w:rsidRPr="00081629">
        <w:rPr>
          <w:rFonts w:ascii="Times New Roman" w:hAnsi="Times New Roman" w:cs="Times New Roman"/>
          <w:sz w:val="20"/>
          <w:szCs w:val="20"/>
          <w:lang w:val="en-GB"/>
        </w:rPr>
        <w:t xml:space="preserve">CNMC </w:t>
      </w:r>
      <w:r w:rsidRPr="00081629">
        <w:rPr>
          <w:rFonts w:ascii="Times New Roman" w:hAnsi="Times New Roman" w:cs="Times New Roman"/>
          <w:sz w:val="20"/>
          <w:szCs w:val="20"/>
          <w:lang w:val="en-GB"/>
        </w:rPr>
        <w:t>to better capture the competitive risks posed by dominant platforms acting as unavoidable intermediaries, particularly in B2B contexts where business users have little or no negotiating leverage</w:t>
      </w:r>
      <w:r w:rsidR="4224E388" w:rsidRPr="00081629">
        <w:rPr>
          <w:rFonts w:ascii="Times New Roman" w:hAnsi="Times New Roman" w:cs="Times New Roman"/>
          <w:sz w:val="20"/>
          <w:szCs w:val="20"/>
          <w:lang w:val="en-GB"/>
        </w:rPr>
        <w:t>. P</w:t>
      </w:r>
      <w:r w:rsidR="2C9AD5DB" w:rsidRPr="00081629">
        <w:rPr>
          <w:rFonts w:ascii="Times New Roman" w:eastAsia="Times New Roman" w:hAnsi="Times New Roman" w:cs="Times New Roman"/>
          <w:color w:val="000000" w:themeColor="text1"/>
          <w:sz w:val="20"/>
          <w:szCs w:val="20"/>
          <w:lang w:val="en-GB"/>
        </w:rPr>
        <w:t xml:space="preserve">ursuant to Article 3 of the </w:t>
      </w:r>
      <w:r w:rsidR="00181AE3" w:rsidRPr="00081629">
        <w:rPr>
          <w:rFonts w:ascii="Times New Roman" w:eastAsia="Times New Roman" w:hAnsi="Times New Roman" w:cs="Times New Roman"/>
          <w:color w:val="000000" w:themeColor="text1"/>
          <w:sz w:val="20"/>
          <w:szCs w:val="20"/>
          <w:lang w:val="en-GB"/>
        </w:rPr>
        <w:t>LDC</w:t>
      </w:r>
      <w:r w:rsidR="2C9AD5DB" w:rsidRPr="00081629">
        <w:rPr>
          <w:rFonts w:ascii="Times New Roman" w:eastAsia="Times New Roman" w:hAnsi="Times New Roman" w:cs="Times New Roman"/>
          <w:color w:val="000000" w:themeColor="text1"/>
          <w:sz w:val="20"/>
          <w:szCs w:val="20"/>
          <w:lang w:val="en-GB"/>
        </w:rPr>
        <w:t xml:space="preserve">, the </w:t>
      </w:r>
      <w:r w:rsidR="00181AE3" w:rsidRPr="00081629">
        <w:rPr>
          <w:rFonts w:ascii="Times New Roman" w:eastAsia="Times New Roman" w:hAnsi="Times New Roman" w:cs="Times New Roman"/>
          <w:color w:val="000000" w:themeColor="text1"/>
          <w:sz w:val="20"/>
          <w:szCs w:val="20"/>
          <w:lang w:val="en-GB"/>
        </w:rPr>
        <w:t>LDC</w:t>
      </w:r>
      <w:r w:rsidR="2C9AD5DB" w:rsidRPr="00081629">
        <w:rPr>
          <w:rFonts w:ascii="Times New Roman" w:eastAsia="Times New Roman" w:hAnsi="Times New Roman" w:cs="Times New Roman"/>
          <w:color w:val="000000" w:themeColor="text1"/>
          <w:sz w:val="20"/>
          <w:szCs w:val="20"/>
          <w:lang w:val="en-GB"/>
        </w:rPr>
        <w:t xml:space="preserve"> is applicable to unfair practices that distort free competition and affect the public interest. In cases involving digital gatekeepers, intermediation power may serve as a relevant analytical category for identifying such distortions.</w:t>
      </w:r>
    </w:p>
    <w:p w14:paraId="0229F590" w14:textId="77777777" w:rsidR="00F1430A" w:rsidRPr="00081629" w:rsidRDefault="00F1430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This omission illustrates that even in scenarios where the notion would be very relevant, </w:t>
      </w:r>
      <w:r w:rsidR="00181AE3" w:rsidRPr="00081629">
        <w:rPr>
          <w:rFonts w:ascii="Times New Roman" w:hAnsi="Times New Roman" w:cs="Times New Roman"/>
          <w:sz w:val="20"/>
          <w:szCs w:val="20"/>
          <w:lang w:val="en-GB"/>
        </w:rPr>
        <w:t xml:space="preserve">intermediation power </w:t>
      </w:r>
      <w:r w:rsidRPr="00081629">
        <w:rPr>
          <w:rFonts w:ascii="Times New Roman" w:hAnsi="Times New Roman" w:cs="Times New Roman"/>
          <w:sz w:val="20"/>
          <w:szCs w:val="20"/>
          <w:lang w:val="en-GB"/>
        </w:rPr>
        <w:t>remains absent from Spanish enforcement practice</w:t>
      </w:r>
      <w:r w:rsidR="001F7920" w:rsidRPr="00081629">
        <w:rPr>
          <w:rFonts w:ascii="Times New Roman" w:hAnsi="Times New Roman" w:cs="Times New Roman"/>
          <w:sz w:val="20"/>
          <w:szCs w:val="20"/>
          <w:lang w:val="en-GB"/>
        </w:rPr>
        <w:t>. There may be a lack</w:t>
      </w:r>
      <w:r w:rsidRPr="00081629">
        <w:rPr>
          <w:rFonts w:ascii="Times New Roman" w:hAnsi="Times New Roman" w:cs="Times New Roman"/>
          <w:sz w:val="20"/>
          <w:szCs w:val="20"/>
          <w:lang w:val="en-GB"/>
        </w:rPr>
        <w:t xml:space="preserve"> of regulatory development of relative market power as an autonomous concept, with such imbalances still being addressed through traditional legal concepts like abuse of dominance or economic dependence, without yet fully adapting to the emerging structural forms of power</w:t>
      </w:r>
      <w:r w:rsidR="001F7920" w:rsidRPr="00081629">
        <w:rPr>
          <w:rFonts w:ascii="Times New Roman" w:hAnsi="Times New Roman" w:cs="Times New Roman"/>
          <w:sz w:val="20"/>
          <w:szCs w:val="20"/>
          <w:lang w:val="en-GB"/>
        </w:rPr>
        <w:t>. Underscoring this concept</w:t>
      </w:r>
      <w:r w:rsidRPr="00081629">
        <w:rPr>
          <w:rFonts w:ascii="Times New Roman" w:hAnsi="Times New Roman" w:cs="Times New Roman"/>
          <w:sz w:val="20"/>
          <w:szCs w:val="20"/>
          <w:lang w:val="en-GB"/>
        </w:rPr>
        <w:t xml:space="preserve"> </w:t>
      </w:r>
      <w:r w:rsidR="0565BC3D" w:rsidRPr="00081629">
        <w:rPr>
          <w:rFonts w:ascii="Times New Roman" w:hAnsi="Times New Roman" w:cs="Times New Roman"/>
          <w:sz w:val="20"/>
          <w:szCs w:val="20"/>
          <w:lang w:val="en-GB"/>
        </w:rPr>
        <w:t xml:space="preserve">is </w:t>
      </w:r>
      <w:r w:rsidRPr="00081629">
        <w:rPr>
          <w:rFonts w:ascii="Times New Roman" w:hAnsi="Times New Roman" w:cs="Times New Roman"/>
          <w:sz w:val="20"/>
          <w:szCs w:val="20"/>
          <w:lang w:val="en-GB"/>
        </w:rPr>
        <w:t xml:space="preserve">a sign that unfair competition is Spain still needs a much deeper </w:t>
      </w:r>
      <w:r w:rsidR="001F7920" w:rsidRPr="00081629">
        <w:rPr>
          <w:rFonts w:ascii="Times New Roman" w:hAnsi="Times New Roman" w:cs="Times New Roman"/>
          <w:sz w:val="20"/>
          <w:szCs w:val="20"/>
          <w:lang w:val="en-GB"/>
        </w:rPr>
        <w:t>advancement</w:t>
      </w:r>
      <w:r w:rsidRPr="00081629">
        <w:rPr>
          <w:rFonts w:ascii="Times New Roman" w:hAnsi="Times New Roman" w:cs="Times New Roman"/>
          <w:sz w:val="20"/>
          <w:szCs w:val="20"/>
          <w:lang w:val="en-GB"/>
        </w:rPr>
        <w:t>. </w:t>
      </w:r>
    </w:p>
    <w:p w14:paraId="1EBE4EB6" w14:textId="6E89BF6A" w:rsidR="00095C0E" w:rsidRPr="00081629" w:rsidRDefault="00F1430A"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Nonetheless, case law has also dealt with cases where the market power of the company in the distribution channel is accounted for. The </w:t>
      </w:r>
      <w:r w:rsidR="00181AE3" w:rsidRPr="48D21451">
        <w:rPr>
          <w:rFonts w:ascii="Times New Roman" w:hAnsi="Times New Roman" w:cs="Times New Roman"/>
          <w:sz w:val="20"/>
          <w:szCs w:val="20"/>
          <w:lang w:val="en-GB"/>
        </w:rPr>
        <w:t xml:space="preserve">judgment of the </w:t>
      </w:r>
      <w:r w:rsidRPr="48D21451">
        <w:rPr>
          <w:rFonts w:ascii="Times New Roman" w:hAnsi="Times New Roman" w:cs="Times New Roman"/>
          <w:sz w:val="20"/>
          <w:szCs w:val="20"/>
          <w:lang w:val="en-GB"/>
        </w:rPr>
        <w:t>Commercial Court of Madrid dated 1 June 2023 (ECLI:</w:t>
      </w:r>
      <w:bookmarkStart w:id="4" w:name="_Int_69KLTbg4"/>
      <w:r w:rsidRPr="48D21451">
        <w:rPr>
          <w:rFonts w:ascii="Times New Roman" w:hAnsi="Times New Roman" w:cs="Times New Roman"/>
          <w:sz w:val="20"/>
          <w:szCs w:val="20"/>
          <w:lang w:val="en-GB"/>
        </w:rPr>
        <w:t>ES:JMM</w:t>
      </w:r>
      <w:bookmarkEnd w:id="4"/>
      <w:r w:rsidRPr="48D21451">
        <w:rPr>
          <w:rFonts w:ascii="Times New Roman" w:hAnsi="Times New Roman" w:cs="Times New Roman"/>
          <w:sz w:val="20"/>
          <w:szCs w:val="20"/>
          <w:lang w:val="en-GB"/>
        </w:rPr>
        <w:t xml:space="preserve">:2023:4736) </w:t>
      </w:r>
      <w:r w:rsidR="63D7B362" w:rsidRPr="48D21451">
        <w:rPr>
          <w:rFonts w:ascii="Times New Roman" w:hAnsi="Times New Roman" w:cs="Times New Roman"/>
          <w:sz w:val="20"/>
          <w:szCs w:val="20"/>
          <w:lang w:val="en-GB"/>
        </w:rPr>
        <w:t>analyses</w:t>
      </w:r>
      <w:r w:rsidRPr="48D21451">
        <w:rPr>
          <w:rFonts w:ascii="Times New Roman" w:hAnsi="Times New Roman" w:cs="Times New Roman"/>
          <w:sz w:val="20"/>
          <w:szCs w:val="20"/>
          <w:lang w:val="en-GB"/>
        </w:rPr>
        <w:t xml:space="preserve"> a claim filed by a road transportation association against Spain’s main railway operator, Renfe. Some of the associates were companies offering bimodal transportation services, meaning that goods were transported both by road and by train. The association argues that the rise in prices by the railway operator also </w:t>
      </w:r>
      <w:r w:rsidR="00181AE3" w:rsidRPr="48D21451">
        <w:rPr>
          <w:rFonts w:ascii="Times New Roman" w:hAnsi="Times New Roman" w:cs="Times New Roman"/>
          <w:sz w:val="20"/>
          <w:szCs w:val="20"/>
          <w:lang w:val="en-GB"/>
        </w:rPr>
        <w:t xml:space="preserve">has an impact </w:t>
      </w:r>
      <w:r w:rsidR="00796915" w:rsidRPr="48D21451">
        <w:rPr>
          <w:rFonts w:ascii="Times New Roman" w:hAnsi="Times New Roman" w:cs="Times New Roman"/>
          <w:sz w:val="20"/>
          <w:szCs w:val="20"/>
          <w:lang w:val="en-GB"/>
        </w:rPr>
        <w:t>on</w:t>
      </w:r>
      <w:r w:rsidRPr="48D21451">
        <w:rPr>
          <w:rFonts w:ascii="Times New Roman" w:hAnsi="Times New Roman" w:cs="Times New Roman"/>
          <w:sz w:val="20"/>
          <w:szCs w:val="20"/>
          <w:lang w:val="en-GB"/>
        </w:rPr>
        <w:t xml:space="preserve"> companies only operating in the road transport sector given the dominant position that Renfe holds over many railway routes</w:t>
      </w:r>
      <w:r w:rsidR="001F7920" w:rsidRPr="48D21451">
        <w:rPr>
          <w:rFonts w:ascii="Times New Roman" w:hAnsi="Times New Roman" w:cs="Times New Roman"/>
          <w:sz w:val="20"/>
          <w:szCs w:val="20"/>
          <w:lang w:val="en-GB"/>
        </w:rPr>
        <w:t xml:space="preserve"> and its power to intermediate to otherwise independent players in the market</w:t>
      </w:r>
      <w:r w:rsidRPr="48D21451">
        <w:rPr>
          <w:rFonts w:ascii="Times New Roman" w:hAnsi="Times New Roman" w:cs="Times New Roman"/>
          <w:sz w:val="20"/>
          <w:szCs w:val="20"/>
          <w:lang w:val="en-GB"/>
        </w:rPr>
        <w:t>.</w:t>
      </w:r>
    </w:p>
    <w:p w14:paraId="05DE54D8" w14:textId="77777777" w:rsidR="00095C0E" w:rsidRPr="00081629" w:rsidRDefault="00095C0E"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What is noteworthy of this case is the strategy followed by the claimants and the interplay between competition law and unfair competition: while Renfe has an absolute dominant position ─not relative─ in the railway transportation of goods market, it is not possible for companies not represented in such market to claim an abuse by the dominant company. However, what the plaintiff argued was that Renfe could influence and had relative market power over the whole distribution channel, even if it only operated on rails. </w:t>
      </w:r>
    </w:p>
    <w:p w14:paraId="3D6999D7" w14:textId="77777777" w:rsidR="00F1430A" w:rsidRPr="00081629" w:rsidRDefault="00F1430A"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lastRenderedPageBreak/>
        <w:t> </w:t>
      </w:r>
    </w:p>
    <w:p w14:paraId="173FAFDD" w14:textId="77777777" w:rsidR="154F88E6" w:rsidRPr="00081629" w:rsidRDefault="154F88E6" w:rsidP="00930BE2">
      <w:pPr>
        <w:spacing w:line="276" w:lineRule="auto"/>
        <w:jc w:val="both"/>
        <w:rPr>
          <w:rFonts w:ascii="Times New Roman" w:hAnsi="Times New Roman" w:cs="Times New Roman"/>
          <w:b/>
          <w:bCs/>
          <w:color w:val="000000" w:themeColor="text1"/>
          <w:sz w:val="20"/>
          <w:szCs w:val="20"/>
          <w:lang w:val="en-GB"/>
        </w:rPr>
      </w:pPr>
      <w:r w:rsidRPr="00081629">
        <w:rPr>
          <w:rFonts w:ascii="Times New Roman" w:hAnsi="Times New Roman" w:cs="Times New Roman"/>
          <w:b/>
          <w:bCs/>
          <w:color w:val="000000" w:themeColor="text1"/>
          <w:sz w:val="20"/>
          <w:szCs w:val="20"/>
          <w:lang w:val="en-GB"/>
        </w:rPr>
        <w:t>Digital markets and intermediation power</w:t>
      </w:r>
    </w:p>
    <w:p w14:paraId="014A7433" w14:textId="059FF0CC" w:rsidR="00F1430A" w:rsidRPr="00081629" w:rsidRDefault="00F1430A"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At the EU level, </w:t>
      </w:r>
      <w:r w:rsidR="00796915" w:rsidRPr="48D21451">
        <w:rPr>
          <w:rFonts w:ascii="Times New Roman" w:hAnsi="Times New Roman" w:cs="Times New Roman"/>
          <w:sz w:val="20"/>
          <w:szCs w:val="20"/>
          <w:lang w:val="en-GB"/>
        </w:rPr>
        <w:t>Regulation (EU) 2022/1925 of the European parliament and of the council of 14 September 2022 on contestable and fair markets in the digital sector and amending Directives (EU) 2019/1937 and (EU) 2020/1828 (</w:t>
      </w:r>
      <w:r w:rsidR="00796915" w:rsidRPr="48D21451">
        <w:rPr>
          <w:rFonts w:ascii="Times New Roman" w:hAnsi="Times New Roman" w:cs="Times New Roman"/>
          <w:b/>
          <w:bCs/>
          <w:sz w:val="20"/>
          <w:szCs w:val="20"/>
          <w:lang w:val="en-GB"/>
        </w:rPr>
        <w:t>DMA</w:t>
      </w:r>
      <w:r w:rsidR="00796915" w:rsidRPr="48D21451">
        <w:rPr>
          <w:rFonts w:ascii="Times New Roman" w:hAnsi="Times New Roman" w:cs="Times New Roman"/>
          <w:sz w:val="20"/>
          <w:szCs w:val="20"/>
          <w:lang w:val="en-GB"/>
        </w:rPr>
        <w:t>)</w:t>
      </w:r>
      <w:r w:rsidRPr="48D21451">
        <w:rPr>
          <w:rFonts w:ascii="Times New Roman" w:hAnsi="Times New Roman" w:cs="Times New Roman"/>
          <w:sz w:val="20"/>
          <w:szCs w:val="20"/>
          <w:lang w:val="en-GB"/>
        </w:rPr>
        <w:t xml:space="preserve"> has formally </w:t>
      </w:r>
      <w:r w:rsidR="00CC7673" w:rsidRPr="48D21451">
        <w:rPr>
          <w:rFonts w:ascii="Times New Roman" w:hAnsi="Times New Roman" w:cs="Times New Roman"/>
          <w:sz w:val="20"/>
          <w:szCs w:val="20"/>
          <w:lang w:val="en-GB"/>
        </w:rPr>
        <w:t>recognized</w:t>
      </w:r>
      <w:r w:rsidRPr="48D21451">
        <w:rPr>
          <w:rFonts w:ascii="Times New Roman" w:hAnsi="Times New Roman" w:cs="Times New Roman"/>
          <w:sz w:val="20"/>
          <w:szCs w:val="20"/>
          <w:lang w:val="en-GB"/>
        </w:rPr>
        <w:t xml:space="preserve"> structural intermediation power. The regulation introduces an ex-ante regime for large digital platforms designated as “gatekeepers,” acknowledging their role as essential intermediaries between businesses and consumers. Although the term “intermediation power” is not explicitly used, the regulatory design is built upon this concept, recognizing that such platforms can impose unilateral conditions, restrict competition, and hinder innovation.</w:t>
      </w:r>
      <w:r w:rsidR="00CC6700" w:rsidRPr="48D21451">
        <w:rPr>
          <w:rFonts w:ascii="Times New Roman" w:hAnsi="Times New Roman" w:cs="Times New Roman"/>
          <w:sz w:val="20"/>
          <w:szCs w:val="20"/>
          <w:lang w:val="en-GB"/>
        </w:rPr>
        <w:t xml:space="preserve"> </w:t>
      </w:r>
      <w:r w:rsidRPr="48D21451">
        <w:rPr>
          <w:rFonts w:ascii="Times New Roman" w:hAnsi="Times New Roman" w:cs="Times New Roman"/>
          <w:sz w:val="20"/>
          <w:szCs w:val="20"/>
          <w:lang w:val="en-GB"/>
        </w:rPr>
        <w:t>The DMA targets a range of unfair commercial practices commonly associated with gatekeep</w:t>
      </w:r>
      <w:r w:rsidR="001F7920" w:rsidRPr="48D21451">
        <w:rPr>
          <w:rFonts w:ascii="Times New Roman" w:hAnsi="Times New Roman" w:cs="Times New Roman"/>
          <w:sz w:val="20"/>
          <w:szCs w:val="20"/>
          <w:lang w:val="en-GB"/>
        </w:rPr>
        <w:t>ing</w:t>
      </w:r>
      <w:r w:rsidRPr="48D21451">
        <w:rPr>
          <w:rFonts w:ascii="Times New Roman" w:hAnsi="Times New Roman" w:cs="Times New Roman"/>
          <w:sz w:val="20"/>
          <w:szCs w:val="20"/>
          <w:lang w:val="en-GB"/>
        </w:rPr>
        <w:t xml:space="preserve"> </w:t>
      </w:r>
      <w:r w:rsidR="05A19F4E" w:rsidRPr="48D21451">
        <w:rPr>
          <w:rFonts w:ascii="Times New Roman" w:hAnsi="Times New Roman" w:cs="Times New Roman"/>
          <w:sz w:val="20"/>
          <w:szCs w:val="20"/>
          <w:lang w:val="en-GB"/>
        </w:rPr>
        <w:t>behaviours</w:t>
      </w:r>
      <w:r w:rsidRPr="48D21451">
        <w:rPr>
          <w:rFonts w:ascii="Times New Roman" w:hAnsi="Times New Roman" w:cs="Times New Roman"/>
          <w:sz w:val="20"/>
          <w:szCs w:val="20"/>
          <w:lang w:val="en-GB"/>
        </w:rPr>
        <w:t xml:space="preserve">, functioning as a complementary instrument to national unfair competition laws, offering a specific regulatory response to those emerging structural forms of power that traditional legal tools, such as the </w:t>
      </w:r>
      <w:r w:rsidR="00CC6700" w:rsidRPr="48D21451">
        <w:rPr>
          <w:rFonts w:ascii="Times New Roman" w:hAnsi="Times New Roman" w:cs="Times New Roman"/>
          <w:sz w:val="20"/>
          <w:szCs w:val="20"/>
          <w:lang w:val="en-GB"/>
        </w:rPr>
        <w:t>UCA</w:t>
      </w:r>
      <w:r w:rsidRPr="48D21451">
        <w:rPr>
          <w:rFonts w:ascii="Times New Roman" w:hAnsi="Times New Roman" w:cs="Times New Roman"/>
          <w:sz w:val="20"/>
          <w:szCs w:val="20"/>
          <w:lang w:val="en-GB"/>
        </w:rPr>
        <w:t xml:space="preserve"> only partially address. </w:t>
      </w:r>
    </w:p>
    <w:p w14:paraId="205883DF" w14:textId="77777777" w:rsidR="00EF3F49" w:rsidRPr="00081629" w:rsidRDefault="00EF3F49"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Whereas 40 of the DMA even regards the dependence of business users on the core platform services and promote multi-homing in the distribution channels. This is relevant to the topic discussed in this report, as it shows that in digital markets, gatekeepers control the commercial relationship between business users and final users and, ultimately, have a relative market power over the distribution channel. </w:t>
      </w:r>
    </w:p>
    <w:p w14:paraId="7EC7D674" w14:textId="77777777" w:rsidR="00EF3F49" w:rsidRPr="00081629" w:rsidRDefault="00EF3F49"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Therefore, the market where the companies operate can determine the use of special criteria to assess the market power and dependency in the commercial relationship, although the law does not make distinctions by sector. </w:t>
      </w:r>
    </w:p>
    <w:p w14:paraId="537B20AE" w14:textId="77777777" w:rsidR="00F1430A" w:rsidRPr="00081629" w:rsidRDefault="00F1430A" w:rsidP="00930BE2">
      <w:pPr>
        <w:spacing w:line="276" w:lineRule="auto"/>
        <w:jc w:val="both"/>
        <w:rPr>
          <w:rFonts w:ascii="Times New Roman" w:hAnsi="Times New Roman" w:cs="Times New Roman"/>
          <w:sz w:val="20"/>
          <w:szCs w:val="20"/>
          <w:lang w:val="en-GB"/>
        </w:rPr>
      </w:pPr>
    </w:p>
    <w:p w14:paraId="35A19119" w14:textId="77777777" w:rsidR="00F1430A" w:rsidRPr="00081629" w:rsidRDefault="00F1430A"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2.2. Defining the relevant market</w:t>
      </w:r>
    </w:p>
    <w:p w14:paraId="1248366A" w14:textId="7214EDEE" w:rsidR="00A026C1" w:rsidRPr="00081629" w:rsidRDefault="00A026C1"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The law does not make any distinction </w:t>
      </w:r>
      <w:bookmarkStart w:id="5" w:name="_Int_IZPwcDj4"/>
      <w:r w:rsidRPr="48D21451">
        <w:rPr>
          <w:rFonts w:ascii="Times New Roman" w:hAnsi="Times New Roman" w:cs="Times New Roman"/>
          <w:sz w:val="20"/>
          <w:szCs w:val="20"/>
          <w:lang w:val="en-GB"/>
        </w:rPr>
        <w:t>with regard to</w:t>
      </w:r>
      <w:bookmarkEnd w:id="5"/>
      <w:r w:rsidRPr="48D21451">
        <w:rPr>
          <w:rFonts w:ascii="Times New Roman" w:hAnsi="Times New Roman" w:cs="Times New Roman"/>
          <w:sz w:val="20"/>
          <w:szCs w:val="20"/>
          <w:lang w:val="en-GB"/>
        </w:rPr>
        <w:t xml:space="preserve"> the market where an imbalance in bargaining power may occur. However, there is extensive literature </w:t>
      </w:r>
      <w:r w:rsidR="5C2FC734" w:rsidRPr="48D21451">
        <w:rPr>
          <w:rFonts w:ascii="Times New Roman" w:hAnsi="Times New Roman" w:cs="Times New Roman"/>
          <w:sz w:val="20"/>
          <w:szCs w:val="20"/>
          <w:lang w:val="en-GB"/>
        </w:rPr>
        <w:t>analysing</w:t>
      </w:r>
      <w:r w:rsidRPr="48D21451">
        <w:rPr>
          <w:rFonts w:ascii="Times New Roman" w:hAnsi="Times New Roman" w:cs="Times New Roman"/>
          <w:sz w:val="20"/>
          <w:szCs w:val="20"/>
          <w:lang w:val="en-GB"/>
        </w:rPr>
        <w:t xml:space="preserve"> abuse of relative market power in various sectors and scenarios. While criteria related to the market are highly intertwined with the criteria to assess the alternative and the situation of economic dependency, it becomes clear that there are notable differences depending on the companies involved in the </w:t>
      </w:r>
      <w:r w:rsidR="266B00E1" w:rsidRPr="48D21451">
        <w:rPr>
          <w:rFonts w:ascii="Times New Roman" w:hAnsi="Times New Roman" w:cs="Times New Roman"/>
          <w:sz w:val="20"/>
          <w:szCs w:val="20"/>
          <w:lang w:val="en-GB"/>
        </w:rPr>
        <w:t>behaviour</w:t>
      </w:r>
      <w:r w:rsidRPr="48D21451">
        <w:rPr>
          <w:rFonts w:ascii="Times New Roman" w:hAnsi="Times New Roman" w:cs="Times New Roman"/>
          <w:sz w:val="20"/>
          <w:szCs w:val="20"/>
          <w:lang w:val="en-GB"/>
        </w:rPr>
        <w:t xml:space="preserve"> and the specific market where these companies operate. </w:t>
      </w:r>
    </w:p>
    <w:p w14:paraId="775C3B2C" w14:textId="77777777" w:rsidR="00A026C1" w:rsidRPr="00081629" w:rsidRDefault="00A530F5"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This is </w:t>
      </w:r>
      <w:r w:rsidR="00A026C1" w:rsidRPr="00081629">
        <w:rPr>
          <w:rFonts w:ascii="Times New Roman" w:hAnsi="Times New Roman" w:cs="Times New Roman"/>
          <w:sz w:val="20"/>
          <w:szCs w:val="20"/>
          <w:lang w:val="en-GB"/>
        </w:rPr>
        <w:t>especially noteworthy in the case of digital markets, where professional users rely more heavily on digital platforms and are exposed to eventual abusive practices. The growth in market power of digital platforms in recent years is undeniable. Market relations are more complex and require digital support to reach the intended target audience of a product or service. The relevance of digital platforms opens a wider discussion on the role of gatekeepers and the relative market power that they hold over the wide array of professional users in their networks.</w:t>
      </w:r>
      <w:r w:rsidR="00796915" w:rsidRPr="00081629">
        <w:rPr>
          <w:rFonts w:ascii="Times New Roman" w:hAnsi="Times New Roman" w:cs="Times New Roman"/>
          <w:sz w:val="20"/>
          <w:szCs w:val="20"/>
          <w:lang w:val="en-GB"/>
        </w:rPr>
        <w:t xml:space="preserve"> </w:t>
      </w:r>
      <w:r w:rsidR="00A026C1" w:rsidRPr="00081629">
        <w:rPr>
          <w:rFonts w:ascii="Times New Roman" w:hAnsi="Times New Roman" w:cs="Times New Roman"/>
          <w:sz w:val="20"/>
          <w:szCs w:val="20"/>
          <w:lang w:val="en-GB"/>
        </w:rPr>
        <w:t>The fields of competition law, unfair competition and</w:t>
      </w:r>
      <w:r w:rsidR="00D45D6A" w:rsidRPr="00081629">
        <w:rPr>
          <w:rFonts w:ascii="Times New Roman" w:hAnsi="Times New Roman" w:cs="Times New Roman"/>
          <w:sz w:val="20"/>
          <w:szCs w:val="20"/>
          <w:lang w:val="en-GB"/>
        </w:rPr>
        <w:t xml:space="preserve"> the DMA</w:t>
      </w:r>
      <w:r w:rsidR="00A026C1" w:rsidRPr="00081629">
        <w:rPr>
          <w:rFonts w:ascii="Times New Roman" w:hAnsi="Times New Roman" w:cs="Times New Roman"/>
          <w:sz w:val="20"/>
          <w:szCs w:val="20"/>
          <w:lang w:val="en-GB"/>
        </w:rPr>
        <w:t xml:space="preserve"> collide so that the assessment of an abuse of relative market power cannot be isolated from other areas that otherwise would not gain such relevance. </w:t>
      </w:r>
    </w:p>
    <w:p w14:paraId="28570FCE"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As we will explain in Section</w:t>
      </w:r>
      <w:r w:rsidR="00864981" w:rsidRPr="00081629">
        <w:rPr>
          <w:rFonts w:ascii="Times New Roman" w:hAnsi="Times New Roman" w:cs="Times New Roman"/>
          <w:sz w:val="20"/>
          <w:szCs w:val="20"/>
          <w:lang w:val="en-GB"/>
        </w:rPr>
        <w:t xml:space="preserve"> 2.4</w:t>
      </w:r>
      <w:r w:rsidRPr="00081629">
        <w:rPr>
          <w:rFonts w:ascii="Times New Roman" w:hAnsi="Times New Roman" w:cs="Times New Roman"/>
          <w:sz w:val="20"/>
          <w:szCs w:val="20"/>
          <w:lang w:val="en-GB"/>
        </w:rPr>
        <w:t xml:space="preserve">, </w:t>
      </w:r>
      <w:r w:rsidR="544235DB" w:rsidRPr="00081629">
        <w:rPr>
          <w:rFonts w:ascii="Times New Roman" w:eastAsia="Times New Roman" w:hAnsi="Times New Roman" w:cs="Times New Roman"/>
          <w:color w:val="000000" w:themeColor="text1"/>
          <w:sz w:val="20"/>
          <w:szCs w:val="20"/>
          <w:lang w:val="en-GB"/>
        </w:rPr>
        <w:t xml:space="preserve">the superior bargaining power is a kind of asymmetric dependency that can be determined by the structure of the market and the position of one company towards another. In the case of digital markets, gatekeepers, </w:t>
      </w:r>
      <w:bookmarkStart w:id="6" w:name="_Int_9XNKfuPZ"/>
      <w:r w:rsidR="544235DB" w:rsidRPr="00081629">
        <w:rPr>
          <w:rFonts w:ascii="Times New Roman" w:eastAsia="Times New Roman" w:hAnsi="Times New Roman" w:cs="Times New Roman"/>
          <w:color w:val="000000" w:themeColor="text1"/>
          <w:sz w:val="20"/>
          <w:szCs w:val="20"/>
          <w:lang w:val="en-GB"/>
        </w:rPr>
        <w:t>by definition of</w:t>
      </w:r>
      <w:bookmarkEnd w:id="6"/>
      <w:r w:rsidR="544235DB" w:rsidRPr="00081629">
        <w:rPr>
          <w:rFonts w:ascii="Times New Roman" w:eastAsia="Times New Roman" w:hAnsi="Times New Roman" w:cs="Times New Roman"/>
          <w:color w:val="000000" w:themeColor="text1"/>
          <w:sz w:val="20"/>
          <w:szCs w:val="20"/>
          <w:lang w:val="en-GB"/>
        </w:rPr>
        <w:t xml:space="preserve"> the position they </w:t>
      </w:r>
      <w:bookmarkStart w:id="7" w:name="_Int_cPz3B9QL"/>
      <w:r w:rsidR="544235DB" w:rsidRPr="00081629">
        <w:rPr>
          <w:rFonts w:ascii="Times New Roman" w:eastAsia="Times New Roman" w:hAnsi="Times New Roman" w:cs="Times New Roman"/>
          <w:color w:val="000000" w:themeColor="text1"/>
          <w:sz w:val="20"/>
          <w:szCs w:val="20"/>
          <w:lang w:val="en-GB"/>
        </w:rPr>
        <w:t>hold</w:t>
      </w:r>
      <w:bookmarkEnd w:id="7"/>
      <w:r w:rsidR="544235DB" w:rsidRPr="00081629">
        <w:rPr>
          <w:rFonts w:ascii="Times New Roman" w:eastAsia="Times New Roman" w:hAnsi="Times New Roman" w:cs="Times New Roman"/>
          <w:color w:val="000000" w:themeColor="text1"/>
          <w:sz w:val="20"/>
          <w:szCs w:val="20"/>
          <w:lang w:val="en-GB"/>
        </w:rPr>
        <w:t xml:space="preserve"> and the requirements set in the DMA to be considered as such, </w:t>
      </w:r>
      <w:r w:rsidR="00B1016C" w:rsidRPr="00081629">
        <w:rPr>
          <w:rFonts w:ascii="Times New Roman" w:eastAsia="Times New Roman" w:hAnsi="Times New Roman" w:cs="Times New Roman"/>
          <w:color w:val="000000" w:themeColor="text1"/>
          <w:sz w:val="20"/>
          <w:szCs w:val="20"/>
          <w:lang w:val="en-GB"/>
        </w:rPr>
        <w:t xml:space="preserve">will probably </w:t>
      </w:r>
      <w:r w:rsidR="544235DB" w:rsidRPr="00081629">
        <w:rPr>
          <w:rFonts w:ascii="Times New Roman" w:eastAsia="Times New Roman" w:hAnsi="Times New Roman" w:cs="Times New Roman"/>
          <w:color w:val="000000" w:themeColor="text1"/>
          <w:sz w:val="20"/>
          <w:szCs w:val="20"/>
          <w:lang w:val="en-GB"/>
        </w:rPr>
        <w:t>hold a market power that is not absolute, but rather, relative and measured in a B2B context.</w:t>
      </w:r>
      <w:r w:rsidR="4AC2A706" w:rsidRPr="00081629">
        <w:rPr>
          <w:rFonts w:ascii="Times New Roman" w:eastAsia="Times New Roman" w:hAnsi="Times New Roman" w:cs="Times New Roman"/>
          <w:color w:val="000000" w:themeColor="text1"/>
          <w:sz w:val="20"/>
          <w:szCs w:val="20"/>
          <w:lang w:val="en-GB"/>
        </w:rPr>
        <w:t xml:space="preserve"> </w:t>
      </w:r>
      <w:r w:rsidRPr="00081629">
        <w:rPr>
          <w:rFonts w:ascii="Times New Roman" w:hAnsi="Times New Roman" w:cs="Times New Roman"/>
          <w:sz w:val="20"/>
          <w:szCs w:val="20"/>
          <w:lang w:val="en-GB"/>
        </w:rPr>
        <w:t>Following common practice in competition law, the assessment of the economic dependence requires to previously define the relevant market</w:t>
      </w:r>
      <w:r w:rsidR="66450B1F" w:rsidRPr="00081629">
        <w:rPr>
          <w:rFonts w:ascii="Times New Roman" w:hAnsi="Times New Roman" w:cs="Times New Roman"/>
          <w:sz w:val="20"/>
          <w:szCs w:val="20"/>
          <w:lang w:val="en-GB"/>
        </w:rPr>
        <w:t xml:space="preserve"> in each case</w:t>
      </w:r>
      <w:r w:rsidRPr="00081629">
        <w:rPr>
          <w:rFonts w:ascii="Times New Roman" w:hAnsi="Times New Roman" w:cs="Times New Roman"/>
          <w:sz w:val="20"/>
          <w:szCs w:val="20"/>
          <w:lang w:val="en-GB"/>
        </w:rPr>
        <w:t xml:space="preserve">, as </w:t>
      </w:r>
      <w:r w:rsidR="00EF3F49" w:rsidRPr="00081629">
        <w:rPr>
          <w:rFonts w:ascii="Times New Roman" w:hAnsi="Times New Roman" w:cs="Times New Roman"/>
          <w:sz w:val="20"/>
          <w:szCs w:val="20"/>
          <w:lang w:val="en-GB"/>
        </w:rPr>
        <w:t>this is the</w:t>
      </w:r>
      <w:r w:rsidRPr="00081629">
        <w:rPr>
          <w:rFonts w:ascii="Times New Roman" w:hAnsi="Times New Roman" w:cs="Times New Roman"/>
          <w:sz w:val="20"/>
          <w:szCs w:val="20"/>
          <w:lang w:val="en-GB"/>
        </w:rPr>
        <w:t xml:space="preserve"> market where the business user can find viable</w:t>
      </w:r>
      <w:r w:rsidR="00EF3F49" w:rsidRPr="00081629">
        <w:rPr>
          <w:rFonts w:ascii="Times New Roman" w:hAnsi="Times New Roman" w:cs="Times New Roman"/>
          <w:sz w:val="20"/>
          <w:szCs w:val="20"/>
          <w:lang w:val="en-GB"/>
        </w:rPr>
        <w:t xml:space="preserve"> and equivalent</w:t>
      </w:r>
      <w:r w:rsidRPr="00081629">
        <w:rPr>
          <w:rFonts w:ascii="Times New Roman" w:hAnsi="Times New Roman" w:cs="Times New Roman"/>
          <w:sz w:val="20"/>
          <w:szCs w:val="20"/>
          <w:lang w:val="en-GB"/>
        </w:rPr>
        <w:t xml:space="preserve"> alternatives. </w:t>
      </w:r>
      <w:r w:rsidR="20049BE1" w:rsidRPr="00081629">
        <w:rPr>
          <w:rFonts w:ascii="Times New Roman" w:hAnsi="Times New Roman" w:cs="Times New Roman"/>
          <w:sz w:val="20"/>
          <w:szCs w:val="20"/>
          <w:lang w:val="en-GB"/>
        </w:rPr>
        <w:t xml:space="preserve"> </w:t>
      </w:r>
    </w:p>
    <w:p w14:paraId="2F061F3D" w14:textId="77777777" w:rsidR="00D45D6A" w:rsidRPr="00081629" w:rsidRDefault="1952DFF5"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Spanish case law has defined the criteria to define the relevant market. Case law, such as </w:t>
      </w:r>
      <w:r w:rsidR="00B1016C" w:rsidRPr="00081629">
        <w:rPr>
          <w:rFonts w:ascii="Times New Roman" w:hAnsi="Times New Roman" w:cs="Times New Roman"/>
          <w:sz w:val="20"/>
          <w:szCs w:val="20"/>
          <w:lang w:val="en-GB"/>
        </w:rPr>
        <w:t>the j</w:t>
      </w:r>
      <w:r w:rsidRPr="00081629">
        <w:rPr>
          <w:rFonts w:ascii="Times New Roman" w:hAnsi="Times New Roman" w:cs="Times New Roman"/>
          <w:sz w:val="20"/>
          <w:szCs w:val="20"/>
          <w:lang w:val="en-GB"/>
        </w:rPr>
        <w:t xml:space="preserve">udgments </w:t>
      </w:r>
      <w:r w:rsidR="00B1016C" w:rsidRPr="00081629">
        <w:rPr>
          <w:rFonts w:ascii="Times New Roman" w:hAnsi="Times New Roman" w:cs="Times New Roman"/>
          <w:sz w:val="20"/>
          <w:szCs w:val="20"/>
          <w:lang w:val="en-GB"/>
        </w:rPr>
        <w:t xml:space="preserve">of </w:t>
      </w:r>
      <w:r w:rsidR="04F713E8" w:rsidRPr="00081629">
        <w:rPr>
          <w:rFonts w:ascii="Times New Roman" w:hAnsi="Times New Roman" w:cs="Times New Roman"/>
          <w:sz w:val="20"/>
          <w:szCs w:val="20"/>
          <w:lang w:val="en-GB"/>
        </w:rPr>
        <w:t>t</w:t>
      </w:r>
      <w:r w:rsidRPr="00081629">
        <w:rPr>
          <w:rFonts w:ascii="Times New Roman" w:hAnsi="Times New Roman" w:cs="Times New Roman"/>
          <w:sz w:val="20"/>
          <w:szCs w:val="20"/>
          <w:lang w:val="en-GB"/>
        </w:rPr>
        <w:t xml:space="preserve">he </w:t>
      </w:r>
      <w:r w:rsidR="05FC63DA"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Castellón dated 1 June 2006 (ECLI: ES:APCS:2006:484), </w:t>
      </w:r>
      <w:r w:rsidR="00B11897" w:rsidRPr="00081629">
        <w:rPr>
          <w:rFonts w:ascii="Times New Roman" w:hAnsi="Times New Roman" w:cs="Times New Roman"/>
          <w:sz w:val="20"/>
          <w:szCs w:val="20"/>
          <w:lang w:val="en-GB"/>
        </w:rPr>
        <w:t>t</w:t>
      </w:r>
      <w:r w:rsidR="16976BB0" w:rsidRPr="00081629">
        <w:rPr>
          <w:rFonts w:ascii="Times New Roman" w:hAnsi="Times New Roman" w:cs="Times New Roman"/>
          <w:sz w:val="20"/>
          <w:szCs w:val="20"/>
          <w:lang w:val="en-GB"/>
        </w:rPr>
        <w:t xml:space="preserve">he </w:t>
      </w:r>
      <w:r w:rsidR="5D67B26E"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Barcelona dated 10 may 2007</w:t>
      </w:r>
      <w:r w:rsidR="00B1016C"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(ECLI: ES:APB:2007:6352), </w:t>
      </w:r>
      <w:r w:rsidR="4BA12414" w:rsidRPr="00081629">
        <w:rPr>
          <w:rFonts w:ascii="Times New Roman" w:hAnsi="Times New Roman" w:cs="Times New Roman"/>
          <w:sz w:val="20"/>
          <w:szCs w:val="20"/>
          <w:lang w:val="en-GB"/>
        </w:rPr>
        <w:t>t</w:t>
      </w:r>
      <w:r w:rsidR="74AF2AE0" w:rsidRPr="00081629">
        <w:rPr>
          <w:rFonts w:ascii="Times New Roman" w:hAnsi="Times New Roman" w:cs="Times New Roman"/>
          <w:sz w:val="20"/>
          <w:szCs w:val="20"/>
          <w:lang w:val="en-GB"/>
        </w:rPr>
        <w:t xml:space="preserve">he </w:t>
      </w:r>
      <w:r w:rsidR="581A6CED"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Vizcaya dated 23 June </w:t>
      </w:r>
      <w:r w:rsidRPr="00081629">
        <w:rPr>
          <w:rFonts w:ascii="Times New Roman" w:hAnsi="Times New Roman" w:cs="Times New Roman"/>
          <w:sz w:val="20"/>
          <w:szCs w:val="20"/>
          <w:lang w:val="en-GB"/>
        </w:rPr>
        <w:lastRenderedPageBreak/>
        <w:t>2011 (ECLI: ES:APBI:2011:406)</w:t>
      </w:r>
      <w:r w:rsidR="00B1016C"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and </w:t>
      </w:r>
      <w:r w:rsidR="3BDB61DD"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Madrid dated 28 October 2011 (ECLI: ES: APM: 2011:15141) have held that the relevant market must be defined from the perspective of the allegedly dependent firm taking into account legal, economic, and technical feasibility of alternatives. Additional factual indicators include the proportion of turnover tied to the dominant party (typically exceeding 30%), the duration and stability of the relationship, exclusive dealing clauses, specific investments made, switching costs, and relative size asymmetries.</w:t>
      </w:r>
      <w:r w:rsidR="001860E6" w:rsidRPr="00081629">
        <w:rPr>
          <w:rFonts w:ascii="Times New Roman" w:hAnsi="Times New Roman" w:cs="Times New Roman"/>
          <w:sz w:val="20"/>
          <w:szCs w:val="20"/>
          <w:lang w:val="en-GB"/>
        </w:rPr>
        <w:t xml:space="preserve"> </w:t>
      </w:r>
    </w:p>
    <w:p w14:paraId="18E932FE" w14:textId="77777777" w:rsidR="00A026C1" w:rsidRPr="00081629" w:rsidRDefault="001860E6"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w:t>
      </w:r>
      <w:r w:rsidR="1952DFF5" w:rsidRPr="00081629">
        <w:rPr>
          <w:rFonts w:ascii="Times New Roman" w:hAnsi="Times New Roman" w:cs="Times New Roman"/>
          <w:sz w:val="20"/>
          <w:szCs w:val="20"/>
          <w:lang w:val="en-GB"/>
        </w:rPr>
        <w:t xml:space="preserve"> </w:t>
      </w:r>
      <w:r w:rsidR="00B1016C" w:rsidRPr="00081629">
        <w:rPr>
          <w:rFonts w:ascii="Times New Roman" w:hAnsi="Times New Roman" w:cs="Times New Roman"/>
          <w:sz w:val="20"/>
          <w:szCs w:val="20"/>
          <w:lang w:val="en-GB"/>
        </w:rPr>
        <w:t>j</w:t>
      </w:r>
      <w:r w:rsidR="1952DFF5" w:rsidRPr="00081629">
        <w:rPr>
          <w:rFonts w:ascii="Times New Roman" w:hAnsi="Times New Roman" w:cs="Times New Roman"/>
          <w:sz w:val="20"/>
          <w:szCs w:val="20"/>
          <w:lang w:val="en-GB"/>
        </w:rPr>
        <w:t xml:space="preserve">udgment </w:t>
      </w:r>
      <w:r w:rsidR="00B1016C" w:rsidRPr="00081629">
        <w:rPr>
          <w:rFonts w:ascii="Times New Roman" w:hAnsi="Times New Roman" w:cs="Times New Roman"/>
          <w:sz w:val="20"/>
          <w:szCs w:val="20"/>
          <w:lang w:val="en-GB"/>
        </w:rPr>
        <w:t xml:space="preserve">of </w:t>
      </w:r>
      <w:r w:rsidR="6CFE7BE2" w:rsidRPr="00081629">
        <w:rPr>
          <w:rFonts w:ascii="Times New Roman" w:hAnsi="Times New Roman" w:cs="Times New Roman"/>
          <w:sz w:val="20"/>
          <w:szCs w:val="20"/>
          <w:lang w:val="en-GB"/>
        </w:rPr>
        <w:t xml:space="preserve">the </w:t>
      </w:r>
      <w:r w:rsidR="7260EA80" w:rsidRPr="00081629">
        <w:rPr>
          <w:rFonts w:ascii="Times New Roman" w:hAnsi="Times New Roman" w:cs="Times New Roman"/>
          <w:sz w:val="20"/>
          <w:szCs w:val="20"/>
          <w:lang w:val="en-GB"/>
        </w:rPr>
        <w:t>Provincial Court</w:t>
      </w:r>
      <w:r w:rsidR="1952DFF5" w:rsidRPr="00081629">
        <w:rPr>
          <w:rFonts w:ascii="Times New Roman" w:hAnsi="Times New Roman" w:cs="Times New Roman"/>
          <w:sz w:val="20"/>
          <w:szCs w:val="20"/>
          <w:lang w:val="en-GB"/>
        </w:rPr>
        <w:t xml:space="preserve"> of Madrid</w:t>
      </w:r>
      <w:r w:rsidR="775CD992" w:rsidRPr="00081629">
        <w:rPr>
          <w:rFonts w:ascii="Times New Roman" w:hAnsi="Times New Roman" w:cs="Times New Roman"/>
          <w:sz w:val="20"/>
          <w:szCs w:val="20"/>
          <w:lang w:val="en-GB"/>
        </w:rPr>
        <w:t xml:space="preserve"> dated 28 </w:t>
      </w:r>
      <w:r w:rsidR="09E0D4F2" w:rsidRPr="00081629">
        <w:rPr>
          <w:rFonts w:ascii="Times New Roman" w:hAnsi="Times New Roman" w:cs="Times New Roman"/>
          <w:sz w:val="20"/>
          <w:szCs w:val="20"/>
          <w:lang w:val="en-GB"/>
        </w:rPr>
        <w:t>October</w:t>
      </w:r>
      <w:r w:rsidR="775CD992" w:rsidRPr="00081629">
        <w:rPr>
          <w:rFonts w:ascii="Times New Roman" w:hAnsi="Times New Roman" w:cs="Times New Roman"/>
          <w:sz w:val="20"/>
          <w:szCs w:val="20"/>
          <w:lang w:val="en-GB"/>
        </w:rPr>
        <w:t xml:space="preserve"> 2011</w:t>
      </w:r>
      <w:r w:rsidR="00602880" w:rsidRPr="00081629">
        <w:rPr>
          <w:rFonts w:ascii="Times New Roman" w:hAnsi="Times New Roman" w:cs="Times New Roman"/>
          <w:sz w:val="20"/>
          <w:szCs w:val="20"/>
          <w:lang w:val="en-GB"/>
        </w:rPr>
        <w:t xml:space="preserve"> </w:t>
      </w:r>
      <w:r w:rsidR="775CD992" w:rsidRPr="00081629">
        <w:rPr>
          <w:rFonts w:ascii="Times New Roman" w:hAnsi="Times New Roman" w:cs="Times New Roman"/>
          <w:sz w:val="20"/>
          <w:szCs w:val="20"/>
          <w:lang w:val="en-GB"/>
        </w:rPr>
        <w:t>(ECLI:</w:t>
      </w:r>
      <w:bookmarkStart w:id="8" w:name="_Int_CrSFftSC"/>
      <w:r w:rsidR="775CD992" w:rsidRPr="00081629">
        <w:rPr>
          <w:rFonts w:ascii="Times New Roman" w:hAnsi="Times New Roman" w:cs="Times New Roman"/>
          <w:sz w:val="20"/>
          <w:szCs w:val="20"/>
          <w:lang w:val="en-GB"/>
        </w:rPr>
        <w:t>ES</w:t>
      </w:r>
      <w:r w:rsidR="1A566369" w:rsidRPr="00081629">
        <w:rPr>
          <w:rFonts w:ascii="Times New Roman" w:hAnsi="Times New Roman" w:cs="Times New Roman"/>
          <w:sz w:val="20"/>
          <w:szCs w:val="20"/>
          <w:lang w:val="en-GB"/>
        </w:rPr>
        <w:t>:</w:t>
      </w:r>
      <w:r w:rsidR="708929E3" w:rsidRPr="00081629">
        <w:rPr>
          <w:rFonts w:ascii="Times New Roman" w:eastAsia="Times New Roman" w:hAnsi="Times New Roman" w:cs="Times New Roman"/>
          <w:sz w:val="20"/>
          <w:szCs w:val="20"/>
          <w:lang w:val="en-GB"/>
        </w:rPr>
        <w:t>APM</w:t>
      </w:r>
      <w:bookmarkEnd w:id="8"/>
      <w:r w:rsidR="2567BE24" w:rsidRPr="00081629">
        <w:rPr>
          <w:rFonts w:ascii="Times New Roman" w:eastAsia="Times New Roman" w:hAnsi="Times New Roman" w:cs="Times New Roman"/>
          <w:sz w:val="20"/>
          <w:szCs w:val="20"/>
          <w:lang w:val="en-GB"/>
        </w:rPr>
        <w:t>:2011:15141)</w:t>
      </w:r>
      <w:r w:rsidR="1952DFF5" w:rsidRPr="00081629">
        <w:rPr>
          <w:rFonts w:ascii="Times New Roman" w:hAnsi="Times New Roman" w:cs="Times New Roman"/>
          <w:sz w:val="20"/>
          <w:szCs w:val="20"/>
          <w:lang w:val="en-GB"/>
        </w:rPr>
        <w:t xml:space="preserve"> also follows the same reasoning</w:t>
      </w:r>
      <w:r w:rsidRPr="00081629">
        <w:rPr>
          <w:rFonts w:ascii="Times New Roman" w:hAnsi="Times New Roman" w:cs="Times New Roman"/>
          <w:sz w:val="20"/>
          <w:szCs w:val="20"/>
          <w:lang w:val="en-GB"/>
        </w:rPr>
        <w:t>:</w:t>
      </w:r>
      <w:r w:rsidR="00B1016C" w:rsidRPr="00081629">
        <w:rPr>
          <w:rFonts w:ascii="Times New Roman" w:hAnsi="Times New Roman" w:cs="Times New Roman"/>
          <w:sz w:val="20"/>
          <w:szCs w:val="20"/>
          <w:lang w:val="en-GB"/>
        </w:rPr>
        <w:t xml:space="preserve"> in order</w:t>
      </w:r>
      <w:r w:rsidRPr="00081629">
        <w:rPr>
          <w:rFonts w:ascii="Times New Roman" w:hAnsi="Times New Roman" w:cs="Times New Roman"/>
          <w:sz w:val="20"/>
          <w:szCs w:val="20"/>
          <w:lang w:val="en-GB"/>
        </w:rPr>
        <w:t xml:space="preserve"> t</w:t>
      </w:r>
      <w:r w:rsidR="6422F762" w:rsidRPr="00081629">
        <w:rPr>
          <w:rFonts w:ascii="Times New Roman" w:hAnsi="Times New Roman" w:cs="Times New Roman"/>
          <w:sz w:val="20"/>
          <w:szCs w:val="20"/>
          <w:lang w:val="en-GB"/>
        </w:rPr>
        <w:t xml:space="preserve">o properly consider any of </w:t>
      </w:r>
      <w:r w:rsidR="00D45D6A" w:rsidRPr="00081629">
        <w:rPr>
          <w:rFonts w:ascii="Times New Roman" w:hAnsi="Times New Roman" w:cs="Times New Roman"/>
          <w:sz w:val="20"/>
          <w:szCs w:val="20"/>
          <w:lang w:val="en-GB"/>
        </w:rPr>
        <w:t>these factors</w:t>
      </w:r>
      <w:r w:rsidR="6422F762" w:rsidRPr="00081629">
        <w:rPr>
          <w:rFonts w:ascii="Times New Roman" w:hAnsi="Times New Roman" w:cs="Times New Roman"/>
          <w:sz w:val="20"/>
          <w:szCs w:val="20"/>
          <w:lang w:val="en-GB"/>
        </w:rPr>
        <w:t>, it is necessary to first define the relevant market.</w:t>
      </w:r>
    </w:p>
    <w:p w14:paraId="4555E6DB"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Notwithstanding this, </w:t>
      </w:r>
      <w:r w:rsidR="00837B9E" w:rsidRPr="00081629">
        <w:rPr>
          <w:rFonts w:ascii="Times New Roman" w:hAnsi="Times New Roman" w:cs="Times New Roman"/>
          <w:sz w:val="20"/>
          <w:szCs w:val="20"/>
          <w:lang w:val="en-GB"/>
        </w:rPr>
        <w:t>the</w:t>
      </w:r>
      <w:r w:rsidRPr="00081629">
        <w:rPr>
          <w:rFonts w:ascii="Times New Roman" w:hAnsi="Times New Roman" w:cs="Times New Roman"/>
          <w:sz w:val="20"/>
          <w:szCs w:val="20"/>
          <w:lang w:val="en-GB"/>
        </w:rPr>
        <w:t xml:space="preserve"> Courts have been flexible when assessing the alternatives of the dependent company, not just in the relevant market, but also in other related markets. Therefore, though not said expressly, the alternatives could be outside the relevant market if such </w:t>
      </w:r>
      <w:bookmarkStart w:id="9" w:name="_Int_XrJmzdBR"/>
      <w:r w:rsidRPr="00081629">
        <w:rPr>
          <w:rFonts w:ascii="Times New Roman" w:hAnsi="Times New Roman" w:cs="Times New Roman"/>
          <w:sz w:val="20"/>
          <w:szCs w:val="20"/>
          <w:lang w:val="en-GB"/>
        </w:rPr>
        <w:t>market</w:t>
      </w:r>
      <w:bookmarkEnd w:id="9"/>
      <w:r w:rsidRPr="00081629">
        <w:rPr>
          <w:rFonts w:ascii="Times New Roman" w:hAnsi="Times New Roman" w:cs="Times New Roman"/>
          <w:sz w:val="20"/>
          <w:szCs w:val="20"/>
          <w:lang w:val="en-GB"/>
        </w:rPr>
        <w:t xml:space="preserve"> was defined </w:t>
      </w:r>
      <w:r w:rsidR="00D45D6A" w:rsidRPr="00081629">
        <w:rPr>
          <w:rFonts w:ascii="Times New Roman" w:hAnsi="Times New Roman" w:cs="Times New Roman"/>
          <w:sz w:val="20"/>
          <w:szCs w:val="20"/>
          <w:lang w:val="en-GB"/>
        </w:rPr>
        <w:t>only by</w:t>
      </w:r>
      <w:r w:rsidRPr="00081629">
        <w:rPr>
          <w:rFonts w:ascii="Times New Roman" w:hAnsi="Times New Roman" w:cs="Times New Roman"/>
          <w:sz w:val="20"/>
          <w:szCs w:val="20"/>
          <w:lang w:val="en-GB"/>
        </w:rPr>
        <w:t xml:space="preserve"> addressing the current line of work and </w:t>
      </w:r>
      <w:bookmarkStart w:id="10" w:name="_Int_0DeuCuUm"/>
      <w:r w:rsidRPr="00081629">
        <w:rPr>
          <w:rFonts w:ascii="Times New Roman" w:hAnsi="Times New Roman" w:cs="Times New Roman"/>
          <w:sz w:val="20"/>
          <w:szCs w:val="20"/>
          <w:lang w:val="en-GB"/>
        </w:rPr>
        <w:t>not</w:t>
      </w:r>
      <w:bookmarkEnd w:id="10"/>
      <w:r w:rsidRPr="00081629">
        <w:rPr>
          <w:rFonts w:ascii="Times New Roman" w:hAnsi="Times New Roman" w:cs="Times New Roman"/>
          <w:sz w:val="20"/>
          <w:szCs w:val="20"/>
          <w:lang w:val="en-GB"/>
        </w:rPr>
        <w:t xml:space="preserve"> other potential activities that the company could reasonably perform. </w:t>
      </w:r>
    </w:p>
    <w:p w14:paraId="0B863C53"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This is relevant, as the relevant market is </w:t>
      </w:r>
      <w:r w:rsidR="00D45D6A" w:rsidRPr="00081629">
        <w:rPr>
          <w:rFonts w:ascii="Times New Roman" w:hAnsi="Times New Roman" w:cs="Times New Roman"/>
          <w:sz w:val="20"/>
          <w:szCs w:val="20"/>
          <w:lang w:val="en-GB"/>
        </w:rPr>
        <w:t>defined by</w:t>
      </w:r>
      <w:r w:rsidRPr="00081629">
        <w:rPr>
          <w:rFonts w:ascii="Times New Roman" w:hAnsi="Times New Roman" w:cs="Times New Roman"/>
          <w:sz w:val="20"/>
          <w:szCs w:val="20"/>
          <w:lang w:val="en-GB"/>
        </w:rPr>
        <w:t xml:space="preserve"> accounting the different markets where a company can be present, not just the market where the contract with the defendant lies. </w:t>
      </w:r>
    </w:p>
    <w:p w14:paraId="37C4EAAF" w14:textId="77777777" w:rsidR="00A026C1" w:rsidRPr="00081629" w:rsidRDefault="00A026C1" w:rsidP="00930BE2">
      <w:pPr>
        <w:spacing w:line="276" w:lineRule="auto"/>
        <w:jc w:val="both"/>
        <w:rPr>
          <w:rFonts w:ascii="Times New Roman" w:hAnsi="Times New Roman" w:cs="Times New Roman"/>
          <w:sz w:val="20"/>
          <w:szCs w:val="20"/>
          <w:lang w:val="en-GB"/>
        </w:rPr>
      </w:pPr>
    </w:p>
    <w:p w14:paraId="186C0DB3" w14:textId="77777777" w:rsidR="00A026C1" w:rsidRPr="00081629" w:rsidRDefault="00A026C1"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2.3. Lack of equivalent alternatives</w:t>
      </w:r>
    </w:p>
    <w:p w14:paraId="04564281" w14:textId="72AB72EE" w:rsidR="00A026C1" w:rsidRPr="00081629" w:rsidRDefault="00A026C1"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The assessment of alternatives has been for the most part unsuccessful for claimants, who must prove their lack of an equivalent alternative. There are no fixed criteria to determine whether a company has alternatives, as this must be studied on a case-by-case basis. To illustrate the difficulty of </w:t>
      </w:r>
      <w:r w:rsidR="00B1016C" w:rsidRPr="48D21451">
        <w:rPr>
          <w:rFonts w:ascii="Times New Roman" w:hAnsi="Times New Roman" w:cs="Times New Roman"/>
          <w:sz w:val="20"/>
          <w:szCs w:val="20"/>
          <w:lang w:val="en-GB"/>
        </w:rPr>
        <w:t xml:space="preserve">the </w:t>
      </w:r>
      <w:r w:rsidRPr="48D21451">
        <w:rPr>
          <w:rFonts w:ascii="Times New Roman" w:hAnsi="Times New Roman" w:cs="Times New Roman"/>
          <w:sz w:val="20"/>
          <w:szCs w:val="20"/>
          <w:lang w:val="en-GB"/>
        </w:rPr>
        <w:t xml:space="preserve">claimants’ burden of proof, the </w:t>
      </w:r>
      <w:r w:rsidR="00B1016C" w:rsidRPr="48D21451">
        <w:rPr>
          <w:rFonts w:ascii="Times New Roman" w:hAnsi="Times New Roman" w:cs="Times New Roman"/>
          <w:sz w:val="20"/>
          <w:szCs w:val="20"/>
          <w:lang w:val="en-GB"/>
        </w:rPr>
        <w:t xml:space="preserve">judgment of the </w:t>
      </w:r>
      <w:r w:rsidR="2B6E41DB" w:rsidRPr="48D21451">
        <w:rPr>
          <w:rFonts w:ascii="Times New Roman" w:hAnsi="Times New Roman" w:cs="Times New Roman"/>
          <w:sz w:val="20"/>
          <w:szCs w:val="20"/>
          <w:lang w:val="en-GB"/>
        </w:rPr>
        <w:t>Provincial Court</w:t>
      </w:r>
      <w:r w:rsidRPr="48D21451">
        <w:rPr>
          <w:rFonts w:ascii="Times New Roman" w:hAnsi="Times New Roman" w:cs="Times New Roman"/>
          <w:sz w:val="20"/>
          <w:szCs w:val="20"/>
          <w:lang w:val="en-GB"/>
        </w:rPr>
        <w:t xml:space="preserve"> of Madrid dated 25 July 2024 (ECLI:</w:t>
      </w:r>
      <w:bookmarkStart w:id="11" w:name="_Int_Z4X2rgJs"/>
      <w:r w:rsidRPr="48D21451">
        <w:rPr>
          <w:rFonts w:ascii="Times New Roman" w:hAnsi="Times New Roman" w:cs="Times New Roman"/>
          <w:sz w:val="20"/>
          <w:szCs w:val="20"/>
          <w:lang w:val="en-GB"/>
        </w:rPr>
        <w:t>ES:APM</w:t>
      </w:r>
      <w:bookmarkEnd w:id="11"/>
      <w:r w:rsidRPr="48D21451">
        <w:rPr>
          <w:rFonts w:ascii="Times New Roman" w:hAnsi="Times New Roman" w:cs="Times New Roman"/>
          <w:sz w:val="20"/>
          <w:szCs w:val="20"/>
          <w:lang w:val="en-GB"/>
        </w:rPr>
        <w:t xml:space="preserve">:2024:10789) </w:t>
      </w:r>
      <w:r w:rsidR="1BA31E4F" w:rsidRPr="48D21451">
        <w:rPr>
          <w:rFonts w:ascii="Times New Roman" w:hAnsi="Times New Roman" w:cs="Times New Roman"/>
          <w:sz w:val="20"/>
          <w:szCs w:val="20"/>
          <w:lang w:val="en-GB"/>
        </w:rPr>
        <w:t>analyses</w:t>
      </w:r>
      <w:r w:rsidRPr="48D21451">
        <w:rPr>
          <w:rFonts w:ascii="Times New Roman" w:hAnsi="Times New Roman" w:cs="Times New Roman"/>
          <w:sz w:val="20"/>
          <w:szCs w:val="20"/>
          <w:lang w:val="en-GB"/>
        </w:rPr>
        <w:t xml:space="preserve"> a case in the food products transportation market: </w:t>
      </w:r>
    </w:p>
    <w:p w14:paraId="7C42045C" w14:textId="77777777" w:rsidR="00A026C1" w:rsidRPr="00081629" w:rsidRDefault="1952DFF5"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w:t>
      </w:r>
      <w:r w:rsidR="00B1016C" w:rsidRPr="00081629">
        <w:rPr>
          <w:rFonts w:ascii="Times New Roman" w:hAnsi="Times New Roman" w:cs="Times New Roman"/>
          <w:sz w:val="20"/>
          <w:szCs w:val="20"/>
          <w:lang w:val="en-GB"/>
        </w:rPr>
        <w:t xml:space="preserve">claimant </w:t>
      </w:r>
      <w:r w:rsidRPr="00081629">
        <w:rPr>
          <w:rFonts w:ascii="Times New Roman" w:hAnsi="Times New Roman" w:cs="Times New Roman"/>
          <w:sz w:val="20"/>
          <w:szCs w:val="20"/>
          <w:lang w:val="en-GB"/>
        </w:rPr>
        <w:t xml:space="preserve">carried out practically all its activity with the defendant, a supermarket retail chain. The trucks used for transportation were adapted to the supermarket's requirements and labeled with its logo. </w:t>
      </w:r>
      <w:r w:rsidR="00B33B3A" w:rsidRPr="00081629">
        <w:rPr>
          <w:rFonts w:ascii="Times New Roman" w:hAnsi="Times New Roman" w:cs="Times New Roman"/>
          <w:sz w:val="20"/>
          <w:szCs w:val="20"/>
          <w:lang w:val="en-GB"/>
        </w:rPr>
        <w:t>Consequently</w:t>
      </w:r>
      <w:r w:rsidRPr="00081629">
        <w:rPr>
          <w:rFonts w:ascii="Times New Roman" w:hAnsi="Times New Roman" w:cs="Times New Roman"/>
          <w:sz w:val="20"/>
          <w:szCs w:val="20"/>
          <w:lang w:val="en-GB"/>
        </w:rPr>
        <w:t xml:space="preserve">, the trucks that transported food products </w:t>
      </w:r>
      <w:bookmarkStart w:id="12" w:name="_Int_7kaBxpxj"/>
      <w:r w:rsidRPr="00081629">
        <w:rPr>
          <w:rFonts w:ascii="Times New Roman" w:hAnsi="Times New Roman" w:cs="Times New Roman"/>
          <w:sz w:val="20"/>
          <w:szCs w:val="20"/>
          <w:lang w:val="en-GB"/>
        </w:rPr>
        <w:t>for</w:t>
      </w:r>
      <w:bookmarkEnd w:id="12"/>
      <w:r w:rsidRPr="00081629">
        <w:rPr>
          <w:rFonts w:ascii="Times New Roman" w:hAnsi="Times New Roman" w:cs="Times New Roman"/>
          <w:sz w:val="20"/>
          <w:szCs w:val="20"/>
          <w:lang w:val="en-GB"/>
        </w:rPr>
        <w:t xml:space="preserve"> this supermarket could not be used </w:t>
      </w:r>
      <w:r w:rsidR="00B1016C" w:rsidRPr="00081629">
        <w:rPr>
          <w:rFonts w:ascii="Times New Roman" w:hAnsi="Times New Roman" w:cs="Times New Roman"/>
          <w:sz w:val="20"/>
          <w:szCs w:val="20"/>
          <w:lang w:val="en-GB"/>
        </w:rPr>
        <w:t xml:space="preserve">to provide </w:t>
      </w:r>
      <w:r w:rsidRPr="00081629">
        <w:rPr>
          <w:rFonts w:ascii="Times New Roman" w:hAnsi="Times New Roman" w:cs="Times New Roman"/>
          <w:sz w:val="20"/>
          <w:szCs w:val="20"/>
          <w:lang w:val="en-GB"/>
        </w:rPr>
        <w:t xml:space="preserve">transport services </w:t>
      </w:r>
      <w:r w:rsidR="00B1016C" w:rsidRPr="00081629">
        <w:rPr>
          <w:rFonts w:ascii="Times New Roman" w:hAnsi="Times New Roman" w:cs="Times New Roman"/>
          <w:sz w:val="20"/>
          <w:szCs w:val="20"/>
          <w:lang w:val="en-GB"/>
        </w:rPr>
        <w:t xml:space="preserve">for </w:t>
      </w:r>
      <w:r w:rsidRPr="00081629">
        <w:rPr>
          <w:rFonts w:ascii="Times New Roman" w:hAnsi="Times New Roman" w:cs="Times New Roman"/>
          <w:sz w:val="20"/>
          <w:szCs w:val="20"/>
          <w:lang w:val="en-GB"/>
        </w:rPr>
        <w:t xml:space="preserve">other companies. In other words, part of the truck fleet </w:t>
      </w:r>
      <w:r w:rsidR="00735DCC" w:rsidRPr="00081629">
        <w:rPr>
          <w:rFonts w:ascii="Times New Roman" w:hAnsi="Times New Roman" w:cs="Times New Roman"/>
          <w:sz w:val="20"/>
          <w:szCs w:val="20"/>
          <w:lang w:val="en-GB"/>
        </w:rPr>
        <w:t>was exclusively used</w:t>
      </w:r>
      <w:r w:rsidRPr="00081629">
        <w:rPr>
          <w:rFonts w:ascii="Times New Roman" w:hAnsi="Times New Roman" w:cs="Times New Roman"/>
          <w:sz w:val="20"/>
          <w:szCs w:val="20"/>
          <w:lang w:val="en-GB"/>
        </w:rPr>
        <w:t xml:space="preserve"> </w:t>
      </w:r>
      <w:r w:rsidR="00211BC2" w:rsidRPr="00081629">
        <w:rPr>
          <w:rFonts w:ascii="Times New Roman" w:hAnsi="Times New Roman" w:cs="Times New Roman"/>
          <w:sz w:val="20"/>
          <w:szCs w:val="20"/>
          <w:lang w:val="en-GB"/>
        </w:rPr>
        <w:t>by</w:t>
      </w:r>
      <w:r w:rsidRPr="00081629">
        <w:rPr>
          <w:rFonts w:ascii="Times New Roman" w:hAnsi="Times New Roman" w:cs="Times New Roman"/>
          <w:sz w:val="20"/>
          <w:szCs w:val="20"/>
          <w:lang w:val="en-GB"/>
        </w:rPr>
        <w:t xml:space="preserve"> the retailer</w:t>
      </w:r>
      <w:r w:rsidR="00B33B3A" w:rsidRPr="00081629">
        <w:rPr>
          <w:rFonts w:ascii="Times New Roman" w:hAnsi="Times New Roman" w:cs="Times New Roman"/>
          <w:sz w:val="20"/>
          <w:szCs w:val="20"/>
          <w:lang w:val="en-GB"/>
        </w:rPr>
        <w:t xml:space="preserve"> even if no exclusivity clause was contained in the agreement</w:t>
      </w:r>
      <w:r w:rsidRPr="00081629">
        <w:rPr>
          <w:rFonts w:ascii="Times New Roman" w:hAnsi="Times New Roman" w:cs="Times New Roman"/>
          <w:sz w:val="20"/>
          <w:szCs w:val="20"/>
          <w:lang w:val="en-GB"/>
        </w:rPr>
        <w:t xml:space="preserve">. Although the plaintiff </w:t>
      </w:r>
      <w:r w:rsidR="00B1016C" w:rsidRPr="00081629">
        <w:rPr>
          <w:rFonts w:ascii="Times New Roman" w:hAnsi="Times New Roman" w:cs="Times New Roman"/>
          <w:sz w:val="20"/>
          <w:szCs w:val="20"/>
          <w:lang w:val="en-GB"/>
        </w:rPr>
        <w:t xml:space="preserve">claimed </w:t>
      </w:r>
      <w:r w:rsidRPr="00081629">
        <w:rPr>
          <w:rFonts w:ascii="Times New Roman" w:hAnsi="Times New Roman" w:cs="Times New Roman"/>
          <w:sz w:val="20"/>
          <w:szCs w:val="20"/>
          <w:lang w:val="en-GB"/>
        </w:rPr>
        <w:t xml:space="preserve">that it would be difficult to recondition the trucks </w:t>
      </w:r>
      <w:r w:rsidR="79E86037" w:rsidRPr="00081629">
        <w:rPr>
          <w:rFonts w:ascii="Times New Roman" w:hAnsi="Times New Roman" w:cs="Times New Roman"/>
          <w:sz w:val="20"/>
          <w:szCs w:val="20"/>
          <w:lang w:val="en-GB"/>
        </w:rPr>
        <w:t>to</w:t>
      </w:r>
      <w:r w:rsidRPr="00081629">
        <w:rPr>
          <w:rFonts w:ascii="Times New Roman" w:hAnsi="Times New Roman" w:cs="Times New Roman"/>
          <w:sz w:val="20"/>
          <w:szCs w:val="20"/>
          <w:lang w:val="en-GB"/>
        </w:rPr>
        <w:t xml:space="preserve"> provide services to another company, the Court </w:t>
      </w:r>
      <w:r w:rsidR="00B1016C" w:rsidRPr="00081629">
        <w:rPr>
          <w:rFonts w:ascii="Times New Roman" w:hAnsi="Times New Roman" w:cs="Times New Roman"/>
          <w:sz w:val="20"/>
          <w:szCs w:val="20"/>
          <w:lang w:val="en-GB"/>
        </w:rPr>
        <w:t xml:space="preserve">found </w:t>
      </w:r>
      <w:r w:rsidRPr="00081629">
        <w:rPr>
          <w:rFonts w:ascii="Times New Roman" w:hAnsi="Times New Roman" w:cs="Times New Roman"/>
          <w:sz w:val="20"/>
          <w:szCs w:val="20"/>
          <w:lang w:val="en-GB"/>
        </w:rPr>
        <w:t xml:space="preserve">that there is no sufficient evidence of a lack of reasonable alternatives, which prevents the Court from establishing economic dependence </w:t>
      </w:r>
      <w:r w:rsidR="68F011E0" w:rsidRPr="00081629">
        <w:rPr>
          <w:rFonts w:ascii="Times New Roman" w:hAnsi="Times New Roman" w:cs="Times New Roman"/>
          <w:sz w:val="20"/>
          <w:szCs w:val="20"/>
          <w:lang w:val="en-GB"/>
        </w:rPr>
        <w:t xml:space="preserve">of the transport company </w:t>
      </w:r>
      <w:r w:rsidRPr="00081629">
        <w:rPr>
          <w:rFonts w:ascii="Times New Roman" w:hAnsi="Times New Roman" w:cs="Times New Roman"/>
          <w:sz w:val="20"/>
          <w:szCs w:val="20"/>
          <w:lang w:val="en-GB"/>
        </w:rPr>
        <w:t>on the supermarket. </w:t>
      </w:r>
    </w:p>
    <w:p w14:paraId="721A24F0" w14:textId="4CCDEDA5" w:rsidR="00D45D6A" w:rsidRPr="00081629" w:rsidRDefault="37831CFC" w:rsidP="48D21451">
      <w:pPr>
        <w:spacing w:line="276" w:lineRule="auto"/>
        <w:jc w:val="both"/>
        <w:rPr>
          <w:rStyle w:val="Refdenotaalpie"/>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existence of an alternative is not in itself sufficient to rule out a situation of economic dependence; the alternative must also be equivalent. This notion of equivalence involves two interrelated elements: </w:t>
      </w:r>
      <w:r w:rsidR="001143E5" w:rsidRPr="00081629">
        <w:rPr>
          <w:rFonts w:ascii="Times New Roman" w:hAnsi="Times New Roman" w:cs="Times New Roman"/>
          <w:sz w:val="20"/>
          <w:szCs w:val="20"/>
          <w:lang w:val="en-GB"/>
        </w:rPr>
        <w:t xml:space="preserve">(i) </w:t>
      </w:r>
      <w:r w:rsidRPr="00081629">
        <w:rPr>
          <w:rFonts w:ascii="Times New Roman" w:hAnsi="Times New Roman" w:cs="Times New Roman"/>
          <w:sz w:val="20"/>
          <w:szCs w:val="20"/>
          <w:lang w:val="en-GB"/>
        </w:rPr>
        <w:t>sufficiency</w:t>
      </w:r>
      <w:r w:rsidR="001143E5" w:rsidRPr="00081629">
        <w:rPr>
          <w:rFonts w:ascii="Times New Roman" w:hAnsi="Times New Roman" w:cs="Times New Roman"/>
          <w:sz w:val="20"/>
          <w:szCs w:val="20"/>
          <w:lang w:val="en-GB"/>
        </w:rPr>
        <w:t>, referring to</w:t>
      </w:r>
      <w:r w:rsidRPr="00081629">
        <w:rPr>
          <w:rFonts w:ascii="Times New Roman" w:hAnsi="Times New Roman" w:cs="Times New Roman"/>
          <w:sz w:val="20"/>
          <w:szCs w:val="20"/>
          <w:lang w:val="en-GB"/>
        </w:rPr>
        <w:t xml:space="preserve"> </w:t>
      </w:r>
      <w:r w:rsidR="001143E5" w:rsidRPr="00081629">
        <w:rPr>
          <w:rFonts w:ascii="Times New Roman" w:hAnsi="Times New Roman" w:cs="Times New Roman"/>
          <w:sz w:val="20"/>
          <w:szCs w:val="20"/>
          <w:lang w:val="en-GB"/>
        </w:rPr>
        <w:t xml:space="preserve">the objective capacity of the alternative to meet the essential commercial needs of a typical operator in the relevant market, particularly in quantitative terms, </w:t>
      </w:r>
      <w:r w:rsidRPr="00081629">
        <w:rPr>
          <w:rFonts w:ascii="Times New Roman" w:hAnsi="Times New Roman" w:cs="Times New Roman"/>
          <w:sz w:val="20"/>
          <w:szCs w:val="20"/>
          <w:lang w:val="en-GB"/>
        </w:rPr>
        <w:t xml:space="preserve">and </w:t>
      </w:r>
      <w:r w:rsidR="001143E5" w:rsidRPr="00081629">
        <w:rPr>
          <w:rFonts w:ascii="Times New Roman" w:hAnsi="Times New Roman" w:cs="Times New Roman"/>
          <w:sz w:val="20"/>
          <w:szCs w:val="20"/>
          <w:lang w:val="en-GB"/>
        </w:rPr>
        <w:t xml:space="preserve">(ii) </w:t>
      </w:r>
      <w:r w:rsidRPr="00081629">
        <w:rPr>
          <w:rFonts w:ascii="Times New Roman" w:hAnsi="Times New Roman" w:cs="Times New Roman"/>
          <w:sz w:val="20"/>
          <w:szCs w:val="20"/>
          <w:lang w:val="en-GB"/>
        </w:rPr>
        <w:t>reasonableness</w:t>
      </w:r>
      <w:r w:rsidR="001143E5" w:rsidRPr="00081629">
        <w:rPr>
          <w:rFonts w:ascii="Times New Roman" w:hAnsi="Times New Roman" w:cs="Times New Roman"/>
          <w:sz w:val="20"/>
          <w:szCs w:val="20"/>
          <w:lang w:val="en-GB"/>
        </w:rPr>
        <w:t>, which, in turn, considers the specific circumstances of the allegedly dependent undertaking, assessing whether the alternative can be used without undermining its competitive viability</w:t>
      </w:r>
      <w:r w:rsidR="567466B4" w:rsidRPr="00081629">
        <w:rPr>
          <w:rFonts w:ascii="Times New Roman" w:hAnsi="Times New Roman" w:cs="Times New Roman"/>
          <w:sz w:val="20"/>
          <w:szCs w:val="20"/>
          <w:lang w:val="en-GB"/>
        </w:rPr>
        <w:t>.</w:t>
      </w:r>
    </w:p>
    <w:p w14:paraId="020A7311" w14:textId="2D853B13" w:rsidR="00D45D6A" w:rsidRPr="005D1973" w:rsidRDefault="567466B4" w:rsidP="00930BE2">
      <w:pPr>
        <w:spacing w:line="276" w:lineRule="auto"/>
        <w:jc w:val="both"/>
        <w:rPr>
          <w:lang w:val="en-US"/>
        </w:rPr>
      </w:pPr>
      <w:r w:rsidRPr="48D21451">
        <w:rPr>
          <w:rFonts w:ascii="Times New Roman" w:eastAsia="Times New Roman" w:hAnsi="Times New Roman" w:cs="Times New Roman"/>
          <w:sz w:val="20"/>
          <w:szCs w:val="20"/>
          <w:lang w:val="en-GB"/>
        </w:rPr>
        <w:t>This includes an analysis of factors such as increased costs, loss of know-how, investments tailored to the original relationship, contractual obligations like exclusivity or non-compete clauses, and potential loss of brand appeal. Even where alternatives exist and are quantitatively sufficient, they may not be reasonable if the costs of transition are disproportionate or would severely impair the firm's ability to compete.</w:t>
      </w:r>
    </w:p>
    <w:p w14:paraId="34B8C94E" w14:textId="77777777" w:rsidR="00A53856" w:rsidRPr="00081629" w:rsidRDefault="00537C4D"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These criteria </w:t>
      </w:r>
      <w:r w:rsidR="00211BC2" w:rsidRPr="00081629">
        <w:rPr>
          <w:rFonts w:ascii="Times New Roman" w:hAnsi="Times New Roman" w:cs="Times New Roman"/>
          <w:sz w:val="20"/>
          <w:szCs w:val="20"/>
          <w:lang w:val="en-GB"/>
        </w:rPr>
        <w:t xml:space="preserve">are </w:t>
      </w:r>
      <w:r w:rsidRPr="00081629">
        <w:rPr>
          <w:rFonts w:ascii="Times New Roman" w:hAnsi="Times New Roman" w:cs="Times New Roman"/>
          <w:sz w:val="20"/>
          <w:szCs w:val="20"/>
          <w:lang w:val="en-GB"/>
        </w:rPr>
        <w:t>especially relevant to assess</w:t>
      </w:r>
      <w:r w:rsidR="301D9DC2" w:rsidRPr="00081629">
        <w:rPr>
          <w:rFonts w:ascii="Times New Roman" w:hAnsi="Times New Roman" w:cs="Times New Roman"/>
          <w:sz w:val="20"/>
          <w:szCs w:val="20"/>
          <w:lang w:val="en-GB"/>
        </w:rPr>
        <w:t xml:space="preserve"> </w:t>
      </w:r>
      <w:r w:rsidR="161EB968" w:rsidRPr="00081629">
        <w:rPr>
          <w:rFonts w:ascii="Times New Roman" w:hAnsi="Times New Roman" w:cs="Times New Roman"/>
          <w:sz w:val="20"/>
          <w:szCs w:val="20"/>
          <w:lang w:val="en-GB"/>
        </w:rPr>
        <w:t>franchise agreements,</w:t>
      </w:r>
      <w:r w:rsidRPr="00081629">
        <w:rPr>
          <w:rFonts w:ascii="Times New Roman" w:hAnsi="Times New Roman" w:cs="Times New Roman"/>
          <w:sz w:val="20"/>
          <w:szCs w:val="20"/>
          <w:lang w:val="en-GB"/>
        </w:rPr>
        <w:t xml:space="preserve"> which,</w:t>
      </w:r>
      <w:r w:rsidR="161EB968" w:rsidRPr="00081629">
        <w:rPr>
          <w:rFonts w:ascii="Times New Roman" w:hAnsi="Times New Roman" w:cs="Times New Roman"/>
          <w:sz w:val="20"/>
          <w:szCs w:val="20"/>
          <w:lang w:val="en-GB"/>
        </w:rPr>
        <w:t xml:space="preserve"> despite being formally configured as a relationship between legally independent entrepreneurs, can give rise to situations of strong economic and functional links between the parties, particularly when there are exclusive supply clauses, specific non-reusable investments or intensive operational integration of the franchisee into the network.</w:t>
      </w:r>
    </w:p>
    <w:p w14:paraId="300F94A5" w14:textId="77777777" w:rsidR="003D4C2C" w:rsidRPr="00081629" w:rsidRDefault="161EB96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lastRenderedPageBreak/>
        <w:t xml:space="preserve">However, these characteristics do not automatically presume the existence of economic dependence but rather require a strict case-by-case assessment, focusing on whether the allegedly dependent operator lacks real and equivalent alternatives for carrying out its activity without suffering serious harm. </w:t>
      </w:r>
    </w:p>
    <w:p w14:paraId="60C65994" w14:textId="77777777" w:rsidR="00A53856" w:rsidRPr="00081629" w:rsidRDefault="161EB968"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existence of exclusivity, the transfer of a trademark, access to know-how, the adaptation of the image of the premises or even a post-contractual non-competition obligation are not sufficient to establish a situation of economic dependence and must be analysed in relation to the actual possibility of leaving the network without incurring a disproportionate economic cost.</w:t>
      </w:r>
      <w:r w:rsidR="6A544F4A"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Likewise, the fact that the franchisee acts on its own behalf and </w:t>
      </w:r>
      <w:r w:rsidR="003D4C2C" w:rsidRPr="00081629">
        <w:rPr>
          <w:rFonts w:ascii="Times New Roman" w:hAnsi="Times New Roman" w:cs="Times New Roman"/>
          <w:sz w:val="20"/>
          <w:szCs w:val="20"/>
          <w:lang w:val="en-GB"/>
        </w:rPr>
        <w:t>takes</w:t>
      </w:r>
      <w:r w:rsidRPr="00081629">
        <w:rPr>
          <w:rFonts w:ascii="Times New Roman" w:hAnsi="Times New Roman" w:cs="Times New Roman"/>
          <w:sz w:val="20"/>
          <w:szCs w:val="20"/>
          <w:lang w:val="en-GB"/>
        </w:rPr>
        <w:t xml:space="preserve"> </w:t>
      </w:r>
      <w:r w:rsidR="003D4C2C" w:rsidRPr="00081629">
        <w:rPr>
          <w:rFonts w:ascii="Times New Roman" w:hAnsi="Times New Roman" w:cs="Times New Roman"/>
          <w:sz w:val="20"/>
          <w:szCs w:val="20"/>
          <w:lang w:val="en-GB"/>
        </w:rPr>
        <w:t>business risks</w:t>
      </w:r>
      <w:r w:rsidRPr="00081629">
        <w:rPr>
          <w:rFonts w:ascii="Times New Roman" w:hAnsi="Times New Roman" w:cs="Times New Roman"/>
          <w:sz w:val="20"/>
          <w:szCs w:val="20"/>
          <w:lang w:val="en-GB"/>
        </w:rPr>
        <w:t xml:space="preserve"> is a relevant factor that reinforces its autonomy and makes it difficult for dependence to exist. </w:t>
      </w:r>
    </w:p>
    <w:p w14:paraId="3467623A" w14:textId="77777777" w:rsidR="00A53856" w:rsidRPr="00081629" w:rsidRDefault="161EB968" w:rsidP="00930BE2">
      <w:pPr>
        <w:spacing w:line="276" w:lineRule="auto"/>
        <w:jc w:val="both"/>
        <w:rPr>
          <w:rStyle w:val="Refdenotaalpie"/>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On the other hand, even when dependence is proven, not every exercise of power by the franchisor is unlawful. This </w:t>
      </w:r>
      <w:r w:rsidR="003D4C2C" w:rsidRPr="00081629">
        <w:rPr>
          <w:rFonts w:ascii="Times New Roman" w:hAnsi="Times New Roman" w:cs="Times New Roman"/>
          <w:sz w:val="20"/>
          <w:szCs w:val="20"/>
          <w:lang w:val="en-GB"/>
        </w:rPr>
        <w:t>limitation</w:t>
      </w:r>
      <w:r w:rsidRPr="00081629">
        <w:rPr>
          <w:rFonts w:ascii="Times New Roman" w:hAnsi="Times New Roman" w:cs="Times New Roman"/>
          <w:sz w:val="20"/>
          <w:szCs w:val="20"/>
          <w:lang w:val="en-GB"/>
        </w:rPr>
        <w:t xml:space="preserve"> acts as a guarantee to prevent the distortion of the competitive regime inherent in franchising.</w:t>
      </w:r>
      <w:r w:rsidR="00A53856" w:rsidRPr="00081629">
        <w:rPr>
          <w:rStyle w:val="Refdenotaalpie"/>
          <w:rFonts w:ascii="Times New Roman" w:hAnsi="Times New Roman" w:cs="Times New Roman"/>
          <w:sz w:val="20"/>
          <w:szCs w:val="20"/>
          <w:lang w:val="en-GB"/>
        </w:rPr>
        <w:footnoteReference w:id="13"/>
      </w:r>
    </w:p>
    <w:p w14:paraId="7D300E47" w14:textId="77777777" w:rsidR="003D4C2C" w:rsidRPr="00081629" w:rsidRDefault="291DF3D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A reasonable assessment of the existence and viability of alternatives is necessary. It is not enough for an alternative to exist in the abstract; it must be functional and economically feasible for the allegedly dependent company. For example, if the franchisee's activity is linked to the image of the network through a visible logo on its delivery truck</w:t>
      </w:r>
      <w:r w:rsidR="003D4C2C" w:rsidRPr="00081629">
        <w:rPr>
          <w:rFonts w:ascii="Times New Roman" w:hAnsi="Times New Roman" w:cs="Times New Roman"/>
          <w:sz w:val="20"/>
          <w:szCs w:val="20"/>
          <w:lang w:val="en-GB"/>
        </w:rPr>
        <w:t>, as it occurred in the case law mentioned</w:t>
      </w:r>
      <w:r w:rsidR="001143E5" w:rsidRPr="00081629">
        <w:rPr>
          <w:rFonts w:ascii="Times New Roman" w:hAnsi="Times New Roman" w:cs="Times New Roman"/>
          <w:sz w:val="20"/>
          <w:szCs w:val="20"/>
          <w:lang w:val="en-GB"/>
        </w:rPr>
        <w:t xml:space="preserve"> above</w:t>
      </w:r>
      <w:r w:rsidRPr="00081629">
        <w:rPr>
          <w:rFonts w:ascii="Times New Roman" w:hAnsi="Times New Roman" w:cs="Times New Roman"/>
          <w:sz w:val="20"/>
          <w:szCs w:val="20"/>
          <w:lang w:val="en-GB"/>
        </w:rPr>
        <w:t>, the need to change the logo could be considered a reasonable and low-cost adaptation, sufficient to rule out the existence of economic dependence</w:t>
      </w:r>
      <w:r w:rsidR="003D4C2C" w:rsidRPr="00081629">
        <w:rPr>
          <w:rFonts w:ascii="Times New Roman" w:hAnsi="Times New Roman" w:cs="Times New Roman"/>
          <w:sz w:val="20"/>
          <w:szCs w:val="20"/>
          <w:lang w:val="en-GB"/>
        </w:rPr>
        <w:t>, as case law has ruled</w:t>
      </w:r>
      <w:r w:rsidRPr="00081629">
        <w:rPr>
          <w:rFonts w:ascii="Times New Roman" w:hAnsi="Times New Roman" w:cs="Times New Roman"/>
          <w:sz w:val="20"/>
          <w:szCs w:val="20"/>
          <w:lang w:val="en-GB"/>
        </w:rPr>
        <w:t xml:space="preserve">. </w:t>
      </w:r>
    </w:p>
    <w:p w14:paraId="37A0B760" w14:textId="77777777" w:rsidR="001238D5" w:rsidRPr="00081629" w:rsidRDefault="003D4C2C"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Alternatively,</w:t>
      </w:r>
      <w:r w:rsidR="291DF3D2" w:rsidRPr="00081629">
        <w:rPr>
          <w:rFonts w:ascii="Times New Roman" w:hAnsi="Times New Roman" w:cs="Times New Roman"/>
          <w:sz w:val="20"/>
          <w:szCs w:val="20"/>
          <w:lang w:val="en-GB"/>
        </w:rPr>
        <w:t xml:space="preserve"> if leaving the network would involve the purchase of a new vehicle or the loss of specific investments of considerable value, the alternative could not be considered viable, and a situation of dependence could be found. What is relevant is not only the formal availability of other options, but their actual ability to allow the operator to continue its activity under comparable conditions and without suffering disproportionate harm.</w:t>
      </w:r>
    </w:p>
    <w:p w14:paraId="2BA7A1D6" w14:textId="33787A73" w:rsidR="001238D5" w:rsidRPr="00081629" w:rsidRDefault="1952DFF5"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Claimants have also tried to unsuccessfully justify the lack of an equivalent alternative based on non-economic factors such as reputational effects. It is interesting to mention the case </w:t>
      </w:r>
      <w:r w:rsidR="74A35B82" w:rsidRPr="48D21451">
        <w:rPr>
          <w:rFonts w:ascii="Times New Roman" w:hAnsi="Times New Roman" w:cs="Times New Roman"/>
          <w:sz w:val="20"/>
          <w:szCs w:val="20"/>
          <w:lang w:val="en-GB"/>
        </w:rPr>
        <w:t>analysed</w:t>
      </w:r>
      <w:r w:rsidRPr="48D21451">
        <w:rPr>
          <w:rFonts w:ascii="Times New Roman" w:hAnsi="Times New Roman" w:cs="Times New Roman"/>
          <w:sz w:val="20"/>
          <w:szCs w:val="20"/>
          <w:lang w:val="en-GB"/>
        </w:rPr>
        <w:t xml:space="preserve"> by the </w:t>
      </w:r>
      <w:r w:rsidR="47598CA7" w:rsidRPr="48D21451">
        <w:rPr>
          <w:rFonts w:ascii="Times New Roman" w:hAnsi="Times New Roman" w:cs="Times New Roman"/>
          <w:sz w:val="20"/>
          <w:szCs w:val="20"/>
          <w:lang w:val="en-GB"/>
        </w:rPr>
        <w:t>Provincial Court</w:t>
      </w:r>
      <w:r w:rsidRPr="48D21451">
        <w:rPr>
          <w:rFonts w:ascii="Times New Roman" w:hAnsi="Times New Roman" w:cs="Times New Roman"/>
          <w:sz w:val="20"/>
          <w:szCs w:val="20"/>
          <w:lang w:val="en-GB"/>
        </w:rPr>
        <w:t xml:space="preserve"> of Pontevedra </w:t>
      </w:r>
      <w:r w:rsidR="001143E5" w:rsidRPr="48D21451">
        <w:rPr>
          <w:rFonts w:ascii="Times New Roman" w:hAnsi="Times New Roman" w:cs="Times New Roman"/>
          <w:sz w:val="20"/>
          <w:szCs w:val="20"/>
          <w:lang w:val="en-GB"/>
        </w:rPr>
        <w:t>in its j</w:t>
      </w:r>
      <w:r w:rsidRPr="48D21451">
        <w:rPr>
          <w:rFonts w:ascii="Times New Roman" w:hAnsi="Times New Roman" w:cs="Times New Roman"/>
          <w:sz w:val="20"/>
          <w:szCs w:val="20"/>
          <w:lang w:val="en-GB"/>
        </w:rPr>
        <w:t>udgment dated 5 May 2016 (ECLI:</w:t>
      </w:r>
      <w:bookmarkStart w:id="13" w:name="_Int_Rl15WcSF"/>
      <w:r w:rsidRPr="48D21451">
        <w:rPr>
          <w:rFonts w:ascii="Times New Roman" w:hAnsi="Times New Roman" w:cs="Times New Roman"/>
          <w:sz w:val="20"/>
          <w:szCs w:val="20"/>
          <w:lang w:val="en-GB"/>
        </w:rPr>
        <w:t>ES:APPO</w:t>
      </w:r>
      <w:bookmarkEnd w:id="13"/>
      <w:r w:rsidRPr="48D21451">
        <w:rPr>
          <w:rFonts w:ascii="Times New Roman" w:hAnsi="Times New Roman" w:cs="Times New Roman"/>
          <w:sz w:val="20"/>
          <w:szCs w:val="20"/>
          <w:lang w:val="en-GB"/>
        </w:rPr>
        <w:t>:2016:642). The dispute occurred between a hospitality</w:t>
      </w:r>
      <w:r w:rsidR="001143E5" w:rsidRPr="48D21451">
        <w:rPr>
          <w:rFonts w:ascii="Times New Roman" w:hAnsi="Times New Roman" w:cs="Times New Roman"/>
          <w:sz w:val="20"/>
          <w:szCs w:val="20"/>
          <w:lang w:val="en-GB"/>
        </w:rPr>
        <w:t xml:space="preserve"> </w:t>
      </w:r>
      <w:r w:rsidR="79E86037" w:rsidRPr="48D21451">
        <w:rPr>
          <w:rFonts w:ascii="Times New Roman" w:hAnsi="Times New Roman" w:cs="Times New Roman"/>
          <w:sz w:val="20"/>
          <w:szCs w:val="20"/>
          <w:lang w:val="en-GB"/>
        </w:rPr>
        <w:t xml:space="preserve">establishment </w:t>
      </w:r>
      <w:r w:rsidRPr="48D21451">
        <w:rPr>
          <w:rFonts w:ascii="Times New Roman" w:hAnsi="Times New Roman" w:cs="Times New Roman"/>
          <w:sz w:val="20"/>
          <w:szCs w:val="20"/>
          <w:lang w:val="en-GB"/>
        </w:rPr>
        <w:t xml:space="preserve">and the company supplying beverages. The dispute revolved around certain economic conditions imposed by the supplier </w:t>
      </w:r>
      <w:r w:rsidR="00CA0392" w:rsidRPr="48D21451">
        <w:rPr>
          <w:rFonts w:ascii="Times New Roman" w:hAnsi="Times New Roman" w:cs="Times New Roman"/>
          <w:sz w:val="20"/>
          <w:szCs w:val="20"/>
          <w:lang w:val="en-GB"/>
        </w:rPr>
        <w:t>in relation to a specific</w:t>
      </w:r>
      <w:r w:rsidRPr="48D21451">
        <w:rPr>
          <w:rFonts w:ascii="Times New Roman" w:hAnsi="Times New Roman" w:cs="Times New Roman"/>
          <w:sz w:val="20"/>
          <w:szCs w:val="20"/>
          <w:lang w:val="en-GB"/>
        </w:rPr>
        <w:t xml:space="preserve"> a</w:t>
      </w:r>
      <w:r w:rsidR="00CA0392" w:rsidRPr="48D21451">
        <w:rPr>
          <w:rFonts w:ascii="Times New Roman" w:hAnsi="Times New Roman" w:cs="Times New Roman"/>
          <w:sz w:val="20"/>
          <w:szCs w:val="20"/>
          <w:lang w:val="en-GB"/>
        </w:rPr>
        <w:t>nd</w:t>
      </w:r>
      <w:r w:rsidRPr="48D21451">
        <w:rPr>
          <w:rFonts w:ascii="Times New Roman" w:hAnsi="Times New Roman" w:cs="Times New Roman"/>
          <w:sz w:val="20"/>
          <w:szCs w:val="20"/>
          <w:lang w:val="en-GB"/>
        </w:rPr>
        <w:t xml:space="preserve"> well-known</w:t>
      </w:r>
      <w:r w:rsidR="79E86037" w:rsidRPr="48D21451">
        <w:rPr>
          <w:rFonts w:ascii="Times New Roman" w:hAnsi="Times New Roman" w:cs="Times New Roman"/>
          <w:sz w:val="20"/>
          <w:szCs w:val="20"/>
          <w:lang w:val="en-GB"/>
        </w:rPr>
        <w:t xml:space="preserve"> Spanish</w:t>
      </w:r>
      <w:r w:rsidRPr="48D21451">
        <w:rPr>
          <w:rFonts w:ascii="Times New Roman" w:hAnsi="Times New Roman" w:cs="Times New Roman"/>
          <w:sz w:val="20"/>
          <w:szCs w:val="20"/>
          <w:lang w:val="en-GB"/>
        </w:rPr>
        <w:t xml:space="preserve"> beer brand, Estrella Galicia. The claimant, a Galician </w:t>
      </w:r>
      <w:r w:rsidR="79E86037" w:rsidRPr="48D21451">
        <w:rPr>
          <w:rFonts w:ascii="Times New Roman" w:hAnsi="Times New Roman" w:cs="Times New Roman"/>
          <w:sz w:val="20"/>
          <w:szCs w:val="20"/>
          <w:lang w:val="en-GB"/>
        </w:rPr>
        <w:t>establishment,</w:t>
      </w:r>
      <w:r w:rsidRPr="48D21451">
        <w:rPr>
          <w:rFonts w:ascii="Times New Roman" w:hAnsi="Times New Roman" w:cs="Times New Roman"/>
          <w:sz w:val="20"/>
          <w:szCs w:val="20"/>
          <w:lang w:val="en-GB"/>
        </w:rPr>
        <w:t xml:space="preserve"> argued that such beer was one of the most demanded </w:t>
      </w:r>
      <w:r w:rsidR="79E86037" w:rsidRPr="48D21451">
        <w:rPr>
          <w:rFonts w:ascii="Times New Roman" w:hAnsi="Times New Roman" w:cs="Times New Roman"/>
          <w:sz w:val="20"/>
          <w:szCs w:val="20"/>
          <w:lang w:val="en-GB"/>
        </w:rPr>
        <w:t>products</w:t>
      </w:r>
      <w:r w:rsidRPr="48D21451">
        <w:rPr>
          <w:rFonts w:ascii="Times New Roman" w:hAnsi="Times New Roman" w:cs="Times New Roman"/>
          <w:sz w:val="20"/>
          <w:szCs w:val="20"/>
          <w:lang w:val="en-GB"/>
        </w:rPr>
        <w:t xml:space="preserve"> by its clients, and that it was dependent on offering that specific brand. While it can be the case that certain brands and products have a special weight on sales, the alternative must be </w:t>
      </w:r>
      <w:r w:rsidR="2260ECF7" w:rsidRPr="48D21451">
        <w:rPr>
          <w:rFonts w:ascii="Times New Roman" w:hAnsi="Times New Roman" w:cs="Times New Roman"/>
          <w:sz w:val="20"/>
          <w:szCs w:val="20"/>
          <w:lang w:val="en-GB"/>
        </w:rPr>
        <w:t>analysed</w:t>
      </w:r>
      <w:r w:rsidRPr="48D21451">
        <w:rPr>
          <w:rFonts w:ascii="Times New Roman" w:hAnsi="Times New Roman" w:cs="Times New Roman"/>
          <w:sz w:val="20"/>
          <w:szCs w:val="20"/>
          <w:lang w:val="en-GB"/>
        </w:rPr>
        <w:t xml:space="preserve"> following the relevant market concerned, and </w:t>
      </w:r>
      <w:r w:rsidR="79E86037" w:rsidRPr="48D21451">
        <w:rPr>
          <w:rFonts w:ascii="Times New Roman" w:hAnsi="Times New Roman" w:cs="Times New Roman"/>
          <w:sz w:val="20"/>
          <w:szCs w:val="20"/>
          <w:lang w:val="en-GB"/>
        </w:rPr>
        <w:t>since</w:t>
      </w:r>
      <w:r w:rsidRPr="48D21451">
        <w:rPr>
          <w:rFonts w:ascii="Times New Roman" w:hAnsi="Times New Roman" w:cs="Times New Roman"/>
          <w:sz w:val="20"/>
          <w:szCs w:val="20"/>
          <w:lang w:val="en-GB"/>
        </w:rPr>
        <w:t xml:space="preserve"> that specific beer does not constitute a product </w:t>
      </w:r>
      <w:bookmarkStart w:id="14" w:name="_Int_WiPR0HZK"/>
      <w:r w:rsidRPr="48D21451">
        <w:rPr>
          <w:rFonts w:ascii="Times New Roman" w:hAnsi="Times New Roman" w:cs="Times New Roman"/>
          <w:sz w:val="20"/>
          <w:szCs w:val="20"/>
          <w:lang w:val="en-GB"/>
        </w:rPr>
        <w:t>market in itself, it</w:t>
      </w:r>
      <w:bookmarkEnd w:id="14"/>
      <w:r w:rsidRPr="48D21451">
        <w:rPr>
          <w:rFonts w:ascii="Times New Roman" w:hAnsi="Times New Roman" w:cs="Times New Roman"/>
          <w:sz w:val="20"/>
          <w:szCs w:val="20"/>
          <w:lang w:val="en-GB"/>
        </w:rPr>
        <w:t xml:space="preserve"> cannot be argued that there is an unfair competition infringement. </w:t>
      </w:r>
    </w:p>
    <w:p w14:paraId="58F85EEA" w14:textId="77777777" w:rsidR="001238D5" w:rsidRPr="00081629" w:rsidRDefault="00114DC2"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This case is a</w:t>
      </w:r>
      <w:r w:rsidR="7743F74C" w:rsidRPr="00081629">
        <w:rPr>
          <w:rFonts w:ascii="Times New Roman" w:hAnsi="Times New Roman" w:cs="Times New Roman"/>
          <w:sz w:val="20"/>
          <w:szCs w:val="20"/>
          <w:lang w:val="en-GB"/>
        </w:rPr>
        <w:t xml:space="preserve"> paradigmatic form of economic dependence </w:t>
      </w:r>
      <w:r w:rsidR="001143E5" w:rsidRPr="00081629">
        <w:rPr>
          <w:rFonts w:ascii="Times New Roman" w:hAnsi="Times New Roman" w:cs="Times New Roman"/>
          <w:sz w:val="20"/>
          <w:szCs w:val="20"/>
          <w:lang w:val="en-GB"/>
        </w:rPr>
        <w:t xml:space="preserve">as it </w:t>
      </w:r>
      <w:r w:rsidR="7743F74C" w:rsidRPr="00081629">
        <w:rPr>
          <w:rFonts w:ascii="Times New Roman" w:hAnsi="Times New Roman" w:cs="Times New Roman"/>
          <w:sz w:val="20"/>
          <w:szCs w:val="20"/>
          <w:lang w:val="en-GB"/>
        </w:rPr>
        <w:t>is what has been termed dependence arising from the composition of the range of goods or services offered, which occurs when the inclusion of a certain company’s products or services among those offered to the public by another undertaking is essential to ensure the latter’s competitiveness. This type of relationship typically arises in the retail distribution sector, particularly between the distributor in a position of dependence and the manufacturer, commonly a supplier of branded goods. In order to establish the existence of such dependence, it is necessary to assess, on the one hand, the position of the relevant products or services in the market, taking into account factors such as price, quality and promotional expenditure; and, on the other hand, the negative reaction of customers to the absence of the given product or service from the distributor’s offering.</w:t>
      </w:r>
    </w:p>
    <w:p w14:paraId="4B5E1E7C" w14:textId="77777777" w:rsidR="00A026C1" w:rsidRPr="00081629" w:rsidRDefault="1952DFF5"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In other cases, the relative market power of the defendant has been </w:t>
      </w:r>
      <w:bookmarkStart w:id="15" w:name="_Int_fLBshfbv"/>
      <w:r w:rsidRPr="00081629">
        <w:rPr>
          <w:rFonts w:ascii="Times New Roman" w:hAnsi="Times New Roman" w:cs="Times New Roman"/>
          <w:sz w:val="20"/>
          <w:szCs w:val="20"/>
          <w:lang w:val="en-GB"/>
        </w:rPr>
        <w:t>declared even</w:t>
      </w:r>
      <w:bookmarkEnd w:id="15"/>
      <w:r w:rsidRPr="00081629">
        <w:rPr>
          <w:rFonts w:ascii="Times New Roman" w:hAnsi="Times New Roman" w:cs="Times New Roman"/>
          <w:sz w:val="20"/>
          <w:szCs w:val="20"/>
          <w:lang w:val="en-GB"/>
        </w:rPr>
        <w:t xml:space="preserve"> without a proper assessment of alternatives when the position of the dependent company is clear for the Court. In the </w:t>
      </w:r>
      <w:r w:rsidR="00CA0392" w:rsidRPr="00081629">
        <w:rPr>
          <w:rFonts w:ascii="Times New Roman" w:hAnsi="Times New Roman" w:cs="Times New Roman"/>
          <w:sz w:val="20"/>
          <w:szCs w:val="20"/>
          <w:lang w:val="en-GB"/>
        </w:rPr>
        <w:t xml:space="preserve">judgment of the </w:t>
      </w:r>
      <w:r w:rsidR="70E74053"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Pontevedra dated 24 April 2008 (ECLI:</w:t>
      </w:r>
      <w:bookmarkStart w:id="16" w:name="_Int_vhbEXfDW"/>
      <w:r w:rsidRPr="00081629">
        <w:rPr>
          <w:rFonts w:ascii="Times New Roman" w:hAnsi="Times New Roman" w:cs="Times New Roman"/>
          <w:sz w:val="20"/>
          <w:szCs w:val="20"/>
          <w:lang w:val="en-GB"/>
        </w:rPr>
        <w:t>ES:APPO</w:t>
      </w:r>
      <w:bookmarkEnd w:id="16"/>
      <w:r w:rsidRPr="00081629">
        <w:rPr>
          <w:rFonts w:ascii="Times New Roman" w:hAnsi="Times New Roman" w:cs="Times New Roman"/>
          <w:sz w:val="20"/>
          <w:szCs w:val="20"/>
          <w:lang w:val="en-GB"/>
        </w:rPr>
        <w:t xml:space="preserve">:2008:1396), the claimant proved that a high percentage of their sales were destined solely for the defendant, and that the </w:t>
      </w:r>
      <w:r w:rsidRPr="00081629">
        <w:rPr>
          <w:rFonts w:ascii="Times New Roman" w:hAnsi="Times New Roman" w:cs="Times New Roman"/>
          <w:sz w:val="20"/>
          <w:szCs w:val="20"/>
          <w:lang w:val="en-GB"/>
        </w:rPr>
        <w:lastRenderedPageBreak/>
        <w:t xml:space="preserve">company had adapted its production structure to the needs of the </w:t>
      </w:r>
      <w:r w:rsidR="00CA0392" w:rsidRPr="00081629">
        <w:rPr>
          <w:rFonts w:ascii="Times New Roman" w:hAnsi="Times New Roman" w:cs="Times New Roman"/>
          <w:sz w:val="20"/>
          <w:szCs w:val="20"/>
          <w:lang w:val="en-GB"/>
        </w:rPr>
        <w:t xml:space="preserve">“relatively” </w:t>
      </w:r>
      <w:r w:rsidRPr="00081629">
        <w:rPr>
          <w:rFonts w:ascii="Times New Roman" w:hAnsi="Times New Roman" w:cs="Times New Roman"/>
          <w:sz w:val="20"/>
          <w:szCs w:val="20"/>
          <w:lang w:val="en-GB"/>
        </w:rPr>
        <w:t>dominant company.</w:t>
      </w:r>
      <w:r w:rsidR="00CA0392" w:rsidRPr="00081629">
        <w:rPr>
          <w:rFonts w:ascii="Times New Roman" w:hAnsi="Times New Roman" w:cs="Times New Roman"/>
          <w:sz w:val="20"/>
          <w:szCs w:val="20"/>
          <w:lang w:val="en-GB"/>
        </w:rPr>
        <w:t xml:space="preserve"> </w:t>
      </w:r>
      <w:r w:rsidR="79E86037" w:rsidRPr="00081629">
        <w:rPr>
          <w:rFonts w:ascii="Times New Roman" w:hAnsi="Times New Roman" w:cs="Times New Roman"/>
          <w:sz w:val="20"/>
          <w:szCs w:val="20"/>
          <w:lang w:val="en-GB"/>
        </w:rPr>
        <w:t>The Court did not deem necessary</w:t>
      </w:r>
      <w:r w:rsidR="00FD391E" w:rsidRPr="00081629">
        <w:rPr>
          <w:rFonts w:ascii="Times New Roman" w:hAnsi="Times New Roman" w:cs="Times New Roman"/>
          <w:sz w:val="20"/>
          <w:szCs w:val="20"/>
          <w:lang w:val="en-GB"/>
        </w:rPr>
        <w:t xml:space="preserve"> any additional</w:t>
      </w:r>
      <w:r w:rsidR="79E86037" w:rsidRPr="00081629">
        <w:rPr>
          <w:rFonts w:ascii="Times New Roman" w:hAnsi="Times New Roman" w:cs="Times New Roman"/>
          <w:sz w:val="20"/>
          <w:szCs w:val="20"/>
          <w:lang w:val="en-GB"/>
        </w:rPr>
        <w:t xml:space="preserve"> </w:t>
      </w:r>
      <w:r w:rsidR="00FD391E" w:rsidRPr="00081629">
        <w:rPr>
          <w:rFonts w:ascii="Times New Roman" w:hAnsi="Times New Roman" w:cs="Times New Roman"/>
          <w:sz w:val="20"/>
          <w:szCs w:val="20"/>
          <w:lang w:val="en-GB"/>
        </w:rPr>
        <w:t>proof</w:t>
      </w:r>
      <w:r w:rsidR="79E86037" w:rsidRPr="00081629">
        <w:rPr>
          <w:rFonts w:ascii="Times New Roman" w:hAnsi="Times New Roman" w:cs="Times New Roman"/>
          <w:sz w:val="20"/>
          <w:szCs w:val="20"/>
          <w:lang w:val="en-GB"/>
        </w:rPr>
        <w:t xml:space="preserve"> to assert the relative market power of the </w:t>
      </w:r>
      <w:r w:rsidR="00CA0392" w:rsidRPr="00081629">
        <w:rPr>
          <w:rFonts w:ascii="Times New Roman" w:hAnsi="Times New Roman" w:cs="Times New Roman"/>
          <w:sz w:val="20"/>
          <w:szCs w:val="20"/>
          <w:lang w:val="en-GB"/>
        </w:rPr>
        <w:t>defendant</w:t>
      </w:r>
      <w:r w:rsidR="79E86037" w:rsidRPr="00081629">
        <w:rPr>
          <w:rFonts w:ascii="Times New Roman" w:hAnsi="Times New Roman" w:cs="Times New Roman"/>
          <w:sz w:val="20"/>
          <w:szCs w:val="20"/>
          <w:lang w:val="en-GB"/>
        </w:rPr>
        <w:t>.</w:t>
      </w:r>
    </w:p>
    <w:p w14:paraId="74C44EF7"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market analysis carried out in</w:t>
      </w:r>
      <w:r w:rsidR="00500005" w:rsidRPr="00081629">
        <w:rPr>
          <w:rFonts w:ascii="Times New Roman" w:hAnsi="Times New Roman" w:cs="Times New Roman"/>
          <w:sz w:val="20"/>
          <w:szCs w:val="20"/>
          <w:lang w:val="en-GB"/>
        </w:rPr>
        <w:t xml:space="preserve"> abuse of relative market power</w:t>
      </w:r>
      <w:r w:rsidRPr="00081629">
        <w:rPr>
          <w:rFonts w:ascii="Times New Roman" w:hAnsi="Times New Roman" w:cs="Times New Roman"/>
          <w:sz w:val="20"/>
          <w:szCs w:val="20"/>
          <w:lang w:val="en-GB"/>
        </w:rPr>
        <w:t xml:space="preserve"> cases is narrower in comparison to regular competition law in abuses of dominant position cases. As public interest is not concerned under unfair competition, civil litigation is only focused on the damage that one of the parties has suffered, as opposed to the traditional concern of competition law regarding th</w:t>
      </w:r>
      <w:r w:rsidR="00500005" w:rsidRPr="00081629">
        <w:rPr>
          <w:rFonts w:ascii="Times New Roman" w:hAnsi="Times New Roman" w:cs="Times New Roman"/>
          <w:sz w:val="20"/>
          <w:szCs w:val="20"/>
          <w:lang w:val="en-GB"/>
        </w:rPr>
        <w:t>e negativ</w:t>
      </w:r>
      <w:r w:rsidRPr="00081629">
        <w:rPr>
          <w:rFonts w:ascii="Times New Roman" w:hAnsi="Times New Roman" w:cs="Times New Roman"/>
          <w:sz w:val="20"/>
          <w:szCs w:val="20"/>
          <w:lang w:val="en-GB"/>
        </w:rPr>
        <w:t xml:space="preserve">e effects on the market. Following this narrow scope, although the relevant market is defined as is usually done in competition law cases, the relative market power of the defendant is only studied in relation to the claimant. This is, relative market power is measured only in terms of the companies concerned, with no regard to </w:t>
      </w:r>
      <w:bookmarkStart w:id="17" w:name="_Int_SEtpoETm"/>
      <w:r w:rsidRPr="00081629">
        <w:rPr>
          <w:rFonts w:ascii="Times New Roman" w:hAnsi="Times New Roman" w:cs="Times New Roman"/>
          <w:sz w:val="20"/>
          <w:szCs w:val="20"/>
          <w:lang w:val="en-GB"/>
        </w:rPr>
        <w:t>other  players</w:t>
      </w:r>
      <w:bookmarkEnd w:id="17"/>
      <w:r w:rsidRPr="00081629">
        <w:rPr>
          <w:rFonts w:ascii="Times New Roman" w:hAnsi="Times New Roman" w:cs="Times New Roman"/>
          <w:sz w:val="20"/>
          <w:szCs w:val="20"/>
          <w:lang w:val="en-GB"/>
        </w:rPr>
        <w:t xml:space="preserve"> in the market over whom the same company can also have relative market power.</w:t>
      </w:r>
    </w:p>
    <w:p w14:paraId="2A16445B" w14:textId="77777777" w:rsidR="00A026C1" w:rsidRPr="00081629" w:rsidRDefault="4C2C27DE" w:rsidP="00930BE2">
      <w:pPr>
        <w:spacing w:before="240" w:after="240" w:line="276" w:lineRule="auto"/>
        <w:jc w:val="both"/>
        <w:rPr>
          <w:rStyle w:val="Refdenotaalpie"/>
          <w:rFonts w:ascii="Times New Roman" w:hAnsi="Times New Roman" w:cs="Times New Roman"/>
          <w:sz w:val="20"/>
          <w:szCs w:val="20"/>
          <w:lang w:val="en-GB"/>
        </w:rPr>
      </w:pPr>
      <w:r w:rsidRPr="00081629">
        <w:rPr>
          <w:rFonts w:ascii="Times New Roman" w:hAnsi="Times New Roman" w:cs="Times New Roman"/>
          <w:sz w:val="20"/>
          <w:szCs w:val="20"/>
          <w:lang w:val="en-GB"/>
        </w:rPr>
        <w:t>In comparative terms, it is worth highlighting</w:t>
      </w:r>
      <w:r w:rsidR="095DD3E8" w:rsidRPr="00081629">
        <w:rPr>
          <w:rFonts w:ascii="Times New Roman" w:hAnsi="Times New Roman" w:cs="Times New Roman"/>
          <w:sz w:val="20"/>
          <w:szCs w:val="20"/>
          <w:lang w:val="en-GB"/>
        </w:rPr>
        <w:t xml:space="preserve"> </w:t>
      </w:r>
      <w:r w:rsidR="46136B6F" w:rsidRPr="00081629">
        <w:rPr>
          <w:rFonts w:ascii="Times New Roman" w:eastAsia="Times New Roman" w:hAnsi="Times New Roman" w:cs="Times New Roman"/>
          <w:color w:val="000000" w:themeColor="text1"/>
          <w:sz w:val="20"/>
          <w:szCs w:val="20"/>
          <w:lang w:val="en-GB"/>
        </w:rPr>
        <w:t>that Latin American systems refer to Spanish doctrine and case law on economic dependency.</w:t>
      </w:r>
      <w:r w:rsidR="46136B6F"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In Ecuador, for example, the First Instance Resolution Commission (CRPI) of the Superintendency for the Control of Market Power (SCPM) has expressly referred to Spanish rulings to support its decisions</w:t>
      </w:r>
      <w:r w:rsidR="3E16CDB1" w:rsidRPr="00081629">
        <w:rPr>
          <w:rFonts w:ascii="Times New Roman" w:hAnsi="Times New Roman" w:cs="Times New Roman"/>
          <w:sz w:val="20"/>
          <w:szCs w:val="20"/>
          <w:lang w:val="en-GB"/>
        </w:rPr>
        <w:t xml:space="preserve"> regarding the decisive role played by supermarkets as buyers, as opposed to small </w:t>
      </w:r>
      <w:r w:rsidR="00114DC2" w:rsidRPr="00081629">
        <w:rPr>
          <w:rFonts w:ascii="Times New Roman" w:hAnsi="Times New Roman" w:cs="Times New Roman"/>
          <w:sz w:val="20"/>
          <w:szCs w:val="20"/>
          <w:lang w:val="en-GB"/>
        </w:rPr>
        <w:t>brick and mortar</w:t>
      </w:r>
      <w:r w:rsidR="3E16CDB1" w:rsidRPr="00081629">
        <w:rPr>
          <w:rFonts w:ascii="Times New Roman" w:hAnsi="Times New Roman" w:cs="Times New Roman"/>
          <w:sz w:val="20"/>
          <w:szCs w:val="20"/>
          <w:lang w:val="en-GB"/>
        </w:rPr>
        <w:t xml:space="preserve"> shops, which forces many suppliers to maintain commercial relations with these large retailers. This practice is based on the idea that lack of access to such distribution channels entails a substantial loss of market share, which reinforces the notion of a lack of real and equivalent alternatives. However,</w:t>
      </w:r>
      <w:r w:rsidR="003D4C2C" w:rsidRPr="00081629">
        <w:rPr>
          <w:rFonts w:ascii="Times New Roman" w:hAnsi="Times New Roman" w:cs="Times New Roman"/>
          <w:sz w:val="20"/>
          <w:szCs w:val="20"/>
          <w:lang w:val="en-GB"/>
        </w:rPr>
        <w:t xml:space="preserve"> unlike in Spain, </w:t>
      </w:r>
      <w:r w:rsidR="3E16CDB1" w:rsidRPr="00081629">
        <w:rPr>
          <w:rFonts w:ascii="Times New Roman" w:hAnsi="Times New Roman" w:cs="Times New Roman"/>
          <w:sz w:val="20"/>
          <w:szCs w:val="20"/>
          <w:lang w:val="en-GB"/>
        </w:rPr>
        <w:t>the CRPI upheld a fixed threshold of 50% of turnover concentrated on a single customer as a criterion for determining the existence of dependence.</w:t>
      </w:r>
      <w:r w:rsidR="00A026C1" w:rsidRPr="00081629">
        <w:rPr>
          <w:rStyle w:val="Refdenotaalpie"/>
          <w:rFonts w:ascii="Times New Roman" w:hAnsi="Times New Roman" w:cs="Times New Roman"/>
          <w:sz w:val="20"/>
          <w:szCs w:val="20"/>
          <w:lang w:val="en-GB"/>
        </w:rPr>
        <w:footnoteReference w:id="14"/>
      </w:r>
    </w:p>
    <w:p w14:paraId="33491CD1" w14:textId="77777777" w:rsidR="00A026C1" w:rsidRPr="00081629" w:rsidRDefault="1952DFF5"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b/>
          <w:bCs/>
          <w:sz w:val="20"/>
          <w:szCs w:val="20"/>
          <w:lang w:val="en-GB"/>
        </w:rPr>
        <w:t>2.4</w:t>
      </w:r>
      <w:r w:rsidRPr="00081629">
        <w:rPr>
          <w:rFonts w:ascii="Times New Roman" w:hAnsi="Times New Roman" w:cs="Times New Roman"/>
          <w:sz w:val="20"/>
          <w:szCs w:val="20"/>
          <w:lang w:val="en-GB"/>
        </w:rPr>
        <w:t xml:space="preserve"> </w:t>
      </w:r>
      <w:r w:rsidRPr="00081629">
        <w:rPr>
          <w:rFonts w:ascii="Times New Roman" w:hAnsi="Times New Roman" w:cs="Times New Roman"/>
          <w:b/>
          <w:bCs/>
          <w:sz w:val="20"/>
          <w:szCs w:val="20"/>
          <w:lang w:val="en-GB"/>
        </w:rPr>
        <w:t>Assessing economic dependence</w:t>
      </w:r>
    </w:p>
    <w:p w14:paraId="16E35BE4"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parameters or indicators used to determine the existence of relative market power or, alternatively, a situation of economic dependence are mainly based on two aspects:</w:t>
      </w:r>
    </w:p>
    <w:p w14:paraId="2B48E4C3"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first consists of defining the relevant market, which must be done not according to an objective test</w:t>
      </w:r>
      <w:r w:rsidR="00500005"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as in classical antitrust analysis under Article 102 TFEU and Article 2 of the </w:t>
      </w:r>
      <w:r w:rsidR="00864981" w:rsidRPr="00081629">
        <w:rPr>
          <w:rFonts w:ascii="Times New Roman" w:hAnsi="Times New Roman" w:cs="Times New Roman"/>
          <w:sz w:val="20"/>
          <w:szCs w:val="20"/>
          <w:lang w:val="en-GB"/>
        </w:rPr>
        <w:t>LDC</w:t>
      </w:r>
      <w:r w:rsidR="00500005"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 xml:space="preserve"> but from a subjective perspective, tailored to the specific firm and relationship under scrutiny. In the context of economic dependence, the market definition must focus on the commercial environment in which the allegedly weaker undertaking operates. </w:t>
      </w:r>
    </w:p>
    <w:p w14:paraId="267CE9C1"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second one relates to the actual availability of alternatives</w:t>
      </w:r>
      <w:r w:rsidR="3FDD7A10" w:rsidRPr="00081629">
        <w:rPr>
          <w:rFonts w:ascii="Times New Roman" w:hAnsi="Times New Roman" w:cs="Times New Roman"/>
          <w:sz w:val="20"/>
          <w:szCs w:val="20"/>
          <w:lang w:val="en-GB"/>
        </w:rPr>
        <w:t>,</w:t>
      </w:r>
      <w:r w:rsidR="6B560C91" w:rsidRPr="00081629">
        <w:rPr>
          <w:rFonts w:ascii="Times New Roman" w:hAnsi="Times New Roman" w:cs="Times New Roman"/>
          <w:sz w:val="20"/>
          <w:szCs w:val="20"/>
          <w:lang w:val="en-GB"/>
        </w:rPr>
        <w:t xml:space="preserve"> as it has been</w:t>
      </w:r>
      <w:r w:rsidR="3FDD7A10" w:rsidRPr="00081629">
        <w:rPr>
          <w:rFonts w:ascii="Times New Roman" w:hAnsi="Times New Roman" w:cs="Times New Roman"/>
          <w:sz w:val="20"/>
          <w:szCs w:val="20"/>
          <w:lang w:val="en-GB"/>
        </w:rPr>
        <w:t xml:space="preserve"> explained in </w:t>
      </w:r>
      <w:r w:rsidR="687DB34F" w:rsidRPr="00081629">
        <w:rPr>
          <w:rFonts w:ascii="Times New Roman" w:hAnsi="Times New Roman" w:cs="Times New Roman"/>
          <w:sz w:val="20"/>
          <w:szCs w:val="20"/>
          <w:lang w:val="en-GB"/>
        </w:rPr>
        <w:t>S</w:t>
      </w:r>
      <w:r w:rsidR="3FDD7A10" w:rsidRPr="00081629">
        <w:rPr>
          <w:rFonts w:ascii="Times New Roman" w:hAnsi="Times New Roman" w:cs="Times New Roman"/>
          <w:sz w:val="20"/>
          <w:szCs w:val="20"/>
          <w:lang w:val="en-GB"/>
        </w:rPr>
        <w:t xml:space="preserve">ection </w:t>
      </w:r>
      <w:r w:rsidR="00864981" w:rsidRPr="00081629">
        <w:rPr>
          <w:rFonts w:ascii="Times New Roman" w:hAnsi="Times New Roman" w:cs="Times New Roman"/>
          <w:sz w:val="20"/>
          <w:szCs w:val="20"/>
          <w:lang w:val="en-GB"/>
        </w:rPr>
        <w:t>2.3.</w:t>
      </w:r>
      <w:r w:rsidR="6227B38C" w:rsidRPr="00081629">
        <w:rPr>
          <w:rFonts w:ascii="Times New Roman" w:hAnsi="Times New Roman" w:cs="Times New Roman"/>
          <w:sz w:val="20"/>
          <w:szCs w:val="20"/>
          <w:lang w:val="en-GB"/>
        </w:rPr>
        <w:t xml:space="preserve"> </w:t>
      </w:r>
      <w:r w:rsidR="2C63C168" w:rsidRPr="00081629">
        <w:rPr>
          <w:rFonts w:ascii="Times New Roman" w:hAnsi="Times New Roman" w:cs="Times New Roman"/>
          <w:sz w:val="20"/>
          <w:szCs w:val="20"/>
          <w:lang w:val="en-GB"/>
        </w:rPr>
        <w:t>Economic dependence may arise not only where no alternative commercial partners are present, but also where those alternatives are not reasonably equivalent in terms of viability, sufficiency, or commercial effectiveness. This test includes an evaluation of whether the dependent undertaking can realistically substitute for the stronger firm, considering market barriers and the functionality of any substitute platforms or suppliers. </w:t>
      </w:r>
    </w:p>
    <w:p w14:paraId="21204D95" w14:textId="77777777" w:rsidR="00A026C1" w:rsidRPr="00081629" w:rsidRDefault="00602880"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A</w:t>
      </w:r>
      <w:r w:rsidR="00A026C1" w:rsidRPr="00081629">
        <w:rPr>
          <w:rFonts w:ascii="Times New Roman" w:hAnsi="Times New Roman" w:cs="Times New Roman"/>
          <w:sz w:val="20"/>
          <w:szCs w:val="20"/>
          <w:lang w:val="en-GB"/>
        </w:rPr>
        <w:t xml:space="preserve">dditional indicators may support the identification of a situation of economic dependence. These include the strength or public recognition of the brand controlled by the allegedly stronger firm, its market share, the exclusivity or long-standing nature of the relationship, the share of the dependent firm’s turnover derived from that relationship, and the degree of </w:t>
      </w:r>
      <w:r w:rsidR="00AE4694" w:rsidRPr="00081629">
        <w:rPr>
          <w:rFonts w:ascii="Times New Roman" w:hAnsi="Times New Roman" w:cs="Times New Roman"/>
          <w:sz w:val="20"/>
          <w:szCs w:val="20"/>
          <w:lang w:val="en-GB"/>
        </w:rPr>
        <w:t>specialization</w:t>
      </w:r>
      <w:r w:rsidR="00A026C1" w:rsidRPr="00081629">
        <w:rPr>
          <w:rFonts w:ascii="Times New Roman" w:hAnsi="Times New Roman" w:cs="Times New Roman"/>
          <w:sz w:val="20"/>
          <w:szCs w:val="20"/>
          <w:lang w:val="en-GB"/>
        </w:rPr>
        <w:t xml:space="preserve"> of the market in which it operates. </w:t>
      </w:r>
    </w:p>
    <w:p w14:paraId="6F4D1701" w14:textId="77777777" w:rsidR="00A026C1" w:rsidRPr="00081629" w:rsidRDefault="1952DFF5"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Such conduct, when abusive, constitutes an act of unfair competition under Article 16.2 of the </w:t>
      </w:r>
      <w:r w:rsidR="00864981"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While today this form of abuse is clearly included under the </w:t>
      </w:r>
      <w:r w:rsidR="00864981"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it was at one point regulated under the general competition rules</w:t>
      </w:r>
      <w:r w:rsidR="00864981" w:rsidRPr="00081629">
        <w:rPr>
          <w:rFonts w:ascii="Times New Roman" w:hAnsi="Times New Roman" w:cs="Times New Roman"/>
          <w:sz w:val="20"/>
          <w:szCs w:val="20"/>
          <w:lang w:val="en-GB"/>
        </w:rPr>
        <w:t xml:space="preserve"> as previously explained</w:t>
      </w:r>
      <w:r w:rsidRPr="00081629">
        <w:rPr>
          <w:rFonts w:ascii="Times New Roman" w:hAnsi="Times New Roman" w:cs="Times New Roman"/>
          <w:sz w:val="20"/>
          <w:szCs w:val="20"/>
          <w:lang w:val="en-GB"/>
        </w:rPr>
        <w:t xml:space="preserve">. This type of conduct takes market power into account, which is </w:t>
      </w:r>
      <w:r w:rsidRPr="00081629">
        <w:rPr>
          <w:rFonts w:ascii="Times New Roman" w:hAnsi="Times New Roman" w:cs="Times New Roman"/>
          <w:sz w:val="20"/>
          <w:szCs w:val="20"/>
          <w:lang w:val="en-GB"/>
        </w:rPr>
        <w:lastRenderedPageBreak/>
        <w:t>normally a feature of antitrust enforcement rather than unfair competition law. For this reason, it is classified by legal doctrine as a market-based unfair practice.</w:t>
      </w:r>
      <w:r w:rsidR="00500005" w:rsidRPr="00081629">
        <w:rPr>
          <w:rStyle w:val="Refdenotaalpie"/>
          <w:rFonts w:ascii="Times New Roman" w:hAnsi="Times New Roman" w:cs="Times New Roman"/>
          <w:sz w:val="20"/>
          <w:szCs w:val="20"/>
          <w:lang w:val="en-GB"/>
        </w:rPr>
        <w:footnoteReference w:id="15"/>
      </w:r>
    </w:p>
    <w:p w14:paraId="7B78854F" w14:textId="65D90D6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As for the criteria to determine </w:t>
      </w:r>
      <w:r w:rsidR="00FC6914" w:rsidRPr="00081629">
        <w:rPr>
          <w:rFonts w:ascii="Times New Roman" w:hAnsi="Times New Roman" w:cs="Times New Roman"/>
          <w:sz w:val="20"/>
          <w:szCs w:val="20"/>
          <w:lang w:val="en-GB"/>
        </w:rPr>
        <w:t xml:space="preserve">an abuse of </w:t>
      </w:r>
      <w:r w:rsidRPr="00081629">
        <w:rPr>
          <w:rFonts w:ascii="Times New Roman" w:hAnsi="Times New Roman" w:cs="Times New Roman"/>
          <w:sz w:val="20"/>
          <w:szCs w:val="20"/>
          <w:lang w:val="en-GB"/>
        </w:rPr>
        <w:t xml:space="preserve">economic dependence, Article 16.2 </w:t>
      </w:r>
      <w:r w:rsidR="00720055" w:rsidRPr="00081629">
        <w:rPr>
          <w:rFonts w:ascii="Times New Roman" w:hAnsi="Times New Roman" w:cs="Times New Roman"/>
          <w:sz w:val="20"/>
          <w:szCs w:val="20"/>
          <w:lang w:val="en-GB"/>
        </w:rPr>
        <w:t xml:space="preserve">UCA </w:t>
      </w:r>
      <w:r w:rsidRPr="00081629">
        <w:rPr>
          <w:rFonts w:ascii="Times New Roman" w:hAnsi="Times New Roman" w:cs="Times New Roman"/>
          <w:sz w:val="20"/>
          <w:szCs w:val="20"/>
          <w:lang w:val="en-GB"/>
        </w:rPr>
        <w:t xml:space="preserve">establishes two cumulative requirements: </w:t>
      </w:r>
      <w:r w:rsidRPr="00081629">
        <w:rPr>
          <w:rFonts w:ascii="Times New Roman" w:hAnsi="Times New Roman" w:cs="Times New Roman"/>
          <w:b/>
          <w:bCs/>
          <w:sz w:val="20"/>
          <w:szCs w:val="20"/>
          <w:lang w:val="en-GB"/>
        </w:rPr>
        <w:t>(i)</w:t>
      </w:r>
      <w:r w:rsidRPr="00081629">
        <w:rPr>
          <w:rFonts w:ascii="Times New Roman" w:hAnsi="Times New Roman" w:cs="Times New Roman"/>
          <w:sz w:val="20"/>
          <w:szCs w:val="20"/>
          <w:lang w:val="en-GB"/>
        </w:rPr>
        <w:t xml:space="preserve"> the existence of an economic dependence, and </w:t>
      </w:r>
      <w:r w:rsidRPr="00081629">
        <w:rPr>
          <w:rFonts w:ascii="Times New Roman" w:hAnsi="Times New Roman" w:cs="Times New Roman"/>
          <w:b/>
          <w:bCs/>
          <w:sz w:val="20"/>
          <w:szCs w:val="20"/>
          <w:lang w:val="en-GB"/>
        </w:rPr>
        <w:t>(ii)</w:t>
      </w:r>
      <w:r w:rsidRPr="00081629">
        <w:rPr>
          <w:rFonts w:ascii="Times New Roman" w:hAnsi="Times New Roman" w:cs="Times New Roman"/>
          <w:sz w:val="20"/>
          <w:szCs w:val="20"/>
          <w:lang w:val="en-GB"/>
        </w:rPr>
        <w:t xml:space="preserve"> its abusive exploitation. The law also</w:t>
      </w:r>
      <w:r w:rsidR="00FC6914"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introduces a rebuttable or </w:t>
      </w:r>
      <w:r w:rsidRPr="00081629">
        <w:rPr>
          <w:rFonts w:ascii="Times New Roman" w:hAnsi="Times New Roman" w:cs="Times New Roman"/>
          <w:i/>
          <w:iCs/>
          <w:sz w:val="20"/>
          <w:szCs w:val="20"/>
          <w:lang w:val="en-GB"/>
        </w:rPr>
        <w:t>iuris tantum</w:t>
      </w:r>
      <w:r w:rsidRPr="00081629">
        <w:rPr>
          <w:rFonts w:ascii="Times New Roman" w:hAnsi="Times New Roman" w:cs="Times New Roman"/>
          <w:sz w:val="20"/>
          <w:szCs w:val="20"/>
          <w:lang w:val="en-GB"/>
        </w:rPr>
        <w:t xml:space="preserve"> legal presumption </w:t>
      </w:r>
      <w:r w:rsidR="00081629" w:rsidRPr="00081629">
        <w:rPr>
          <w:rFonts w:ascii="Times New Roman" w:hAnsi="Times New Roman" w:cs="Times New Roman"/>
          <w:sz w:val="20"/>
          <w:szCs w:val="20"/>
          <w:lang w:val="en-GB"/>
        </w:rPr>
        <w:t xml:space="preserve">of the existence of an economic dependence </w:t>
      </w:r>
      <w:r w:rsidRPr="00081629">
        <w:rPr>
          <w:rFonts w:ascii="Times New Roman" w:hAnsi="Times New Roman" w:cs="Times New Roman"/>
          <w:sz w:val="20"/>
          <w:szCs w:val="20"/>
          <w:lang w:val="en-GB"/>
        </w:rPr>
        <w:t>where a supplier regularly grants a client additional advantages not provided to similar customers, in addition to usual discounts or terms. This presumption has been narrowly interpreted by Spanish Courts, requiring that such advantages be substantial and not merely anecdotal.</w:t>
      </w:r>
      <w:r w:rsidR="00081629" w:rsidRPr="00081629">
        <w:rPr>
          <w:rFonts w:ascii="Times New Roman" w:hAnsi="Times New Roman" w:cs="Times New Roman"/>
          <w:sz w:val="20"/>
          <w:szCs w:val="20"/>
          <w:lang w:val="en-GB"/>
        </w:rPr>
        <w:t xml:space="preserve">  In any case, this presumption</w:t>
      </w:r>
      <w:r w:rsidR="00081629" w:rsidRPr="00612AF0">
        <w:rPr>
          <w:rFonts w:ascii="Times New Roman" w:hAnsi="Times New Roman" w:cs="Times New Roman"/>
          <w:sz w:val="20"/>
          <w:szCs w:val="20"/>
          <w:lang w:val="en-GB"/>
        </w:rPr>
        <w:t xml:space="preserve"> does not dispense with demonstrating abusive exploitation</w:t>
      </w:r>
      <w:r w:rsidR="00081629" w:rsidRPr="00081629">
        <w:rPr>
          <w:rFonts w:ascii="Times New Roman" w:hAnsi="Times New Roman" w:cs="Times New Roman"/>
          <w:sz w:val="20"/>
          <w:szCs w:val="20"/>
          <w:lang w:val="en-GB"/>
        </w:rPr>
        <w:t>.</w:t>
      </w:r>
    </w:p>
    <w:p w14:paraId="599F22F4" w14:textId="77777777" w:rsidR="00114DC2" w:rsidRPr="00081629" w:rsidRDefault="00114DC2" w:rsidP="00930BE2">
      <w:pPr>
        <w:spacing w:line="276" w:lineRule="auto"/>
        <w:jc w:val="both"/>
        <w:rPr>
          <w:rFonts w:ascii="Times New Roman" w:hAnsi="Times New Roman" w:cs="Times New Roman"/>
          <w:sz w:val="20"/>
          <w:szCs w:val="20"/>
          <w:lang w:val="en-GB"/>
        </w:rPr>
      </w:pPr>
      <w:r w:rsidRPr="00081629">
        <w:rPr>
          <w:rFonts w:ascii="Times New Roman" w:eastAsia="Times New Roman" w:hAnsi="Times New Roman" w:cs="Times New Roman"/>
          <w:sz w:val="20"/>
          <w:szCs w:val="20"/>
          <w:lang w:val="en-GB"/>
        </w:rPr>
        <w:t>Legal doctrine has identified four main categories of economic dependence: (i) dependence arising from the composition of the offer, which occurs when specific products or services are essential for the dependent undertaking’s competitiveness, particularly when their withdrawal would trigger a negative reaction from consumers; (ii) dependence related to the internal organisation of the undertaking, which arises when a company has tailored its operations or structure to a particular partner, making substitution costly or unfeasible; (iii) dependence resulting from scarcity, linked to the absence of viable alternatives due to structural or temporary market constraints; and (iv) dependence based on the relative bargaining power of the buyer, where a single client concentrates the commercial outlet of a supplier, with no functionally equivalent distribution channels available.</w:t>
      </w:r>
      <w:r w:rsidRPr="00081629">
        <w:rPr>
          <w:rStyle w:val="Refdenotaalpie"/>
          <w:rFonts w:ascii="Times New Roman" w:hAnsi="Times New Roman" w:cs="Times New Roman"/>
          <w:sz w:val="20"/>
          <w:szCs w:val="20"/>
          <w:lang w:val="en-GB"/>
        </w:rPr>
        <w:footnoteReference w:id="16"/>
      </w:r>
    </w:p>
    <w:p w14:paraId="490CE333"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w:t>
      </w:r>
      <w:r w:rsidR="00FC6914" w:rsidRPr="00081629">
        <w:rPr>
          <w:rFonts w:ascii="Times New Roman" w:hAnsi="Times New Roman" w:cs="Times New Roman"/>
          <w:sz w:val="20"/>
          <w:szCs w:val="20"/>
          <w:lang w:val="en-GB"/>
        </w:rPr>
        <w:t xml:space="preserve">judgment of the </w:t>
      </w:r>
      <w:r w:rsidR="45E7C4FE" w:rsidRPr="00081629">
        <w:rPr>
          <w:rFonts w:ascii="Times New Roman" w:hAnsi="Times New Roman" w:cs="Times New Roman"/>
          <w:sz w:val="20"/>
          <w:szCs w:val="20"/>
          <w:lang w:val="en-GB"/>
        </w:rPr>
        <w:t>Provincial Court</w:t>
      </w:r>
      <w:r w:rsidRPr="00081629">
        <w:rPr>
          <w:rFonts w:ascii="Times New Roman" w:hAnsi="Times New Roman" w:cs="Times New Roman"/>
          <w:sz w:val="20"/>
          <w:szCs w:val="20"/>
          <w:lang w:val="en-GB"/>
        </w:rPr>
        <w:t xml:space="preserve"> of Cordoba dated 25 January 2012 (ECLI:</w:t>
      </w:r>
      <w:bookmarkStart w:id="18" w:name="_Int_4VjkFANM"/>
      <w:r w:rsidRPr="00081629">
        <w:rPr>
          <w:rFonts w:ascii="Times New Roman" w:hAnsi="Times New Roman" w:cs="Times New Roman"/>
          <w:sz w:val="20"/>
          <w:szCs w:val="20"/>
          <w:lang w:val="en-GB"/>
        </w:rPr>
        <w:t>ES:APCO</w:t>
      </w:r>
      <w:bookmarkEnd w:id="18"/>
      <w:r w:rsidRPr="00081629">
        <w:rPr>
          <w:rFonts w:ascii="Times New Roman" w:hAnsi="Times New Roman" w:cs="Times New Roman"/>
          <w:sz w:val="20"/>
          <w:szCs w:val="20"/>
          <w:lang w:val="en-GB"/>
        </w:rPr>
        <w:t xml:space="preserve">:2012:690) states that a company is dependent on another when it cannot </w:t>
      </w:r>
      <w:r w:rsidR="00FC6914" w:rsidRPr="00081629">
        <w:rPr>
          <w:rFonts w:ascii="Times New Roman" w:hAnsi="Times New Roman" w:cs="Times New Roman"/>
          <w:sz w:val="20"/>
          <w:szCs w:val="20"/>
          <w:lang w:val="en-GB"/>
        </w:rPr>
        <w:t>terminate</w:t>
      </w:r>
      <w:r w:rsidRPr="00081629">
        <w:rPr>
          <w:rFonts w:ascii="Times New Roman" w:hAnsi="Times New Roman" w:cs="Times New Roman"/>
          <w:sz w:val="20"/>
          <w:szCs w:val="20"/>
          <w:lang w:val="en-GB"/>
        </w:rPr>
        <w:t xml:space="preserve"> the commercial relations it maintains with the company with relative market power or strong company without its competitive capacity being seriously affected. Moreover, the equivalent alternative in the relevant market is not viable when, despite the existence of other sources of supply on the market, this alternative is not real but merely potential, or when the reorientation of the production or operations of the affected undertaking that necessarily involves a change of activity would jeopardize the dependent undertaking's survival on the market. </w:t>
      </w:r>
    </w:p>
    <w:p w14:paraId="0E74FF56" w14:textId="70880898" w:rsidR="00A026C1"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The </w:t>
      </w:r>
      <w:r w:rsidR="00FC6914" w:rsidRPr="00081629">
        <w:rPr>
          <w:rFonts w:ascii="Times New Roman" w:hAnsi="Times New Roman" w:cs="Times New Roman"/>
          <w:sz w:val="20"/>
          <w:szCs w:val="20"/>
          <w:lang w:val="en-GB"/>
        </w:rPr>
        <w:t xml:space="preserve">judgments of the </w:t>
      </w:r>
      <w:r w:rsidR="1BC41BA7" w:rsidRPr="00081629">
        <w:rPr>
          <w:rFonts w:ascii="Times New Roman" w:hAnsi="Times New Roman" w:cs="Times New Roman"/>
          <w:sz w:val="20"/>
          <w:szCs w:val="20"/>
          <w:lang w:val="en-GB"/>
        </w:rPr>
        <w:t>Provincial Court</w:t>
      </w:r>
      <w:r w:rsidR="00FC6914" w:rsidRPr="00081629">
        <w:rPr>
          <w:rFonts w:ascii="Times New Roman" w:hAnsi="Times New Roman" w:cs="Times New Roman"/>
          <w:sz w:val="20"/>
          <w:szCs w:val="20"/>
          <w:lang w:val="en-GB"/>
        </w:rPr>
        <w:t xml:space="preserve"> of Madrid</w:t>
      </w:r>
      <w:r w:rsidRPr="00081629">
        <w:rPr>
          <w:rFonts w:ascii="Times New Roman" w:hAnsi="Times New Roman" w:cs="Times New Roman"/>
          <w:sz w:val="20"/>
          <w:szCs w:val="20"/>
          <w:lang w:val="en-GB"/>
        </w:rPr>
        <w:t xml:space="preserve"> dated 12 and 16 December 2014 (ECLI:</w:t>
      </w:r>
      <w:bookmarkStart w:id="19" w:name="_Int_TCtUytjT"/>
      <w:r w:rsidRPr="00081629">
        <w:rPr>
          <w:rFonts w:ascii="Times New Roman" w:hAnsi="Times New Roman" w:cs="Times New Roman"/>
          <w:sz w:val="20"/>
          <w:szCs w:val="20"/>
          <w:lang w:val="en-GB"/>
        </w:rPr>
        <w:t>ES:APM</w:t>
      </w:r>
      <w:bookmarkEnd w:id="19"/>
      <w:r w:rsidRPr="00081629">
        <w:rPr>
          <w:rFonts w:ascii="Times New Roman" w:hAnsi="Times New Roman" w:cs="Times New Roman"/>
          <w:sz w:val="20"/>
          <w:szCs w:val="20"/>
          <w:lang w:val="en-GB"/>
        </w:rPr>
        <w:t>:2014:18847 and ECLI:</w:t>
      </w:r>
      <w:bookmarkStart w:id="20" w:name="_Int_DApvD7yy"/>
      <w:r w:rsidRPr="00081629">
        <w:rPr>
          <w:rFonts w:ascii="Times New Roman" w:hAnsi="Times New Roman" w:cs="Times New Roman"/>
          <w:sz w:val="20"/>
          <w:szCs w:val="20"/>
          <w:lang w:val="en-GB"/>
        </w:rPr>
        <w:t>ES:APM</w:t>
      </w:r>
      <w:bookmarkEnd w:id="20"/>
      <w:r w:rsidRPr="00081629">
        <w:rPr>
          <w:rFonts w:ascii="Times New Roman" w:hAnsi="Times New Roman" w:cs="Times New Roman"/>
          <w:sz w:val="20"/>
          <w:szCs w:val="20"/>
          <w:lang w:val="en-GB"/>
        </w:rPr>
        <w:t>:2014:17200) offer interesting consideration</w:t>
      </w:r>
      <w:r w:rsidR="00720055" w:rsidRPr="00081629">
        <w:rPr>
          <w:rFonts w:ascii="Times New Roman" w:hAnsi="Times New Roman" w:cs="Times New Roman"/>
          <w:sz w:val="20"/>
          <w:szCs w:val="20"/>
          <w:lang w:val="en-GB"/>
        </w:rPr>
        <w:t>s</w:t>
      </w:r>
      <w:r w:rsidRPr="00081629">
        <w:rPr>
          <w:rFonts w:ascii="Times New Roman" w:hAnsi="Times New Roman" w:cs="Times New Roman"/>
          <w:sz w:val="20"/>
          <w:szCs w:val="20"/>
          <w:lang w:val="en-GB"/>
        </w:rPr>
        <w:t xml:space="preserve"> regarding the criteria to assess economic dependency and the existence of alternatives. Article 16.3 of the </w:t>
      </w:r>
      <w:r w:rsidR="00720055" w:rsidRPr="00081629">
        <w:rPr>
          <w:rFonts w:ascii="Times New Roman" w:hAnsi="Times New Roman" w:cs="Times New Roman"/>
          <w:sz w:val="20"/>
          <w:szCs w:val="20"/>
          <w:lang w:val="en-GB"/>
        </w:rPr>
        <w:t xml:space="preserve">UCA </w:t>
      </w:r>
      <w:r w:rsidRPr="00081629">
        <w:rPr>
          <w:rFonts w:ascii="Times New Roman" w:hAnsi="Times New Roman" w:cs="Times New Roman"/>
          <w:sz w:val="20"/>
          <w:szCs w:val="20"/>
          <w:lang w:val="en-GB"/>
        </w:rPr>
        <w:t>considers that if a company is economically dependent on another, it is unfair and discriminatory to terminate an established business relationship without prior notice</w:t>
      </w:r>
      <w:r w:rsidR="00720055" w:rsidRPr="00081629">
        <w:rPr>
          <w:rFonts w:ascii="Times New Roman" w:hAnsi="Times New Roman" w:cs="Times New Roman"/>
          <w:sz w:val="20"/>
          <w:szCs w:val="20"/>
          <w:lang w:val="en-GB"/>
        </w:rPr>
        <w:t xml:space="preserve"> period of, at least, six months</w:t>
      </w:r>
      <w:r w:rsidRPr="00081629">
        <w:rPr>
          <w:rFonts w:ascii="Times New Roman" w:hAnsi="Times New Roman" w:cs="Times New Roman"/>
          <w:sz w:val="20"/>
          <w:szCs w:val="20"/>
          <w:lang w:val="en-GB"/>
        </w:rPr>
        <w:t>.</w:t>
      </w:r>
      <w:r w:rsidR="00720055"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Case law stresses that considering termination as a</w:t>
      </w:r>
      <w:r w:rsidR="00500005" w:rsidRPr="00081629">
        <w:rPr>
          <w:rFonts w:ascii="Times New Roman" w:hAnsi="Times New Roman" w:cs="Times New Roman"/>
          <w:sz w:val="20"/>
          <w:szCs w:val="20"/>
          <w:lang w:val="en-GB"/>
        </w:rPr>
        <w:t>n unfair</w:t>
      </w:r>
      <w:r w:rsidRPr="00081629">
        <w:rPr>
          <w:rFonts w:ascii="Times New Roman" w:hAnsi="Times New Roman" w:cs="Times New Roman"/>
          <w:sz w:val="20"/>
          <w:szCs w:val="20"/>
          <w:lang w:val="en-GB"/>
        </w:rPr>
        <w:t xml:space="preserve"> competition infringement can only occur under very specific circumstances.</w:t>
      </w:r>
    </w:p>
    <w:p w14:paraId="3974379F"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In any case, adding the temporal scope raises a </w:t>
      </w:r>
      <w:r w:rsidR="00FD391E" w:rsidRPr="00081629">
        <w:rPr>
          <w:rFonts w:ascii="Times New Roman" w:hAnsi="Times New Roman" w:cs="Times New Roman"/>
          <w:sz w:val="20"/>
          <w:szCs w:val="20"/>
          <w:lang w:val="en-GB"/>
        </w:rPr>
        <w:t>new criterion</w:t>
      </w:r>
      <w:r w:rsidRPr="00081629">
        <w:rPr>
          <w:rFonts w:ascii="Times New Roman" w:hAnsi="Times New Roman" w:cs="Times New Roman"/>
          <w:sz w:val="20"/>
          <w:szCs w:val="20"/>
          <w:lang w:val="en-GB"/>
        </w:rPr>
        <w:t xml:space="preserve"> to assess alternatives. It could be interpreted that the six-month </w:t>
      </w:r>
      <w:r w:rsidR="00720055" w:rsidRPr="00081629">
        <w:rPr>
          <w:rFonts w:ascii="Times New Roman" w:hAnsi="Times New Roman" w:cs="Times New Roman"/>
          <w:sz w:val="20"/>
          <w:szCs w:val="20"/>
          <w:lang w:val="en-GB"/>
        </w:rPr>
        <w:t xml:space="preserve">notice </w:t>
      </w:r>
      <w:r w:rsidRPr="00081629">
        <w:rPr>
          <w:rFonts w:ascii="Times New Roman" w:hAnsi="Times New Roman" w:cs="Times New Roman"/>
          <w:sz w:val="20"/>
          <w:szCs w:val="20"/>
          <w:lang w:val="en-GB"/>
        </w:rPr>
        <w:t>period is the time that a dependent company would need to adapt its commercial activity without the company in which it depends. While the legislators might follow such rationale, the criteria to assess if there is an alternative is not time bound to find an equivalent company or supplier in less than six months. </w:t>
      </w:r>
    </w:p>
    <w:p w14:paraId="3A869D23" w14:textId="2DF1CCCB" w:rsidR="00A026C1" w:rsidRPr="00081629" w:rsidRDefault="00A026C1"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In the </w:t>
      </w:r>
      <w:r w:rsidR="00720055" w:rsidRPr="48D21451">
        <w:rPr>
          <w:rFonts w:ascii="Times New Roman" w:hAnsi="Times New Roman" w:cs="Times New Roman"/>
          <w:sz w:val="20"/>
          <w:szCs w:val="20"/>
          <w:lang w:val="en-GB"/>
        </w:rPr>
        <w:t xml:space="preserve">judgment of the </w:t>
      </w:r>
      <w:r w:rsidRPr="48D21451">
        <w:rPr>
          <w:rFonts w:ascii="Times New Roman" w:hAnsi="Times New Roman" w:cs="Times New Roman"/>
          <w:sz w:val="20"/>
          <w:szCs w:val="20"/>
          <w:lang w:val="en-GB"/>
        </w:rPr>
        <w:t xml:space="preserve">Barcelona </w:t>
      </w:r>
      <w:r w:rsidR="1BC41BA7" w:rsidRPr="48D21451">
        <w:rPr>
          <w:rFonts w:ascii="Times New Roman" w:hAnsi="Times New Roman" w:cs="Times New Roman"/>
          <w:sz w:val="20"/>
          <w:szCs w:val="20"/>
          <w:lang w:val="en-GB"/>
        </w:rPr>
        <w:t>Provincial Court</w:t>
      </w:r>
      <w:r w:rsidRPr="48D21451">
        <w:rPr>
          <w:rFonts w:ascii="Times New Roman" w:hAnsi="Times New Roman" w:cs="Times New Roman"/>
          <w:sz w:val="20"/>
          <w:szCs w:val="20"/>
          <w:lang w:val="en-GB"/>
        </w:rPr>
        <w:t xml:space="preserve"> dated 31 July 2017 (ECLI:</w:t>
      </w:r>
      <w:bookmarkStart w:id="21" w:name="_Int_tdBpnWMC"/>
      <w:r w:rsidRPr="48D21451">
        <w:rPr>
          <w:rFonts w:ascii="Times New Roman" w:hAnsi="Times New Roman" w:cs="Times New Roman"/>
          <w:sz w:val="20"/>
          <w:szCs w:val="20"/>
          <w:lang w:val="en-GB"/>
        </w:rPr>
        <w:t>ES:JMB</w:t>
      </w:r>
      <w:bookmarkEnd w:id="21"/>
      <w:r w:rsidRPr="48D21451">
        <w:rPr>
          <w:rFonts w:ascii="Times New Roman" w:hAnsi="Times New Roman" w:cs="Times New Roman"/>
          <w:sz w:val="20"/>
          <w:szCs w:val="20"/>
          <w:lang w:val="en-GB"/>
        </w:rPr>
        <w:t xml:space="preserve">:2017:4565) the Court </w:t>
      </w:r>
      <w:r w:rsidR="4FD6D718" w:rsidRPr="48D21451">
        <w:rPr>
          <w:rFonts w:ascii="Times New Roman" w:hAnsi="Times New Roman" w:cs="Times New Roman"/>
          <w:sz w:val="20"/>
          <w:szCs w:val="20"/>
          <w:lang w:val="en-GB"/>
        </w:rPr>
        <w:t>analyses</w:t>
      </w:r>
      <w:r w:rsidRPr="48D21451">
        <w:rPr>
          <w:rFonts w:ascii="Times New Roman" w:hAnsi="Times New Roman" w:cs="Times New Roman"/>
          <w:sz w:val="20"/>
          <w:szCs w:val="20"/>
          <w:lang w:val="en-GB"/>
        </w:rPr>
        <w:t xml:space="preserve"> a case where a company </w:t>
      </w:r>
      <w:r w:rsidR="009E02D8" w:rsidRPr="48D21451">
        <w:rPr>
          <w:rFonts w:ascii="Times New Roman" w:hAnsi="Times New Roman" w:cs="Times New Roman"/>
          <w:sz w:val="20"/>
          <w:szCs w:val="20"/>
          <w:lang w:val="en-GB"/>
        </w:rPr>
        <w:t xml:space="preserve">terminated </w:t>
      </w:r>
      <w:r w:rsidRPr="48D21451">
        <w:rPr>
          <w:rFonts w:ascii="Times New Roman" w:hAnsi="Times New Roman" w:cs="Times New Roman"/>
          <w:sz w:val="20"/>
          <w:szCs w:val="20"/>
          <w:lang w:val="en-GB"/>
        </w:rPr>
        <w:t xml:space="preserve">with prior notice its commercial relationship with its distributor, with whom it had an indefinite and exclusive contract. While the </w:t>
      </w:r>
      <w:r w:rsidR="009E02D8" w:rsidRPr="48D21451">
        <w:rPr>
          <w:rFonts w:ascii="Times New Roman" w:hAnsi="Times New Roman" w:cs="Times New Roman"/>
          <w:sz w:val="20"/>
          <w:szCs w:val="20"/>
          <w:lang w:val="en-GB"/>
        </w:rPr>
        <w:t>distributor</w:t>
      </w:r>
      <w:r w:rsidRPr="48D21451">
        <w:rPr>
          <w:rFonts w:ascii="Times New Roman" w:hAnsi="Times New Roman" w:cs="Times New Roman"/>
          <w:sz w:val="20"/>
          <w:szCs w:val="20"/>
          <w:lang w:val="en-GB"/>
        </w:rPr>
        <w:t xml:space="preserve"> was dependent on the </w:t>
      </w:r>
      <w:r w:rsidR="009E02D8" w:rsidRPr="48D21451">
        <w:rPr>
          <w:rFonts w:ascii="Times New Roman" w:hAnsi="Times New Roman" w:cs="Times New Roman"/>
          <w:sz w:val="20"/>
          <w:szCs w:val="20"/>
          <w:lang w:val="en-GB"/>
        </w:rPr>
        <w:t>supplier</w:t>
      </w:r>
      <w:r w:rsidRPr="48D21451">
        <w:rPr>
          <w:rFonts w:ascii="Times New Roman" w:hAnsi="Times New Roman" w:cs="Times New Roman"/>
          <w:sz w:val="20"/>
          <w:szCs w:val="20"/>
          <w:lang w:val="en-GB"/>
        </w:rPr>
        <w:t xml:space="preserve">, what otherwise would have been considered an unlawful termination of </w:t>
      </w:r>
      <w:r w:rsidR="009E02D8" w:rsidRPr="48D21451">
        <w:rPr>
          <w:rFonts w:ascii="Times New Roman" w:hAnsi="Times New Roman" w:cs="Times New Roman"/>
          <w:sz w:val="20"/>
          <w:szCs w:val="20"/>
          <w:lang w:val="en-GB"/>
        </w:rPr>
        <w:t xml:space="preserve">a commercial </w:t>
      </w:r>
      <w:r w:rsidRPr="48D21451">
        <w:rPr>
          <w:rFonts w:ascii="Times New Roman" w:hAnsi="Times New Roman" w:cs="Times New Roman"/>
          <w:sz w:val="20"/>
          <w:szCs w:val="20"/>
          <w:lang w:val="en-GB"/>
        </w:rPr>
        <w:t>relation</w:t>
      </w:r>
      <w:r w:rsidR="009E02D8" w:rsidRPr="48D21451">
        <w:rPr>
          <w:rFonts w:ascii="Times New Roman" w:hAnsi="Times New Roman" w:cs="Times New Roman"/>
          <w:sz w:val="20"/>
          <w:szCs w:val="20"/>
          <w:lang w:val="en-GB"/>
        </w:rPr>
        <w:t>ship</w:t>
      </w:r>
      <w:r w:rsidRPr="48D21451">
        <w:rPr>
          <w:rFonts w:ascii="Times New Roman" w:hAnsi="Times New Roman" w:cs="Times New Roman"/>
          <w:sz w:val="20"/>
          <w:szCs w:val="20"/>
          <w:lang w:val="en-GB"/>
        </w:rPr>
        <w:t xml:space="preserve">, was </w:t>
      </w:r>
      <w:r w:rsidR="009E02D8" w:rsidRPr="48D21451">
        <w:rPr>
          <w:rFonts w:ascii="Times New Roman" w:hAnsi="Times New Roman" w:cs="Times New Roman"/>
          <w:sz w:val="20"/>
          <w:szCs w:val="20"/>
          <w:lang w:val="en-GB"/>
        </w:rPr>
        <w:t xml:space="preserve">considered lawful </w:t>
      </w:r>
      <w:r w:rsidRPr="48D21451">
        <w:rPr>
          <w:rFonts w:ascii="Times New Roman" w:hAnsi="Times New Roman" w:cs="Times New Roman"/>
          <w:sz w:val="20"/>
          <w:szCs w:val="20"/>
          <w:lang w:val="en-GB"/>
        </w:rPr>
        <w:t xml:space="preserve">because the claimant had been given sufficient time to reorient </w:t>
      </w:r>
      <w:r w:rsidR="000135BD" w:rsidRPr="48D21451">
        <w:rPr>
          <w:rFonts w:ascii="Times New Roman" w:hAnsi="Times New Roman" w:cs="Times New Roman"/>
          <w:sz w:val="20"/>
          <w:szCs w:val="20"/>
          <w:lang w:val="en-GB"/>
        </w:rPr>
        <w:t>its</w:t>
      </w:r>
      <w:r w:rsidRPr="48D21451">
        <w:rPr>
          <w:rFonts w:ascii="Times New Roman" w:hAnsi="Times New Roman" w:cs="Times New Roman"/>
          <w:sz w:val="20"/>
          <w:szCs w:val="20"/>
          <w:lang w:val="en-GB"/>
        </w:rPr>
        <w:t xml:space="preserve"> activity </w:t>
      </w:r>
      <w:r w:rsidR="009E02D8" w:rsidRPr="48D21451">
        <w:rPr>
          <w:rFonts w:ascii="Times New Roman" w:hAnsi="Times New Roman" w:cs="Times New Roman"/>
          <w:sz w:val="20"/>
          <w:szCs w:val="20"/>
          <w:lang w:val="en-GB"/>
        </w:rPr>
        <w:t>after the termination</w:t>
      </w:r>
      <w:r w:rsidRPr="48D21451">
        <w:rPr>
          <w:rFonts w:ascii="Times New Roman" w:hAnsi="Times New Roman" w:cs="Times New Roman"/>
          <w:sz w:val="20"/>
          <w:szCs w:val="20"/>
          <w:lang w:val="en-GB"/>
        </w:rPr>
        <w:t>.</w:t>
      </w:r>
    </w:p>
    <w:p w14:paraId="59472167"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lastRenderedPageBreak/>
        <w:t xml:space="preserve">However, this raises an interesting discussion. When it comes to urgent commercial deals, any company would be dependent on others unless there was an immediate alternative. For instance, if a business in agriculture regularly works with a supplier, it could not be argued that such a company is dependent if it </w:t>
      </w:r>
      <w:r w:rsidR="00FD391E" w:rsidRPr="00081629">
        <w:rPr>
          <w:rFonts w:ascii="Times New Roman" w:hAnsi="Times New Roman" w:cs="Times New Roman"/>
          <w:sz w:val="20"/>
          <w:szCs w:val="20"/>
          <w:lang w:val="en-GB"/>
        </w:rPr>
        <w:t>cannot</w:t>
      </w:r>
      <w:r w:rsidRPr="00081629">
        <w:rPr>
          <w:rFonts w:ascii="Times New Roman" w:hAnsi="Times New Roman" w:cs="Times New Roman"/>
          <w:sz w:val="20"/>
          <w:szCs w:val="20"/>
          <w:lang w:val="en-GB"/>
        </w:rPr>
        <w:t xml:space="preserve"> find a viable equivalent alternative in a short period of time, regardless of the narrow time window the agricultural company has before its product goes to waste.</w:t>
      </w:r>
    </w:p>
    <w:p w14:paraId="18D95685" w14:textId="77777777" w:rsidR="00A026C1" w:rsidRPr="00081629" w:rsidRDefault="00A026C1"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To sum up, using time as a criterion to assess alternatives must be done cautiously. The relevant market can be influenced by time constraints and operate on longer or shorter notice. The assessment on economic dependence and the existence of alternatives must take into consideration the specifics of the market, but there is not a fixed criteria on time to assess the existence of alternatives and determine if a company is economically dependent on another which would have relative market power. </w:t>
      </w:r>
    </w:p>
    <w:p w14:paraId="64D8E795" w14:textId="77777777" w:rsidR="00F1430A" w:rsidRPr="00081629" w:rsidRDefault="00F1430A" w:rsidP="00930BE2">
      <w:pPr>
        <w:spacing w:line="276" w:lineRule="auto"/>
        <w:jc w:val="both"/>
        <w:rPr>
          <w:rFonts w:ascii="Times New Roman" w:hAnsi="Times New Roman" w:cs="Times New Roman"/>
          <w:sz w:val="20"/>
          <w:szCs w:val="20"/>
          <w:lang w:val="en-GB"/>
        </w:rPr>
      </w:pPr>
    </w:p>
    <w:p w14:paraId="703932F7" w14:textId="77777777" w:rsidR="00AE4694" w:rsidRPr="00081629" w:rsidRDefault="00AE4694" w:rsidP="00930BE2">
      <w:pPr>
        <w:spacing w:line="276" w:lineRule="auto"/>
        <w:jc w:val="both"/>
        <w:rPr>
          <w:rFonts w:ascii="Times New Roman" w:hAnsi="Times New Roman" w:cs="Times New Roman"/>
          <w:b/>
          <w:bCs/>
          <w:sz w:val="20"/>
          <w:szCs w:val="20"/>
          <w:lang w:val="en-GB"/>
        </w:rPr>
      </w:pPr>
      <w:r w:rsidRPr="00081629">
        <w:rPr>
          <w:rFonts w:ascii="Times New Roman" w:hAnsi="Times New Roman" w:cs="Times New Roman"/>
          <w:b/>
          <w:bCs/>
          <w:sz w:val="20"/>
          <w:szCs w:val="20"/>
          <w:lang w:val="en-GB"/>
        </w:rPr>
        <w:t>2.5 Other criteria to determine relative market power</w:t>
      </w:r>
    </w:p>
    <w:p w14:paraId="5D6526E3" w14:textId="77777777" w:rsidR="00AE4694" w:rsidRPr="00081629" w:rsidRDefault="00AE4694"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Spanish law does not establish fixed thresholds for the size, turnover, products or brands that automatically determine whether an undertaking has relative market power. </w:t>
      </w:r>
    </w:p>
    <w:p w14:paraId="0C91C7BB" w14:textId="77777777" w:rsidR="00AE4694" w:rsidRPr="00081629" w:rsidRDefault="00AE4694"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The Spanish legal framework adopts a case-by-case approach to address the concept of “</w:t>
      </w:r>
      <w:r w:rsidR="00184E29" w:rsidRPr="00081629">
        <w:rPr>
          <w:rFonts w:ascii="Times New Roman" w:hAnsi="Times New Roman" w:cs="Times New Roman"/>
          <w:sz w:val="20"/>
          <w:szCs w:val="20"/>
          <w:lang w:val="en-GB"/>
        </w:rPr>
        <w:t>r</w:t>
      </w:r>
      <w:r w:rsidRPr="00081629">
        <w:rPr>
          <w:rFonts w:ascii="Times New Roman" w:hAnsi="Times New Roman" w:cs="Times New Roman"/>
          <w:sz w:val="20"/>
          <w:szCs w:val="20"/>
          <w:lang w:val="en-GB"/>
        </w:rPr>
        <w:t xml:space="preserve">elative </w:t>
      </w:r>
      <w:r w:rsidR="00184E29" w:rsidRPr="00081629">
        <w:rPr>
          <w:rFonts w:ascii="Times New Roman" w:hAnsi="Times New Roman" w:cs="Times New Roman"/>
          <w:sz w:val="20"/>
          <w:szCs w:val="20"/>
          <w:lang w:val="en-GB"/>
        </w:rPr>
        <w:t>m</w:t>
      </w:r>
      <w:r w:rsidRPr="00081629">
        <w:rPr>
          <w:rFonts w:ascii="Times New Roman" w:hAnsi="Times New Roman" w:cs="Times New Roman"/>
          <w:sz w:val="20"/>
          <w:szCs w:val="20"/>
          <w:lang w:val="en-GB"/>
        </w:rPr>
        <w:t xml:space="preserve">arket </w:t>
      </w:r>
      <w:r w:rsidR="00184E29" w:rsidRPr="00081629">
        <w:rPr>
          <w:rFonts w:ascii="Times New Roman" w:hAnsi="Times New Roman" w:cs="Times New Roman"/>
          <w:sz w:val="20"/>
          <w:szCs w:val="20"/>
          <w:lang w:val="en-GB"/>
        </w:rPr>
        <w:t>p</w:t>
      </w:r>
      <w:r w:rsidRPr="00081629">
        <w:rPr>
          <w:rFonts w:ascii="Times New Roman" w:hAnsi="Times New Roman" w:cs="Times New Roman"/>
          <w:sz w:val="20"/>
          <w:szCs w:val="20"/>
          <w:lang w:val="en-GB"/>
        </w:rPr>
        <w:t>ower”</w:t>
      </w:r>
      <w:r w:rsidR="00184E29"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 xml:space="preserve"> Article 16.2 of the </w:t>
      </w:r>
      <w:r w:rsidR="00184E29" w:rsidRPr="00081629">
        <w:rPr>
          <w:rFonts w:ascii="Times New Roman" w:hAnsi="Times New Roman" w:cs="Times New Roman"/>
          <w:sz w:val="20"/>
          <w:szCs w:val="20"/>
          <w:lang w:val="en-GB"/>
        </w:rPr>
        <w:t>UCA</w:t>
      </w:r>
      <w:r w:rsidRPr="00081629">
        <w:rPr>
          <w:rFonts w:ascii="Times New Roman" w:hAnsi="Times New Roman" w:cs="Times New Roman"/>
          <w:sz w:val="20"/>
          <w:szCs w:val="20"/>
          <w:lang w:val="en-GB"/>
        </w:rPr>
        <w:t xml:space="preserve"> focuses on the dependence and ability of an undertaking to significantly affect the commercial freedom of its counterpart, regardless of its overall market share.</w:t>
      </w:r>
    </w:p>
    <w:p w14:paraId="4FA80EAD" w14:textId="28A715A1" w:rsidR="00AE4694" w:rsidRPr="00081629" w:rsidRDefault="00AE4694"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When assessing whether an undertaking has relative market power, qualitative and contextual factors </w:t>
      </w:r>
      <w:r w:rsidR="0041100C" w:rsidRPr="48D21451">
        <w:rPr>
          <w:rFonts w:ascii="Times New Roman" w:hAnsi="Times New Roman" w:cs="Times New Roman"/>
          <w:sz w:val="20"/>
          <w:szCs w:val="20"/>
          <w:lang w:val="en-GB"/>
        </w:rPr>
        <w:t>come into play to</w:t>
      </w:r>
      <w:r w:rsidRPr="48D21451">
        <w:rPr>
          <w:rFonts w:ascii="Times New Roman" w:hAnsi="Times New Roman" w:cs="Times New Roman"/>
          <w:sz w:val="20"/>
          <w:szCs w:val="20"/>
          <w:lang w:val="en-GB"/>
        </w:rPr>
        <w:t xml:space="preserve"> </w:t>
      </w:r>
      <w:r w:rsidR="63EFCF6E" w:rsidRPr="48D21451">
        <w:rPr>
          <w:rFonts w:ascii="Times New Roman" w:hAnsi="Times New Roman" w:cs="Times New Roman"/>
          <w:sz w:val="20"/>
          <w:szCs w:val="20"/>
          <w:lang w:val="en-GB"/>
        </w:rPr>
        <w:t>analysed</w:t>
      </w:r>
      <w:r w:rsidR="0041100C" w:rsidRPr="48D21451">
        <w:rPr>
          <w:rFonts w:ascii="Times New Roman" w:hAnsi="Times New Roman" w:cs="Times New Roman"/>
          <w:sz w:val="20"/>
          <w:szCs w:val="20"/>
          <w:lang w:val="en-GB"/>
        </w:rPr>
        <w:t xml:space="preserve"> the </w:t>
      </w:r>
      <w:r w:rsidR="00184E29" w:rsidRPr="48D21451">
        <w:rPr>
          <w:rFonts w:ascii="Times New Roman" w:hAnsi="Times New Roman" w:cs="Times New Roman"/>
          <w:sz w:val="20"/>
          <w:szCs w:val="20"/>
          <w:lang w:val="en-GB"/>
        </w:rPr>
        <w:t>commercial relationship</w:t>
      </w:r>
      <w:r w:rsidRPr="48D21451">
        <w:rPr>
          <w:rFonts w:ascii="Times New Roman" w:hAnsi="Times New Roman" w:cs="Times New Roman"/>
          <w:sz w:val="20"/>
          <w:szCs w:val="20"/>
          <w:lang w:val="en-GB"/>
        </w:rPr>
        <w:t xml:space="preserve"> from the point of view of </w:t>
      </w:r>
      <w:r w:rsidR="0041100C" w:rsidRPr="48D21451">
        <w:rPr>
          <w:rFonts w:ascii="Times New Roman" w:hAnsi="Times New Roman" w:cs="Times New Roman"/>
          <w:sz w:val="20"/>
          <w:szCs w:val="20"/>
          <w:lang w:val="en-GB"/>
        </w:rPr>
        <w:t xml:space="preserve">economic </w:t>
      </w:r>
      <w:r w:rsidRPr="48D21451">
        <w:rPr>
          <w:rFonts w:ascii="Times New Roman" w:hAnsi="Times New Roman" w:cs="Times New Roman"/>
          <w:sz w:val="20"/>
          <w:szCs w:val="20"/>
          <w:lang w:val="en-GB"/>
        </w:rPr>
        <w:t>dependency. </w:t>
      </w:r>
    </w:p>
    <w:p w14:paraId="7D47D018" w14:textId="77777777" w:rsidR="00AE4694" w:rsidRPr="00081629" w:rsidRDefault="0A90042C" w:rsidP="00930BE2">
      <w:pPr>
        <w:spacing w:line="276" w:lineRule="auto"/>
        <w:jc w:val="both"/>
        <w:rPr>
          <w:rFonts w:ascii="Times New Roman" w:eastAsia="Times New Roman" w:hAnsi="Times New Roman" w:cs="Times New Roman"/>
          <w:b/>
          <w:bCs/>
          <w:color w:val="000000" w:themeColor="text1"/>
          <w:sz w:val="20"/>
          <w:szCs w:val="20"/>
          <w:lang w:val="en-GB"/>
        </w:rPr>
      </w:pPr>
      <w:r w:rsidRPr="00081629">
        <w:rPr>
          <w:rFonts w:ascii="Times New Roman" w:hAnsi="Times New Roman" w:cs="Times New Roman"/>
          <w:sz w:val="20"/>
          <w:szCs w:val="20"/>
          <w:lang w:val="en-GB"/>
        </w:rPr>
        <w:t>However, although size and turnover are not solely considered for determining relative market power, Spanish case law has</w:t>
      </w:r>
      <w:r w:rsidR="00184E29"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assessed turnover to determine</w:t>
      </w:r>
      <w:r w:rsidR="00184E29" w:rsidRPr="00081629">
        <w:rPr>
          <w:rFonts w:ascii="Times New Roman" w:hAnsi="Times New Roman" w:cs="Times New Roman"/>
          <w:sz w:val="20"/>
          <w:szCs w:val="20"/>
          <w:lang w:val="en-GB"/>
        </w:rPr>
        <w:t xml:space="preserve"> </w:t>
      </w:r>
      <w:r w:rsidRPr="00081629">
        <w:rPr>
          <w:rFonts w:ascii="Times New Roman" w:hAnsi="Times New Roman" w:cs="Times New Roman"/>
          <w:sz w:val="20"/>
          <w:szCs w:val="20"/>
          <w:lang w:val="en-GB"/>
        </w:rPr>
        <w:t xml:space="preserve">if the alleged dependent company has equivalent alternatives. </w:t>
      </w:r>
      <w:r w:rsidR="007B7AC5" w:rsidRPr="00081629">
        <w:rPr>
          <w:rFonts w:ascii="Times New Roman" w:hAnsi="Times New Roman" w:cs="Times New Roman"/>
          <w:sz w:val="20"/>
          <w:szCs w:val="20"/>
          <w:lang w:val="en-GB"/>
        </w:rPr>
        <w:t xml:space="preserve">When </w:t>
      </w:r>
      <w:r w:rsidR="00AE4694" w:rsidRPr="00081629">
        <w:rPr>
          <w:rFonts w:ascii="Times New Roman" w:hAnsi="Times New Roman" w:cs="Times New Roman"/>
          <w:sz w:val="20"/>
          <w:szCs w:val="20"/>
          <w:lang w:val="en-GB"/>
        </w:rPr>
        <w:t>it comes to assessing relative market power</w:t>
      </w:r>
      <w:r w:rsidR="00602880" w:rsidRPr="00081629">
        <w:rPr>
          <w:rFonts w:ascii="Times New Roman" w:hAnsi="Times New Roman" w:cs="Times New Roman"/>
          <w:sz w:val="20"/>
          <w:szCs w:val="20"/>
          <w:lang w:val="en-GB"/>
        </w:rPr>
        <w:t>,</w:t>
      </w:r>
      <w:r w:rsidR="00AE4694" w:rsidRPr="00081629">
        <w:rPr>
          <w:rFonts w:ascii="Times New Roman" w:hAnsi="Times New Roman" w:cs="Times New Roman"/>
          <w:sz w:val="20"/>
          <w:szCs w:val="20"/>
          <w:lang w:val="en-GB"/>
        </w:rPr>
        <w:t xml:space="preserve"> </w:t>
      </w:r>
      <w:r w:rsidR="007B7AC5" w:rsidRPr="00081629">
        <w:rPr>
          <w:rFonts w:ascii="Times New Roman" w:hAnsi="Times New Roman" w:cs="Times New Roman"/>
          <w:sz w:val="20"/>
          <w:szCs w:val="20"/>
          <w:lang w:val="en-GB"/>
        </w:rPr>
        <w:t xml:space="preserve">case law has considered </w:t>
      </w:r>
      <w:r w:rsidR="00AE4694" w:rsidRPr="00081629">
        <w:rPr>
          <w:rFonts w:ascii="Times New Roman" w:hAnsi="Times New Roman" w:cs="Times New Roman"/>
          <w:sz w:val="20"/>
          <w:szCs w:val="20"/>
          <w:lang w:val="en-GB"/>
        </w:rPr>
        <w:t xml:space="preserve">the sector where the dominant company operates. Certain markets are especially inaccessible for new operators and heavily regulated. In the </w:t>
      </w:r>
      <w:r w:rsidR="00184E29" w:rsidRPr="00081629">
        <w:rPr>
          <w:rFonts w:ascii="Times New Roman" w:hAnsi="Times New Roman" w:cs="Times New Roman"/>
          <w:sz w:val="20"/>
          <w:szCs w:val="20"/>
          <w:lang w:val="en-GB"/>
        </w:rPr>
        <w:t>judgment of the</w:t>
      </w:r>
      <w:r w:rsidR="006748C5" w:rsidRPr="00081629">
        <w:rPr>
          <w:rFonts w:ascii="Times New Roman" w:hAnsi="Times New Roman" w:cs="Times New Roman"/>
          <w:sz w:val="20"/>
          <w:szCs w:val="20"/>
          <w:lang w:val="en-GB"/>
        </w:rPr>
        <w:t xml:space="preserve"> </w:t>
      </w:r>
      <w:r w:rsidR="372383F9" w:rsidRPr="00081629">
        <w:rPr>
          <w:rFonts w:ascii="Times New Roman" w:hAnsi="Times New Roman" w:cs="Times New Roman"/>
          <w:sz w:val="20"/>
          <w:szCs w:val="20"/>
          <w:lang w:val="en-GB"/>
        </w:rPr>
        <w:t>Provincial Court</w:t>
      </w:r>
      <w:r w:rsidR="00AE4694" w:rsidRPr="00081629">
        <w:rPr>
          <w:rFonts w:ascii="Times New Roman" w:hAnsi="Times New Roman" w:cs="Times New Roman"/>
          <w:sz w:val="20"/>
          <w:szCs w:val="20"/>
          <w:lang w:val="en-GB"/>
        </w:rPr>
        <w:t xml:space="preserve"> of Madrid dated </w:t>
      </w:r>
      <w:r w:rsidR="0D2A192D" w:rsidRPr="00081629">
        <w:rPr>
          <w:rFonts w:ascii="Times New Roman" w:hAnsi="Times New Roman" w:cs="Times New Roman"/>
          <w:sz w:val="20"/>
          <w:szCs w:val="20"/>
          <w:lang w:val="en-GB"/>
        </w:rPr>
        <w:t>23</w:t>
      </w:r>
      <w:r w:rsidR="00AE4694" w:rsidRPr="00081629">
        <w:rPr>
          <w:rFonts w:ascii="Times New Roman" w:hAnsi="Times New Roman" w:cs="Times New Roman"/>
          <w:sz w:val="20"/>
          <w:szCs w:val="20"/>
          <w:lang w:val="en-GB"/>
        </w:rPr>
        <w:t xml:space="preserve"> October 2020 (ECLI:ES:APM:2020:16506), the </w:t>
      </w:r>
      <w:r w:rsidR="00184E29" w:rsidRPr="00081629">
        <w:rPr>
          <w:rFonts w:ascii="Times New Roman" w:hAnsi="Times New Roman" w:cs="Times New Roman"/>
          <w:sz w:val="20"/>
          <w:szCs w:val="20"/>
          <w:lang w:val="en-GB"/>
        </w:rPr>
        <w:t>C</w:t>
      </w:r>
      <w:r w:rsidR="00AE4694" w:rsidRPr="00081629">
        <w:rPr>
          <w:rFonts w:ascii="Times New Roman" w:hAnsi="Times New Roman" w:cs="Times New Roman"/>
          <w:sz w:val="20"/>
          <w:szCs w:val="20"/>
          <w:lang w:val="en-GB"/>
        </w:rPr>
        <w:t>ourt confirm</w:t>
      </w:r>
      <w:r w:rsidR="00184E29" w:rsidRPr="00081629">
        <w:rPr>
          <w:rFonts w:ascii="Times New Roman" w:hAnsi="Times New Roman" w:cs="Times New Roman"/>
          <w:sz w:val="20"/>
          <w:szCs w:val="20"/>
          <w:lang w:val="en-GB"/>
        </w:rPr>
        <w:t>ed</w:t>
      </w:r>
      <w:r w:rsidR="00AE4694" w:rsidRPr="00081629">
        <w:rPr>
          <w:rFonts w:ascii="Times New Roman" w:hAnsi="Times New Roman" w:cs="Times New Roman"/>
          <w:sz w:val="20"/>
          <w:szCs w:val="20"/>
          <w:lang w:val="en-GB"/>
        </w:rPr>
        <w:t xml:space="preserve"> the position of relative market power of the defendant and the lack of alternatives that the dependent company had, though it </w:t>
      </w:r>
      <w:r w:rsidR="00184E29" w:rsidRPr="00081629">
        <w:rPr>
          <w:rFonts w:ascii="Times New Roman" w:hAnsi="Times New Roman" w:cs="Times New Roman"/>
          <w:sz w:val="20"/>
          <w:szCs w:val="20"/>
          <w:lang w:val="en-GB"/>
        </w:rPr>
        <w:t xml:space="preserve">did </w:t>
      </w:r>
      <w:r w:rsidR="00AE4694" w:rsidRPr="00081629">
        <w:rPr>
          <w:rFonts w:ascii="Times New Roman" w:hAnsi="Times New Roman" w:cs="Times New Roman"/>
          <w:sz w:val="20"/>
          <w:szCs w:val="20"/>
          <w:lang w:val="en-GB"/>
        </w:rPr>
        <w:t xml:space="preserve">not appreciate the existence of an abuse of such relative dominance. The sector in question was </w:t>
      </w:r>
      <w:r w:rsidR="003D4C2C" w:rsidRPr="00081629">
        <w:rPr>
          <w:rFonts w:ascii="Times New Roman" w:hAnsi="Times New Roman" w:cs="Times New Roman"/>
          <w:sz w:val="20"/>
          <w:szCs w:val="20"/>
          <w:lang w:val="en-GB"/>
        </w:rPr>
        <w:t>the national</w:t>
      </w:r>
      <w:r w:rsidR="00AE4694" w:rsidRPr="00081629">
        <w:rPr>
          <w:rFonts w:ascii="Times New Roman" w:hAnsi="Times New Roman" w:cs="Times New Roman"/>
          <w:sz w:val="20"/>
          <w:szCs w:val="20"/>
          <w:lang w:val="en-GB"/>
        </w:rPr>
        <w:t xml:space="preserve"> lottery sale points.</w:t>
      </w:r>
      <w:r w:rsidR="00184E29" w:rsidRPr="00081629">
        <w:rPr>
          <w:rFonts w:ascii="Times New Roman" w:hAnsi="Times New Roman" w:cs="Times New Roman"/>
          <w:sz w:val="20"/>
          <w:szCs w:val="20"/>
          <w:lang w:val="en-GB"/>
        </w:rPr>
        <w:t xml:space="preserve"> </w:t>
      </w:r>
      <w:r w:rsidR="00AE4694" w:rsidRPr="00081629">
        <w:rPr>
          <w:rFonts w:ascii="Times New Roman" w:hAnsi="Times New Roman" w:cs="Times New Roman"/>
          <w:sz w:val="20"/>
          <w:szCs w:val="20"/>
          <w:lang w:val="en-GB"/>
        </w:rPr>
        <w:t>In fact, the economic dependency in such market is inherent. When defining the relevant market, the Court state</w:t>
      </w:r>
      <w:r w:rsidR="00184E29" w:rsidRPr="00081629">
        <w:rPr>
          <w:rFonts w:ascii="Times New Roman" w:hAnsi="Times New Roman" w:cs="Times New Roman"/>
          <w:sz w:val="20"/>
          <w:szCs w:val="20"/>
          <w:lang w:val="en-GB"/>
        </w:rPr>
        <w:t>d</w:t>
      </w:r>
      <w:r w:rsidR="00AE4694" w:rsidRPr="00081629">
        <w:rPr>
          <w:rFonts w:ascii="Times New Roman" w:hAnsi="Times New Roman" w:cs="Times New Roman"/>
          <w:sz w:val="20"/>
          <w:szCs w:val="20"/>
          <w:lang w:val="en-GB"/>
        </w:rPr>
        <w:t xml:space="preserve"> that not even other state-run games or privately run betting games could be included in the relevant market, as these constitute other areas that are distinct from the strict structure of national lottery sale points.</w:t>
      </w:r>
    </w:p>
    <w:p w14:paraId="47073356" w14:textId="77777777" w:rsidR="00AE4694" w:rsidRPr="00081629" w:rsidRDefault="6355B5A2" w:rsidP="00930BE2">
      <w:pPr>
        <w:spacing w:line="276" w:lineRule="auto"/>
        <w:jc w:val="both"/>
        <w:rPr>
          <w:rFonts w:ascii="Times New Roman" w:eastAsia="Times New Roman" w:hAnsi="Times New Roman" w:cs="Times New Roman"/>
          <w:b/>
          <w:bCs/>
          <w:color w:val="000000" w:themeColor="text1"/>
          <w:sz w:val="20"/>
          <w:szCs w:val="20"/>
          <w:lang w:val="en-GB"/>
        </w:rPr>
      </w:pPr>
      <w:r w:rsidRPr="00081629">
        <w:rPr>
          <w:rFonts w:ascii="Times New Roman" w:eastAsia="Times New Roman" w:hAnsi="Times New Roman" w:cs="Times New Roman"/>
          <w:color w:val="000000" w:themeColor="text1"/>
          <w:sz w:val="20"/>
          <w:szCs w:val="20"/>
          <w:lang w:val="en-GB"/>
        </w:rPr>
        <w:t xml:space="preserve">However, this view was later clarified by the Spanish Supreme Court in its judgment of 27 May 2025 (ECLI:ES:TS:2025:2348), which stressed that holding relative market power does not, by itself, constitute an abuse. According to the Supreme Court, </w:t>
      </w:r>
      <w:r w:rsidR="00184E29" w:rsidRPr="00081629">
        <w:rPr>
          <w:rFonts w:ascii="Times New Roman" w:eastAsia="Times New Roman" w:hAnsi="Times New Roman" w:cs="Times New Roman"/>
          <w:color w:val="000000" w:themeColor="text1"/>
          <w:sz w:val="20"/>
          <w:szCs w:val="20"/>
          <w:lang w:val="en-GB"/>
        </w:rPr>
        <w:t xml:space="preserve">an </w:t>
      </w:r>
      <w:r w:rsidRPr="00081629">
        <w:rPr>
          <w:rFonts w:ascii="Times New Roman" w:eastAsia="Times New Roman" w:hAnsi="Times New Roman" w:cs="Times New Roman"/>
          <w:color w:val="000000" w:themeColor="text1"/>
          <w:sz w:val="20"/>
          <w:szCs w:val="20"/>
          <w:lang w:val="en-GB"/>
        </w:rPr>
        <w:t>abuse</w:t>
      </w:r>
      <w:r w:rsidR="00184E29" w:rsidRPr="00081629">
        <w:rPr>
          <w:rFonts w:ascii="Times New Roman" w:eastAsia="Times New Roman" w:hAnsi="Times New Roman" w:cs="Times New Roman"/>
          <w:color w:val="000000" w:themeColor="text1"/>
          <w:sz w:val="20"/>
          <w:szCs w:val="20"/>
          <w:lang w:val="en-GB"/>
        </w:rPr>
        <w:t xml:space="preserve"> of economic dependence</w:t>
      </w:r>
      <w:r w:rsidRPr="00081629">
        <w:rPr>
          <w:rFonts w:ascii="Times New Roman" w:eastAsia="Times New Roman" w:hAnsi="Times New Roman" w:cs="Times New Roman"/>
          <w:color w:val="000000" w:themeColor="text1"/>
          <w:sz w:val="20"/>
          <w:szCs w:val="20"/>
          <w:lang w:val="en-GB"/>
        </w:rPr>
        <w:t xml:space="preserve"> requires</w:t>
      </w:r>
      <w:r w:rsidR="01050E50" w:rsidRPr="00081629">
        <w:rPr>
          <w:rFonts w:ascii="Times New Roman" w:eastAsia="Times New Roman" w:hAnsi="Times New Roman" w:cs="Times New Roman"/>
          <w:color w:val="000000" w:themeColor="text1"/>
          <w:sz w:val="20"/>
          <w:szCs w:val="20"/>
          <w:lang w:val="en-GB"/>
        </w:rPr>
        <w:t xml:space="preserve"> </w:t>
      </w:r>
      <w:r w:rsidR="00184E29" w:rsidRPr="00081629">
        <w:rPr>
          <w:rFonts w:ascii="Times New Roman" w:eastAsia="Times New Roman" w:hAnsi="Times New Roman" w:cs="Times New Roman"/>
          <w:color w:val="000000" w:themeColor="text1"/>
          <w:sz w:val="20"/>
          <w:szCs w:val="20"/>
          <w:lang w:val="en-GB"/>
        </w:rPr>
        <w:t xml:space="preserve">a </w:t>
      </w:r>
      <w:r w:rsidR="002C2046" w:rsidRPr="00081629">
        <w:rPr>
          <w:rFonts w:ascii="Times New Roman" w:eastAsia="Times New Roman" w:hAnsi="Times New Roman" w:cs="Times New Roman"/>
          <w:color w:val="000000" w:themeColor="text1"/>
          <w:sz w:val="20"/>
          <w:szCs w:val="20"/>
          <w:lang w:val="en-GB"/>
        </w:rPr>
        <w:t>conduct</w:t>
      </w:r>
      <w:r w:rsidRPr="00081629">
        <w:rPr>
          <w:rFonts w:ascii="Times New Roman" w:eastAsia="Times New Roman" w:hAnsi="Times New Roman" w:cs="Times New Roman"/>
          <w:color w:val="000000" w:themeColor="text1"/>
          <w:sz w:val="20"/>
          <w:szCs w:val="20"/>
          <w:lang w:val="en-GB"/>
        </w:rPr>
        <w:t xml:space="preserve"> that is objectively unjustified, disproportionate, and detrimental to the dependent undertaking. In the case at hand, </w:t>
      </w:r>
      <w:r w:rsidR="3765ED7C" w:rsidRPr="00081629">
        <w:rPr>
          <w:rFonts w:ascii="Times New Roman" w:eastAsia="Times New Roman" w:hAnsi="Times New Roman" w:cs="Times New Roman"/>
          <w:color w:val="000000" w:themeColor="text1"/>
          <w:sz w:val="20"/>
          <w:szCs w:val="20"/>
          <w:lang w:val="en-GB"/>
        </w:rPr>
        <w:t>the defendant</w:t>
      </w:r>
      <w:r w:rsidRPr="00081629">
        <w:rPr>
          <w:rFonts w:ascii="Times New Roman" w:eastAsia="Times New Roman" w:hAnsi="Times New Roman" w:cs="Times New Roman"/>
          <w:color w:val="000000" w:themeColor="text1"/>
          <w:sz w:val="20"/>
          <w:szCs w:val="20"/>
          <w:lang w:val="en-GB"/>
        </w:rPr>
        <w:t>'s introduction of new sales channels</w:t>
      </w:r>
      <w:r w:rsidR="00184E29" w:rsidRPr="00081629">
        <w:rPr>
          <w:rFonts w:ascii="Times New Roman" w:eastAsia="Times New Roman" w:hAnsi="Times New Roman" w:cs="Times New Roman"/>
          <w:color w:val="000000" w:themeColor="text1"/>
          <w:sz w:val="20"/>
          <w:szCs w:val="20"/>
          <w:lang w:val="en-GB"/>
        </w:rPr>
        <w:t xml:space="preserve"> (online channel)</w:t>
      </w:r>
      <w:r w:rsidR="0C8CFDC2" w:rsidRPr="00081629">
        <w:rPr>
          <w:rFonts w:ascii="Times New Roman" w:eastAsia="Times New Roman" w:hAnsi="Times New Roman" w:cs="Times New Roman"/>
          <w:color w:val="000000" w:themeColor="text1"/>
          <w:sz w:val="20"/>
          <w:szCs w:val="20"/>
          <w:lang w:val="en-GB"/>
        </w:rPr>
        <w:t xml:space="preserve"> w</w:t>
      </w:r>
      <w:r w:rsidRPr="00081629">
        <w:rPr>
          <w:rFonts w:ascii="Times New Roman" w:eastAsia="Times New Roman" w:hAnsi="Times New Roman" w:cs="Times New Roman"/>
          <w:color w:val="000000" w:themeColor="text1"/>
          <w:sz w:val="20"/>
          <w:szCs w:val="20"/>
          <w:lang w:val="en-GB"/>
        </w:rPr>
        <w:t>as deemed legitimate, proportionate and not discriminatory, particularly given that traditional lottery agents continued to benefit from these channels. Therefore, while economic dependence was acknowledged, no abuse of that dependence was found.</w:t>
      </w:r>
    </w:p>
    <w:p w14:paraId="7A49456D" w14:textId="77777777" w:rsidR="00AE4694" w:rsidRPr="00081629" w:rsidRDefault="00AE4694" w:rsidP="00930BE2">
      <w:pPr>
        <w:spacing w:line="276" w:lineRule="auto"/>
        <w:jc w:val="both"/>
        <w:rPr>
          <w:rFonts w:ascii="Times New Roman" w:hAnsi="Times New Roman" w:cs="Times New Roman"/>
          <w:sz w:val="20"/>
          <w:szCs w:val="20"/>
          <w:lang w:val="en-GB"/>
        </w:rPr>
      </w:pPr>
      <w:r w:rsidRPr="00081629">
        <w:rPr>
          <w:rFonts w:ascii="Times New Roman" w:hAnsi="Times New Roman" w:cs="Times New Roman"/>
          <w:sz w:val="20"/>
          <w:szCs w:val="20"/>
          <w:lang w:val="en-GB"/>
        </w:rPr>
        <w:t xml:space="preserve">In another judgment </w:t>
      </w:r>
      <w:r w:rsidR="00184E29" w:rsidRPr="00081629">
        <w:rPr>
          <w:rFonts w:ascii="Times New Roman" w:hAnsi="Times New Roman" w:cs="Times New Roman"/>
          <w:sz w:val="20"/>
          <w:szCs w:val="20"/>
          <w:lang w:val="en-GB"/>
        </w:rPr>
        <w:t xml:space="preserve">of the Commercial Court of Madrid </w:t>
      </w:r>
      <w:r w:rsidRPr="00081629">
        <w:rPr>
          <w:rFonts w:ascii="Times New Roman" w:hAnsi="Times New Roman" w:cs="Times New Roman"/>
          <w:sz w:val="20"/>
          <w:szCs w:val="20"/>
          <w:lang w:val="en-GB"/>
        </w:rPr>
        <w:t>dated 8 April 2019 (ECLI:ES:JMM:2019:221)</w:t>
      </w:r>
      <w:r w:rsidR="00B84AD3" w:rsidRPr="00081629">
        <w:rPr>
          <w:rFonts w:ascii="Times New Roman" w:hAnsi="Times New Roman" w:cs="Times New Roman"/>
          <w:sz w:val="20"/>
          <w:szCs w:val="20"/>
          <w:lang w:val="en-GB"/>
        </w:rPr>
        <w:t>,</w:t>
      </w:r>
      <w:r w:rsidRPr="00081629">
        <w:rPr>
          <w:rFonts w:ascii="Times New Roman" w:hAnsi="Times New Roman" w:cs="Times New Roman"/>
          <w:sz w:val="20"/>
          <w:szCs w:val="20"/>
          <w:lang w:val="en-GB"/>
        </w:rPr>
        <w:t xml:space="preserve"> the Court stated that in the case of the lottery, the state-owned company not only has relative market power, but also power over the management and regulation of the market. While this </w:t>
      </w:r>
      <w:r w:rsidR="00B84AD3" w:rsidRPr="00081629">
        <w:rPr>
          <w:rFonts w:ascii="Times New Roman" w:hAnsi="Times New Roman" w:cs="Times New Roman"/>
          <w:sz w:val="20"/>
          <w:szCs w:val="20"/>
          <w:lang w:val="en-GB"/>
        </w:rPr>
        <w:t xml:space="preserve">could </w:t>
      </w:r>
      <w:r w:rsidRPr="00081629">
        <w:rPr>
          <w:rFonts w:ascii="Times New Roman" w:hAnsi="Times New Roman" w:cs="Times New Roman"/>
          <w:sz w:val="20"/>
          <w:szCs w:val="20"/>
          <w:lang w:val="en-GB"/>
        </w:rPr>
        <w:t xml:space="preserve">serve as a definition of absolute dominance in competition law, as the case only deals with unfair competition, the Court </w:t>
      </w:r>
      <w:r w:rsidR="003874A7" w:rsidRPr="00081629">
        <w:rPr>
          <w:rFonts w:ascii="Times New Roman" w:hAnsi="Times New Roman" w:cs="Times New Roman"/>
          <w:sz w:val="20"/>
          <w:szCs w:val="20"/>
          <w:lang w:val="en-GB"/>
        </w:rPr>
        <w:t xml:space="preserve">did </w:t>
      </w:r>
      <w:r w:rsidRPr="00081629">
        <w:rPr>
          <w:rFonts w:ascii="Times New Roman" w:hAnsi="Times New Roman" w:cs="Times New Roman"/>
          <w:sz w:val="20"/>
          <w:szCs w:val="20"/>
          <w:lang w:val="en-GB"/>
        </w:rPr>
        <w:t>not delve deeper into the interplay between both</w:t>
      </w:r>
      <w:r w:rsidR="001448E8" w:rsidRPr="00081629">
        <w:rPr>
          <w:rFonts w:ascii="Times New Roman" w:hAnsi="Times New Roman" w:cs="Times New Roman"/>
          <w:sz w:val="20"/>
          <w:szCs w:val="20"/>
          <w:lang w:val="en-GB"/>
        </w:rPr>
        <w:t xml:space="preserve"> and uses the competition law concept vaguely for a case of abuse of relative market power.</w:t>
      </w:r>
    </w:p>
    <w:p w14:paraId="2CDDDA47" w14:textId="6FB68C64" w:rsidR="00E900B2" w:rsidRPr="00081629" w:rsidRDefault="00AE4694" w:rsidP="00930BE2">
      <w:pPr>
        <w:spacing w:line="276" w:lineRule="auto"/>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The lack of alternatives determines the relative market power, </w:t>
      </w:r>
      <w:r w:rsidR="003D4C2C" w:rsidRPr="48D21451">
        <w:rPr>
          <w:rFonts w:ascii="Times New Roman" w:hAnsi="Times New Roman" w:cs="Times New Roman"/>
          <w:sz w:val="20"/>
          <w:szCs w:val="20"/>
          <w:lang w:val="en-GB"/>
        </w:rPr>
        <w:t>but</w:t>
      </w:r>
      <w:r w:rsidRPr="48D21451">
        <w:rPr>
          <w:rFonts w:ascii="Times New Roman" w:hAnsi="Times New Roman" w:cs="Times New Roman"/>
          <w:sz w:val="20"/>
          <w:szCs w:val="20"/>
          <w:lang w:val="en-GB"/>
        </w:rPr>
        <w:t xml:space="preserve"> </w:t>
      </w:r>
      <w:r w:rsidR="003D4C2C" w:rsidRPr="48D21451">
        <w:rPr>
          <w:rFonts w:ascii="Times New Roman" w:hAnsi="Times New Roman" w:cs="Times New Roman"/>
          <w:sz w:val="20"/>
          <w:szCs w:val="20"/>
          <w:lang w:val="en-GB"/>
        </w:rPr>
        <w:t>as</w:t>
      </w:r>
      <w:r w:rsidR="003874A7" w:rsidRPr="48D21451">
        <w:rPr>
          <w:rFonts w:ascii="Times New Roman" w:hAnsi="Times New Roman" w:cs="Times New Roman"/>
          <w:sz w:val="20"/>
          <w:szCs w:val="20"/>
          <w:lang w:val="en-GB"/>
        </w:rPr>
        <w:t xml:space="preserve"> in the case of</w:t>
      </w:r>
      <w:r w:rsidRPr="48D21451">
        <w:rPr>
          <w:rFonts w:ascii="Times New Roman" w:hAnsi="Times New Roman" w:cs="Times New Roman"/>
          <w:sz w:val="20"/>
          <w:szCs w:val="20"/>
          <w:lang w:val="en-GB"/>
        </w:rPr>
        <w:t xml:space="preserve"> competition law, it is only the abuse of such a dominant position that is considered unlawful. In fact, defendants may even accept </w:t>
      </w:r>
      <w:r w:rsidRPr="48D21451">
        <w:rPr>
          <w:rFonts w:ascii="Times New Roman" w:hAnsi="Times New Roman" w:cs="Times New Roman"/>
          <w:sz w:val="20"/>
          <w:szCs w:val="20"/>
          <w:lang w:val="en-GB"/>
        </w:rPr>
        <w:lastRenderedPageBreak/>
        <w:t xml:space="preserve">their relative market power over some companies. In the </w:t>
      </w:r>
      <w:r w:rsidR="003874A7" w:rsidRPr="48D21451">
        <w:rPr>
          <w:rFonts w:ascii="Times New Roman" w:hAnsi="Times New Roman" w:cs="Times New Roman"/>
          <w:sz w:val="20"/>
          <w:szCs w:val="20"/>
          <w:lang w:val="en-GB"/>
        </w:rPr>
        <w:t xml:space="preserve">judgment of the </w:t>
      </w:r>
      <w:r w:rsidR="38DD1B59" w:rsidRPr="48D21451">
        <w:rPr>
          <w:rFonts w:ascii="Times New Roman" w:hAnsi="Times New Roman" w:cs="Times New Roman"/>
          <w:sz w:val="20"/>
          <w:szCs w:val="20"/>
          <w:lang w:val="en-GB"/>
        </w:rPr>
        <w:t>Provincial Court</w:t>
      </w:r>
      <w:r w:rsidRPr="48D21451">
        <w:rPr>
          <w:rFonts w:ascii="Times New Roman" w:hAnsi="Times New Roman" w:cs="Times New Roman"/>
          <w:sz w:val="20"/>
          <w:szCs w:val="20"/>
          <w:lang w:val="en-GB"/>
        </w:rPr>
        <w:t xml:space="preserve"> of Murcia dated 27 May 2021 (ECLI:ES:APMU:2021:1700) the defendant confirmed</w:t>
      </w:r>
      <w:r w:rsidR="001448E8" w:rsidRPr="48D21451">
        <w:rPr>
          <w:rFonts w:ascii="Times New Roman" w:hAnsi="Times New Roman" w:cs="Times New Roman"/>
          <w:sz w:val="20"/>
          <w:szCs w:val="20"/>
          <w:lang w:val="en-GB"/>
        </w:rPr>
        <w:t xml:space="preserve"> its relative market power. T</w:t>
      </w:r>
      <w:r w:rsidRPr="48D21451">
        <w:rPr>
          <w:rFonts w:ascii="Times New Roman" w:hAnsi="Times New Roman" w:cs="Times New Roman"/>
          <w:sz w:val="20"/>
          <w:szCs w:val="20"/>
          <w:lang w:val="en-GB"/>
        </w:rPr>
        <w:t xml:space="preserve">he relevant market </w:t>
      </w:r>
      <w:r w:rsidR="001448E8" w:rsidRPr="48D21451">
        <w:rPr>
          <w:rFonts w:ascii="Times New Roman" w:hAnsi="Times New Roman" w:cs="Times New Roman"/>
          <w:sz w:val="20"/>
          <w:szCs w:val="20"/>
          <w:lang w:val="en-GB"/>
        </w:rPr>
        <w:t>was the organization of</w:t>
      </w:r>
      <w:r w:rsidRPr="48D21451">
        <w:rPr>
          <w:rFonts w:ascii="Times New Roman" w:hAnsi="Times New Roman" w:cs="Times New Roman"/>
          <w:sz w:val="20"/>
          <w:szCs w:val="20"/>
          <w:lang w:val="en-GB"/>
        </w:rPr>
        <w:t xml:space="preserve"> large music and arts festivals</w:t>
      </w:r>
      <w:r w:rsidR="001448E8" w:rsidRPr="48D21451">
        <w:rPr>
          <w:rFonts w:ascii="Times New Roman" w:hAnsi="Times New Roman" w:cs="Times New Roman"/>
          <w:sz w:val="20"/>
          <w:szCs w:val="20"/>
          <w:lang w:val="en-GB"/>
        </w:rPr>
        <w:t>. It was not disputed that</w:t>
      </w:r>
      <w:r w:rsidRPr="48D21451">
        <w:rPr>
          <w:rFonts w:ascii="Times New Roman" w:hAnsi="Times New Roman" w:cs="Times New Roman"/>
          <w:sz w:val="20"/>
          <w:szCs w:val="20"/>
          <w:lang w:val="en-GB"/>
        </w:rPr>
        <w:t xml:space="preserve"> the music festival in question had generated a whole market in itself with no other alternative, not even other festivals conducted in a different city.</w:t>
      </w:r>
      <w:r w:rsidR="003874A7" w:rsidRPr="48D21451">
        <w:rPr>
          <w:rFonts w:ascii="Times New Roman" w:hAnsi="Times New Roman" w:cs="Times New Roman"/>
          <w:sz w:val="20"/>
          <w:szCs w:val="20"/>
          <w:lang w:val="en-GB"/>
        </w:rPr>
        <w:t xml:space="preserve"> </w:t>
      </w:r>
      <w:r w:rsidR="001448E8" w:rsidRPr="48D21451">
        <w:rPr>
          <w:rFonts w:ascii="Times New Roman" w:hAnsi="Times New Roman" w:cs="Times New Roman"/>
          <w:sz w:val="20"/>
          <w:szCs w:val="20"/>
          <w:lang w:val="en-GB"/>
        </w:rPr>
        <w:t>Being relatively dominant is not unlawful. While defendants are normally not keen to admit their position of superior market power</w:t>
      </w:r>
      <w:r w:rsidR="00B6641B" w:rsidRPr="48D21451">
        <w:rPr>
          <w:rFonts w:ascii="Times New Roman" w:hAnsi="Times New Roman" w:cs="Times New Roman"/>
          <w:sz w:val="20"/>
          <w:szCs w:val="20"/>
          <w:lang w:val="en-GB"/>
        </w:rPr>
        <w:t xml:space="preserve">, dominance does not lead to automatic abuse, so that relative marker power can be undisputed, leaving the Court to just focus on the existence of an unlawful </w:t>
      </w:r>
      <w:r w:rsidR="214EB20F" w:rsidRPr="48D21451">
        <w:rPr>
          <w:rFonts w:ascii="Times New Roman" w:hAnsi="Times New Roman" w:cs="Times New Roman"/>
          <w:sz w:val="20"/>
          <w:szCs w:val="20"/>
          <w:lang w:val="en-GB"/>
        </w:rPr>
        <w:t>behaviour</w:t>
      </w:r>
      <w:r w:rsidR="00B6641B" w:rsidRPr="48D21451">
        <w:rPr>
          <w:rFonts w:ascii="Times New Roman" w:hAnsi="Times New Roman" w:cs="Times New Roman"/>
          <w:sz w:val="20"/>
          <w:szCs w:val="20"/>
          <w:lang w:val="en-GB"/>
        </w:rPr>
        <w:t>.</w:t>
      </w:r>
    </w:p>
    <w:p w14:paraId="26D6921F" w14:textId="77777777" w:rsidR="00A23C6A" w:rsidRPr="00612AF0" w:rsidRDefault="00A23C6A" w:rsidP="00612AF0">
      <w:pPr>
        <w:jc w:val="both"/>
        <w:rPr>
          <w:rFonts w:ascii="Times New Roman" w:hAnsi="Times New Roman" w:cs="Times New Roman"/>
          <w:sz w:val="20"/>
          <w:szCs w:val="20"/>
          <w:lang w:val="en-GB"/>
        </w:rPr>
      </w:pPr>
      <w:r w:rsidRPr="00612AF0">
        <w:rPr>
          <w:rFonts w:ascii="Times New Roman" w:hAnsi="Times New Roman" w:cs="Times New Roman"/>
          <w:sz w:val="20"/>
          <w:szCs w:val="20"/>
          <w:lang w:val="en-GB"/>
        </w:rPr>
        <w:t>Spanish practice captures bilateral imbalance through qualitative indicia of negotiating asymmetry: brand strength/reputation, control of an essential input or access channel (including intermediation platforms), data advantages, switching costs, and the capacity to dictate non‑equitable terms or to threaten unjustified termination. These criteria operationalise the relative position between the two parties beyond simple size or turnover.</w:t>
      </w:r>
    </w:p>
    <w:p w14:paraId="10B074F3" w14:textId="191E6D9F" w:rsidR="00A23C6A" w:rsidRPr="00612AF0" w:rsidRDefault="00A23C6A" w:rsidP="00612AF0">
      <w:pPr>
        <w:jc w:val="both"/>
        <w:rPr>
          <w:rFonts w:ascii="Times New Roman" w:hAnsi="Times New Roman" w:cs="Times New Roman"/>
          <w:sz w:val="20"/>
          <w:szCs w:val="20"/>
          <w:lang w:val="en-GB"/>
        </w:rPr>
      </w:pPr>
      <w:r w:rsidRPr="00612AF0">
        <w:rPr>
          <w:rFonts w:ascii="Times New Roman" w:hAnsi="Times New Roman" w:cs="Times New Roman"/>
          <w:sz w:val="20"/>
          <w:szCs w:val="20"/>
          <w:lang w:val="en-GB"/>
        </w:rPr>
        <w:t>The legal presumption in Article 16</w:t>
      </w:r>
      <w:r w:rsidR="007507F5">
        <w:rPr>
          <w:rFonts w:ascii="Times New Roman" w:hAnsi="Times New Roman" w:cs="Times New Roman"/>
          <w:sz w:val="20"/>
          <w:szCs w:val="20"/>
          <w:lang w:val="en-GB"/>
        </w:rPr>
        <w:t>.2</w:t>
      </w:r>
      <w:r w:rsidRPr="00612AF0">
        <w:rPr>
          <w:rFonts w:ascii="Times New Roman" w:hAnsi="Times New Roman" w:cs="Times New Roman"/>
          <w:sz w:val="20"/>
          <w:szCs w:val="20"/>
          <w:lang w:val="en-GB"/>
        </w:rPr>
        <w:t xml:space="preserve"> UCA (regular “additional benefits” to one customer versus comparable buyers) is a direct proxy for imbalance, though rebuttable. Courts require evidence on comparable </w:t>
      </w:r>
      <w:r w:rsidR="007507F5">
        <w:rPr>
          <w:rFonts w:ascii="Times New Roman" w:hAnsi="Times New Roman" w:cs="Times New Roman"/>
          <w:sz w:val="20"/>
          <w:szCs w:val="20"/>
          <w:lang w:val="en-GB"/>
        </w:rPr>
        <w:t xml:space="preserve">buyers </w:t>
      </w:r>
      <w:r w:rsidRPr="00612AF0">
        <w:rPr>
          <w:rFonts w:ascii="Times New Roman" w:hAnsi="Times New Roman" w:cs="Times New Roman"/>
          <w:sz w:val="20"/>
          <w:szCs w:val="20"/>
          <w:lang w:val="en-GB"/>
        </w:rPr>
        <w:t>and regularity</w:t>
      </w:r>
      <w:r>
        <w:rPr>
          <w:rFonts w:ascii="Times New Roman" w:hAnsi="Times New Roman" w:cs="Times New Roman"/>
          <w:sz w:val="20"/>
          <w:szCs w:val="20"/>
          <w:lang w:val="en-GB"/>
        </w:rPr>
        <w:t>.  However, as previously indicated,</w:t>
      </w:r>
      <w:r w:rsidRPr="00612AF0">
        <w:rPr>
          <w:rFonts w:ascii="Times New Roman" w:hAnsi="Times New Roman" w:cs="Times New Roman"/>
          <w:sz w:val="20"/>
          <w:szCs w:val="20"/>
          <w:lang w:val="en-GB"/>
        </w:rPr>
        <w:t xml:space="preserve"> the presumption addresses </w:t>
      </w:r>
      <w:r>
        <w:rPr>
          <w:rFonts w:ascii="Times New Roman" w:hAnsi="Times New Roman" w:cs="Times New Roman"/>
          <w:sz w:val="20"/>
          <w:szCs w:val="20"/>
          <w:lang w:val="en-GB"/>
        </w:rPr>
        <w:t xml:space="preserve">the issue of economic </w:t>
      </w:r>
      <w:r w:rsidRPr="00612AF0">
        <w:rPr>
          <w:rFonts w:ascii="Times New Roman" w:hAnsi="Times New Roman" w:cs="Times New Roman"/>
          <w:sz w:val="20"/>
          <w:szCs w:val="20"/>
          <w:lang w:val="en-GB"/>
        </w:rPr>
        <w:t xml:space="preserve">dependence, </w:t>
      </w:r>
      <w:r>
        <w:rPr>
          <w:rFonts w:ascii="Times New Roman" w:hAnsi="Times New Roman" w:cs="Times New Roman"/>
          <w:sz w:val="20"/>
          <w:szCs w:val="20"/>
          <w:lang w:val="en-GB"/>
        </w:rPr>
        <w:t xml:space="preserve">but </w:t>
      </w:r>
      <w:r w:rsidRPr="00612AF0">
        <w:rPr>
          <w:rFonts w:ascii="Times New Roman" w:hAnsi="Times New Roman" w:cs="Times New Roman"/>
          <w:sz w:val="20"/>
          <w:szCs w:val="20"/>
          <w:lang w:val="en-GB"/>
        </w:rPr>
        <w:t xml:space="preserve">not </w:t>
      </w:r>
      <w:r>
        <w:rPr>
          <w:rFonts w:ascii="Times New Roman" w:hAnsi="Times New Roman" w:cs="Times New Roman"/>
          <w:sz w:val="20"/>
          <w:szCs w:val="20"/>
          <w:lang w:val="en-GB"/>
        </w:rPr>
        <w:t xml:space="preserve">the issue of the existence of an </w:t>
      </w:r>
      <w:r w:rsidRPr="00612AF0">
        <w:rPr>
          <w:rFonts w:ascii="Times New Roman" w:hAnsi="Times New Roman" w:cs="Times New Roman"/>
          <w:sz w:val="20"/>
          <w:szCs w:val="20"/>
          <w:lang w:val="en-GB"/>
        </w:rPr>
        <w:t>abuse.</w:t>
      </w:r>
    </w:p>
    <w:p w14:paraId="3C7C0C01" w14:textId="77777777" w:rsidR="009077EE" w:rsidRDefault="00A23C6A" w:rsidP="00A23C6A">
      <w:pPr>
        <w:jc w:val="both"/>
        <w:rPr>
          <w:rFonts w:ascii="Times New Roman" w:hAnsi="Times New Roman" w:cs="Times New Roman"/>
          <w:sz w:val="20"/>
          <w:szCs w:val="20"/>
          <w:lang w:val="en-GB"/>
        </w:rPr>
      </w:pPr>
      <w:r>
        <w:rPr>
          <w:rFonts w:ascii="Times New Roman" w:hAnsi="Times New Roman" w:cs="Times New Roman"/>
          <w:sz w:val="20"/>
          <w:szCs w:val="20"/>
          <w:lang w:val="en-GB"/>
        </w:rPr>
        <w:t>Moreover, d</w:t>
      </w:r>
      <w:r w:rsidRPr="00612AF0">
        <w:rPr>
          <w:rFonts w:ascii="Times New Roman" w:hAnsi="Times New Roman" w:cs="Times New Roman"/>
          <w:sz w:val="20"/>
          <w:szCs w:val="20"/>
          <w:lang w:val="en-GB"/>
        </w:rPr>
        <w:t xml:space="preserve">uration/stability of the </w:t>
      </w:r>
      <w:r>
        <w:rPr>
          <w:rFonts w:ascii="Times New Roman" w:hAnsi="Times New Roman" w:cs="Times New Roman"/>
          <w:sz w:val="20"/>
          <w:szCs w:val="20"/>
          <w:lang w:val="en-GB"/>
        </w:rPr>
        <w:t xml:space="preserve">business </w:t>
      </w:r>
      <w:r w:rsidRPr="00612AF0">
        <w:rPr>
          <w:rFonts w:ascii="Times New Roman" w:hAnsi="Times New Roman" w:cs="Times New Roman"/>
          <w:sz w:val="20"/>
          <w:szCs w:val="20"/>
          <w:lang w:val="en-GB"/>
        </w:rPr>
        <w:t>relationship may increase sunk costs and bargaining asymmetry. However, even long‑standing relationships with material weight in the dependent’s revenue do not automatically establish an unlawful imbalance</w:t>
      </w:r>
      <w:r>
        <w:rPr>
          <w:rFonts w:ascii="Times New Roman" w:hAnsi="Times New Roman" w:cs="Times New Roman"/>
          <w:sz w:val="20"/>
          <w:szCs w:val="20"/>
          <w:lang w:val="en-GB"/>
        </w:rPr>
        <w:t xml:space="preserve">.  </w:t>
      </w:r>
    </w:p>
    <w:p w14:paraId="5C833EE8" w14:textId="78B128CD" w:rsidR="00A23C6A" w:rsidRPr="00612AF0" w:rsidRDefault="009077EE" w:rsidP="009077EE">
      <w:pPr>
        <w:jc w:val="both"/>
        <w:rPr>
          <w:rFonts w:ascii="Times New Roman" w:hAnsi="Times New Roman" w:cs="Times New Roman"/>
          <w:sz w:val="20"/>
          <w:szCs w:val="20"/>
          <w:lang w:val="en-GB"/>
        </w:rPr>
      </w:pPr>
      <w:r>
        <w:rPr>
          <w:rFonts w:ascii="Times New Roman" w:hAnsi="Times New Roman" w:cs="Times New Roman"/>
          <w:sz w:val="20"/>
          <w:szCs w:val="20"/>
          <w:lang w:val="en-GB"/>
        </w:rPr>
        <w:t>In any case, t</w:t>
      </w:r>
      <w:r w:rsidR="00A23C6A">
        <w:rPr>
          <w:rFonts w:ascii="Times New Roman" w:hAnsi="Times New Roman" w:cs="Times New Roman"/>
          <w:sz w:val="20"/>
          <w:szCs w:val="20"/>
          <w:lang w:val="en-GB"/>
        </w:rPr>
        <w:t xml:space="preserve">he </w:t>
      </w:r>
      <w:r w:rsidR="00A23C6A" w:rsidRPr="00612AF0">
        <w:rPr>
          <w:rFonts w:ascii="Times New Roman" w:hAnsi="Times New Roman" w:cs="Times New Roman"/>
          <w:sz w:val="20"/>
          <w:szCs w:val="20"/>
          <w:lang w:val="en-GB"/>
        </w:rPr>
        <w:t xml:space="preserve">core test remains the lack of an equivalent alternative and, crucially, </w:t>
      </w:r>
      <w:r w:rsidR="00A23C6A">
        <w:rPr>
          <w:rFonts w:ascii="Times New Roman" w:hAnsi="Times New Roman" w:cs="Times New Roman"/>
          <w:sz w:val="20"/>
          <w:szCs w:val="20"/>
          <w:lang w:val="en-GB"/>
        </w:rPr>
        <w:t xml:space="preserve">the </w:t>
      </w:r>
      <w:r w:rsidR="00A23C6A" w:rsidRPr="00612AF0">
        <w:rPr>
          <w:rFonts w:ascii="Times New Roman" w:hAnsi="Times New Roman" w:cs="Times New Roman"/>
          <w:sz w:val="20"/>
          <w:szCs w:val="20"/>
          <w:lang w:val="en-GB"/>
        </w:rPr>
        <w:t>abusive exploitation</w:t>
      </w:r>
      <w:r w:rsidR="00A23C6A">
        <w:rPr>
          <w:rFonts w:ascii="Times New Roman" w:hAnsi="Times New Roman" w:cs="Times New Roman"/>
          <w:sz w:val="20"/>
          <w:szCs w:val="20"/>
          <w:lang w:val="en-GB"/>
        </w:rPr>
        <w:t xml:space="preserve"> of the existing economic dependence</w:t>
      </w:r>
      <w:r>
        <w:rPr>
          <w:rFonts w:ascii="Times New Roman" w:hAnsi="Times New Roman" w:cs="Times New Roman"/>
          <w:sz w:val="20"/>
          <w:szCs w:val="20"/>
          <w:lang w:val="en-GB"/>
        </w:rPr>
        <w:t>, as stated in the judgment of the Provincial Court of Barcelona dated 2 April 2024 (</w:t>
      </w:r>
      <w:r w:rsidR="00A23C6A" w:rsidRPr="00612AF0">
        <w:rPr>
          <w:rFonts w:ascii="Times New Roman" w:hAnsi="Times New Roman" w:cs="Times New Roman"/>
          <w:sz w:val="20"/>
          <w:szCs w:val="20"/>
          <w:lang w:val="en-GB"/>
        </w:rPr>
        <w:t>ECLI:ES:APB:2024:3140).</w:t>
      </w:r>
    </w:p>
    <w:p w14:paraId="11B14A67" w14:textId="17E30DE8" w:rsidR="003874A7" w:rsidRDefault="003874A7" w:rsidP="00930BE2">
      <w:pPr>
        <w:spacing w:line="276" w:lineRule="auto"/>
        <w:jc w:val="both"/>
        <w:rPr>
          <w:rFonts w:ascii="Times New Roman" w:hAnsi="Times New Roman" w:cs="Times New Roman"/>
          <w:sz w:val="20"/>
          <w:szCs w:val="20"/>
          <w:lang w:val="en-GB"/>
        </w:rPr>
      </w:pPr>
    </w:p>
    <w:p w14:paraId="7EE62A17" w14:textId="6F060B76" w:rsidR="009077EE" w:rsidRPr="009077EE" w:rsidRDefault="009077EE" w:rsidP="00930BE2">
      <w:pPr>
        <w:spacing w:line="276" w:lineRule="auto"/>
        <w:jc w:val="both"/>
        <w:rPr>
          <w:rFonts w:ascii="Times New Roman" w:hAnsi="Times New Roman" w:cs="Times New Roman"/>
          <w:b/>
          <w:bCs/>
          <w:sz w:val="20"/>
          <w:szCs w:val="20"/>
          <w:lang w:val="en-GB"/>
        </w:rPr>
      </w:pPr>
      <w:r w:rsidRPr="009077EE">
        <w:rPr>
          <w:rFonts w:ascii="Times New Roman" w:hAnsi="Times New Roman" w:cs="Times New Roman"/>
          <w:b/>
          <w:bCs/>
          <w:sz w:val="20"/>
          <w:szCs w:val="20"/>
          <w:lang w:val="en-GB"/>
        </w:rPr>
        <w:t>2.6 Sector-specific criteria.</w:t>
      </w:r>
    </w:p>
    <w:p w14:paraId="7C0A52F2" w14:textId="77777777" w:rsidR="009077EE" w:rsidRPr="009077EE" w:rsidRDefault="009077EE" w:rsidP="009077EE">
      <w:pPr>
        <w:jc w:val="both"/>
        <w:rPr>
          <w:rFonts w:ascii="Times New Roman" w:hAnsi="Times New Roman" w:cs="Times New Roman"/>
          <w:sz w:val="20"/>
          <w:szCs w:val="20"/>
          <w:lang w:val="en-US"/>
        </w:rPr>
      </w:pPr>
      <w:r w:rsidRPr="009077EE">
        <w:rPr>
          <w:rFonts w:ascii="Times New Roman" w:hAnsi="Times New Roman" w:cs="Times New Roman"/>
          <w:sz w:val="20"/>
          <w:szCs w:val="20"/>
          <w:lang w:val="en-US"/>
        </w:rPr>
        <w:t>In digital platforms/marketplaces (hotels-OTAs, etc.), network effects and visibility (ranking), parities/MFN, possible multihoming (other OTAs, direct sales, metasearch engines), disintermediation costs/time, and data/lock-in are considered.</w:t>
      </w:r>
    </w:p>
    <w:p w14:paraId="7E4E7413" w14:textId="01F9E05E" w:rsidR="009077EE" w:rsidRPr="009077EE" w:rsidRDefault="009077EE" w:rsidP="009077EE">
      <w:pPr>
        <w:jc w:val="both"/>
        <w:rPr>
          <w:rFonts w:ascii="Times New Roman" w:hAnsi="Times New Roman" w:cs="Times New Roman"/>
          <w:sz w:val="20"/>
          <w:szCs w:val="20"/>
          <w:lang w:val="en-US"/>
        </w:rPr>
      </w:pPr>
      <w:r w:rsidRPr="48D21451">
        <w:rPr>
          <w:rFonts w:ascii="Times New Roman" w:hAnsi="Times New Roman" w:cs="Times New Roman"/>
          <w:sz w:val="20"/>
          <w:szCs w:val="20"/>
          <w:lang w:val="en-US"/>
        </w:rPr>
        <w:t xml:space="preserve">The legal doctrine considers that in the case of </w:t>
      </w:r>
      <w:r w:rsidR="2B564D84" w:rsidRPr="48D21451">
        <w:rPr>
          <w:rFonts w:ascii="Times New Roman" w:hAnsi="Times New Roman" w:cs="Times New Roman"/>
          <w:sz w:val="20"/>
          <w:szCs w:val="20"/>
          <w:lang w:val="en-US"/>
        </w:rPr>
        <w:t>digital</w:t>
      </w:r>
      <w:r w:rsidRPr="48D21451">
        <w:rPr>
          <w:rFonts w:ascii="Times New Roman" w:hAnsi="Times New Roman" w:cs="Times New Roman"/>
          <w:sz w:val="20"/>
          <w:szCs w:val="20"/>
          <w:lang w:val="en-US"/>
        </w:rPr>
        <w:t xml:space="preserve"> platforms, "relative market power" is captured by dependence on access to demand and switching costs; however, it must be proven that, for example, the hotel could not multi</w:t>
      </w:r>
      <w:r w:rsidR="007559D6" w:rsidRPr="48D21451">
        <w:rPr>
          <w:rFonts w:ascii="Times New Roman" w:hAnsi="Times New Roman" w:cs="Times New Roman"/>
          <w:sz w:val="20"/>
          <w:szCs w:val="20"/>
          <w:lang w:val="en-US"/>
        </w:rPr>
        <w:t>-</w:t>
      </w:r>
      <w:r w:rsidRPr="48D21451">
        <w:rPr>
          <w:rFonts w:ascii="Times New Roman" w:hAnsi="Times New Roman" w:cs="Times New Roman"/>
          <w:sz w:val="20"/>
          <w:szCs w:val="20"/>
          <w:lang w:val="en-US"/>
        </w:rPr>
        <w:t>home or sustain the activity through other means than through a specific digital platform. The CNMC in the Booking case (S/0005/21) sanctioned an abuse of a dominant position due to operating restrictions (wide parities, unfair conditions) but dismissed the case under Article 3 of the LDC and 16.2 of the UCA because dependence/unfair abuse had not been independently proven.</w:t>
      </w:r>
    </w:p>
    <w:p w14:paraId="22C7EECC" w14:textId="698C686D" w:rsidR="009077EE" w:rsidRPr="009077EE" w:rsidRDefault="009077EE" w:rsidP="009077EE">
      <w:pPr>
        <w:jc w:val="both"/>
        <w:rPr>
          <w:rFonts w:ascii="Times New Roman" w:hAnsi="Times New Roman" w:cs="Times New Roman"/>
          <w:sz w:val="20"/>
          <w:szCs w:val="20"/>
          <w:lang w:val="en-US"/>
        </w:rPr>
      </w:pPr>
      <w:r w:rsidRPr="009077EE">
        <w:rPr>
          <w:rFonts w:ascii="Times New Roman" w:hAnsi="Times New Roman" w:cs="Times New Roman"/>
          <w:sz w:val="20"/>
          <w:szCs w:val="20"/>
          <w:lang w:val="en-US"/>
        </w:rPr>
        <w:t xml:space="preserve">In regulated sectors, such as the public </w:t>
      </w:r>
      <w:r>
        <w:rPr>
          <w:rFonts w:ascii="Times New Roman" w:hAnsi="Times New Roman" w:cs="Times New Roman"/>
          <w:sz w:val="20"/>
          <w:szCs w:val="20"/>
          <w:lang w:val="en-US"/>
        </w:rPr>
        <w:t>lottery</w:t>
      </w:r>
      <w:r w:rsidRPr="009077EE">
        <w:rPr>
          <w:rFonts w:ascii="Times New Roman" w:hAnsi="Times New Roman" w:cs="Times New Roman"/>
          <w:sz w:val="20"/>
          <w:szCs w:val="20"/>
          <w:lang w:val="en-US"/>
        </w:rPr>
        <w:t xml:space="preserve"> sector, the legitimate business objectives of the network operator, the non-disruption of the traditional relationship, and non-discriminatory treatment between channels </w:t>
      </w:r>
      <w:r>
        <w:rPr>
          <w:rFonts w:ascii="Times New Roman" w:hAnsi="Times New Roman" w:cs="Times New Roman"/>
          <w:sz w:val="20"/>
          <w:szCs w:val="20"/>
          <w:lang w:val="en-US"/>
        </w:rPr>
        <w:t>was</w:t>
      </w:r>
      <w:r w:rsidRPr="009077EE">
        <w:rPr>
          <w:rFonts w:ascii="Times New Roman" w:hAnsi="Times New Roman" w:cs="Times New Roman"/>
          <w:sz w:val="20"/>
          <w:szCs w:val="20"/>
          <w:lang w:val="en-US"/>
        </w:rPr>
        <w:t xml:space="preserve"> analyzed. The Supreme Court </w:t>
      </w:r>
      <w:r>
        <w:rPr>
          <w:rFonts w:ascii="Times New Roman" w:hAnsi="Times New Roman" w:cs="Times New Roman"/>
          <w:sz w:val="20"/>
          <w:szCs w:val="20"/>
          <w:lang w:val="en-US"/>
        </w:rPr>
        <w:t>in its judgment dated 27 May 2025</w:t>
      </w:r>
      <w:r w:rsidRPr="009077EE">
        <w:rPr>
          <w:rFonts w:ascii="Times New Roman" w:hAnsi="Times New Roman" w:cs="Times New Roman"/>
          <w:sz w:val="20"/>
          <w:szCs w:val="20"/>
          <w:lang w:val="en-US"/>
        </w:rPr>
        <w:t xml:space="preserve"> </w:t>
      </w:r>
      <w:r w:rsidR="007559D6">
        <w:rPr>
          <w:rFonts w:ascii="Times New Roman" w:hAnsi="Times New Roman" w:cs="Times New Roman"/>
          <w:sz w:val="20"/>
          <w:szCs w:val="20"/>
          <w:lang w:val="en-US"/>
        </w:rPr>
        <w:t>(</w:t>
      </w:r>
      <w:r w:rsidRPr="009077EE">
        <w:rPr>
          <w:rFonts w:ascii="Times New Roman" w:hAnsi="Times New Roman" w:cs="Times New Roman"/>
          <w:sz w:val="20"/>
          <w:szCs w:val="20"/>
          <w:lang w:val="en-US"/>
        </w:rPr>
        <w:t>ECLI:ES:TS:2025:2348</w:t>
      </w:r>
      <w:r w:rsidR="007559D6">
        <w:rPr>
          <w:rFonts w:ascii="Times New Roman" w:hAnsi="Times New Roman" w:cs="Times New Roman"/>
          <w:sz w:val="20"/>
          <w:szCs w:val="20"/>
          <w:lang w:val="en-US"/>
        </w:rPr>
        <w:t xml:space="preserve">) </w:t>
      </w:r>
      <w:r w:rsidRPr="009077EE">
        <w:rPr>
          <w:rFonts w:ascii="Times New Roman" w:hAnsi="Times New Roman" w:cs="Times New Roman"/>
          <w:sz w:val="20"/>
          <w:szCs w:val="20"/>
          <w:lang w:val="en-US"/>
        </w:rPr>
        <w:t>admit</w:t>
      </w:r>
      <w:r w:rsidR="007559D6">
        <w:rPr>
          <w:rFonts w:ascii="Times New Roman" w:hAnsi="Times New Roman" w:cs="Times New Roman"/>
          <w:sz w:val="20"/>
          <w:szCs w:val="20"/>
          <w:lang w:val="en-US"/>
        </w:rPr>
        <w:t xml:space="preserve">ted the existence of </w:t>
      </w:r>
      <w:r w:rsidRPr="009077EE">
        <w:rPr>
          <w:rFonts w:ascii="Times New Roman" w:hAnsi="Times New Roman" w:cs="Times New Roman"/>
          <w:sz w:val="20"/>
          <w:szCs w:val="20"/>
          <w:lang w:val="en-US"/>
        </w:rPr>
        <w:t>asymmetry (relative dependence on lottery administrations), but denie</w:t>
      </w:r>
      <w:r w:rsidR="007559D6">
        <w:rPr>
          <w:rFonts w:ascii="Times New Roman" w:hAnsi="Times New Roman" w:cs="Times New Roman"/>
          <w:sz w:val="20"/>
          <w:szCs w:val="20"/>
          <w:lang w:val="en-US"/>
        </w:rPr>
        <w:t>d the existence of</w:t>
      </w:r>
      <w:r w:rsidRPr="009077EE">
        <w:rPr>
          <w:rFonts w:ascii="Times New Roman" w:hAnsi="Times New Roman" w:cs="Times New Roman"/>
          <w:sz w:val="20"/>
          <w:szCs w:val="20"/>
          <w:lang w:val="en-US"/>
        </w:rPr>
        <w:t xml:space="preserve"> abuse: new channels (receipt and online sales) had an objective justification, did not displace the relationship, and the treatment was not arbitrary. The judgment is based on proportionality and justification rather than quotas.</w:t>
      </w:r>
    </w:p>
    <w:p w14:paraId="6B20BF2E" w14:textId="1DB1648C" w:rsidR="009077EE" w:rsidRPr="009077EE" w:rsidRDefault="007559D6" w:rsidP="009077EE">
      <w:pPr>
        <w:jc w:val="both"/>
        <w:rPr>
          <w:rFonts w:ascii="Times New Roman" w:hAnsi="Times New Roman" w:cs="Times New Roman"/>
          <w:sz w:val="20"/>
          <w:szCs w:val="20"/>
          <w:lang w:val="en-US"/>
        </w:rPr>
      </w:pPr>
      <w:r>
        <w:rPr>
          <w:rFonts w:ascii="Times New Roman" w:hAnsi="Times New Roman" w:cs="Times New Roman"/>
          <w:sz w:val="20"/>
          <w:szCs w:val="20"/>
          <w:lang w:val="en-US"/>
        </w:rPr>
        <w:t>Moreover, as explained in Section 1, the Food Supply Chain Act establishes</w:t>
      </w:r>
      <w:r w:rsidR="009077EE" w:rsidRPr="009077EE">
        <w:rPr>
          <w:rFonts w:ascii="Times New Roman" w:hAnsi="Times New Roman" w:cs="Times New Roman"/>
          <w:sz w:val="20"/>
          <w:szCs w:val="20"/>
          <w:lang w:val="en-US"/>
        </w:rPr>
        <w:t xml:space="preserve"> ex ante </w:t>
      </w:r>
      <w:r>
        <w:rPr>
          <w:rFonts w:ascii="Times New Roman" w:hAnsi="Times New Roman" w:cs="Times New Roman"/>
          <w:sz w:val="20"/>
          <w:szCs w:val="20"/>
          <w:lang w:val="en-US"/>
        </w:rPr>
        <w:t xml:space="preserve">mandatory </w:t>
      </w:r>
      <w:r w:rsidR="009077EE" w:rsidRPr="009077EE">
        <w:rPr>
          <w:rFonts w:ascii="Times New Roman" w:hAnsi="Times New Roman" w:cs="Times New Roman"/>
          <w:sz w:val="20"/>
          <w:szCs w:val="20"/>
          <w:lang w:val="en-US"/>
        </w:rPr>
        <w:t xml:space="preserve">rules that rebalance negotiation: mandatory written contract, prohibition of unilateral modifications, payment within 30/60 days, contract registration, and a black/gray list of practices. </w:t>
      </w:r>
      <w:r>
        <w:rPr>
          <w:rFonts w:ascii="Times New Roman" w:hAnsi="Times New Roman" w:cs="Times New Roman"/>
          <w:sz w:val="20"/>
          <w:szCs w:val="20"/>
          <w:lang w:val="en-US"/>
        </w:rPr>
        <w:t>Additionally, t</w:t>
      </w:r>
      <w:r w:rsidR="009077EE" w:rsidRPr="009077EE">
        <w:rPr>
          <w:rFonts w:ascii="Times New Roman" w:hAnsi="Times New Roman" w:cs="Times New Roman"/>
          <w:sz w:val="20"/>
          <w:szCs w:val="20"/>
          <w:lang w:val="en-US"/>
        </w:rPr>
        <w:t xml:space="preserve">he "equivalence of alternatives" is qualified by perishable goods/logistics and by the established prohibitions: last-minute cancellations for perishable goods, imposition of unagreed costs, etc. </w:t>
      </w:r>
    </w:p>
    <w:p w14:paraId="625334F4" w14:textId="1A6AC5A0" w:rsidR="009077EE" w:rsidRDefault="00A27498" w:rsidP="009077EE">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In the r</w:t>
      </w:r>
      <w:r w:rsidR="009077EE" w:rsidRPr="009077EE">
        <w:rPr>
          <w:rFonts w:ascii="Times New Roman" w:hAnsi="Times New Roman" w:cs="Times New Roman"/>
          <w:sz w:val="20"/>
          <w:szCs w:val="20"/>
          <w:lang w:val="en-US"/>
        </w:rPr>
        <w:t>oad freight transport</w:t>
      </w:r>
      <w:r>
        <w:rPr>
          <w:rFonts w:ascii="Times New Roman" w:hAnsi="Times New Roman" w:cs="Times New Roman"/>
          <w:sz w:val="20"/>
          <w:szCs w:val="20"/>
          <w:lang w:val="en-US"/>
        </w:rPr>
        <w:t>, t</w:t>
      </w:r>
      <w:r w:rsidR="009077EE" w:rsidRPr="009077EE">
        <w:rPr>
          <w:rFonts w:ascii="Times New Roman" w:hAnsi="Times New Roman" w:cs="Times New Roman"/>
          <w:sz w:val="20"/>
          <w:szCs w:val="20"/>
          <w:lang w:val="en-US"/>
        </w:rPr>
        <w:t>he</w:t>
      </w:r>
      <w:r>
        <w:rPr>
          <w:rFonts w:ascii="Times New Roman" w:hAnsi="Times New Roman" w:cs="Times New Roman"/>
          <w:sz w:val="20"/>
          <w:szCs w:val="20"/>
          <w:lang w:val="en-US"/>
        </w:rPr>
        <w:t xml:space="preserve">re are also </w:t>
      </w:r>
      <w:r w:rsidR="0AB4CDC2">
        <w:rPr>
          <w:rFonts w:ascii="Times New Roman" w:hAnsi="Times New Roman" w:cs="Times New Roman"/>
          <w:sz w:val="20"/>
          <w:szCs w:val="20"/>
          <w:lang w:val="en-US"/>
        </w:rPr>
        <w:t>E</w:t>
      </w:r>
      <w:r w:rsidR="009077EE" w:rsidRPr="009077EE">
        <w:rPr>
          <w:rFonts w:ascii="Times New Roman" w:hAnsi="Times New Roman" w:cs="Times New Roman"/>
          <w:sz w:val="20"/>
          <w:szCs w:val="20"/>
          <w:lang w:val="en-US"/>
        </w:rPr>
        <w:t xml:space="preserve">x </w:t>
      </w:r>
      <w:r w:rsidR="42F558D8" w:rsidRPr="009077EE">
        <w:rPr>
          <w:rFonts w:ascii="Times New Roman" w:hAnsi="Times New Roman" w:cs="Times New Roman"/>
          <w:sz w:val="20"/>
          <w:szCs w:val="20"/>
          <w:lang w:val="en-US"/>
        </w:rPr>
        <w:t>Lege</w:t>
      </w:r>
      <w:r w:rsidR="009077EE" w:rsidRPr="009077EE">
        <w:rPr>
          <w:rFonts w:ascii="Times New Roman" w:hAnsi="Times New Roman" w:cs="Times New Roman"/>
          <w:sz w:val="20"/>
          <w:szCs w:val="20"/>
          <w:lang w:val="en-US"/>
        </w:rPr>
        <w:t xml:space="preserve"> protection against imbalances</w:t>
      </w:r>
      <w:r>
        <w:rPr>
          <w:rFonts w:ascii="Times New Roman" w:hAnsi="Times New Roman" w:cs="Times New Roman"/>
          <w:sz w:val="20"/>
          <w:szCs w:val="20"/>
          <w:lang w:val="en-US"/>
        </w:rPr>
        <w:t xml:space="preserve">, such as the </w:t>
      </w:r>
      <w:r w:rsidR="009077EE" w:rsidRPr="009077EE">
        <w:rPr>
          <w:rFonts w:ascii="Times New Roman" w:hAnsi="Times New Roman" w:cs="Times New Roman"/>
          <w:sz w:val="20"/>
          <w:szCs w:val="20"/>
          <w:lang w:val="en-US"/>
        </w:rPr>
        <w:t xml:space="preserve">mandatory fuel price review (Article 38 of the </w:t>
      </w:r>
      <w:r w:rsidR="007507F5" w:rsidRPr="007507F5">
        <w:rPr>
          <w:rFonts w:ascii="Times New Roman" w:hAnsi="Times New Roman" w:cs="Times New Roman"/>
          <w:sz w:val="20"/>
          <w:szCs w:val="20"/>
          <w:lang w:val="en-US"/>
        </w:rPr>
        <w:t xml:space="preserve">Law on </w:t>
      </w:r>
      <w:r w:rsidR="007507F5">
        <w:rPr>
          <w:rFonts w:ascii="Times New Roman" w:hAnsi="Times New Roman" w:cs="Times New Roman"/>
          <w:sz w:val="20"/>
          <w:szCs w:val="20"/>
          <w:lang w:val="en-US"/>
        </w:rPr>
        <w:t>L</w:t>
      </w:r>
      <w:r w:rsidR="007507F5" w:rsidRPr="007507F5">
        <w:rPr>
          <w:rFonts w:ascii="Times New Roman" w:hAnsi="Times New Roman" w:cs="Times New Roman"/>
          <w:sz w:val="20"/>
          <w:szCs w:val="20"/>
          <w:lang w:val="en-US"/>
        </w:rPr>
        <w:t xml:space="preserve">and </w:t>
      </w:r>
      <w:r w:rsidR="007507F5">
        <w:rPr>
          <w:rFonts w:ascii="Times New Roman" w:hAnsi="Times New Roman" w:cs="Times New Roman"/>
          <w:sz w:val="20"/>
          <w:szCs w:val="20"/>
          <w:lang w:val="en-US"/>
        </w:rPr>
        <w:t>T</w:t>
      </w:r>
      <w:r w:rsidR="007507F5" w:rsidRPr="007507F5">
        <w:rPr>
          <w:rFonts w:ascii="Times New Roman" w:hAnsi="Times New Roman" w:cs="Times New Roman"/>
          <w:sz w:val="20"/>
          <w:szCs w:val="20"/>
          <w:lang w:val="en-US"/>
        </w:rPr>
        <w:t xml:space="preserve">ransport </w:t>
      </w:r>
      <w:r w:rsidR="007507F5">
        <w:rPr>
          <w:rFonts w:ascii="Times New Roman" w:hAnsi="Times New Roman" w:cs="Times New Roman"/>
          <w:sz w:val="20"/>
          <w:szCs w:val="20"/>
          <w:lang w:val="en-US"/>
        </w:rPr>
        <w:t>C</w:t>
      </w:r>
      <w:r w:rsidR="007507F5" w:rsidRPr="007507F5">
        <w:rPr>
          <w:rFonts w:ascii="Times New Roman" w:hAnsi="Times New Roman" w:cs="Times New Roman"/>
          <w:sz w:val="20"/>
          <w:szCs w:val="20"/>
          <w:lang w:val="en-US"/>
        </w:rPr>
        <w:t xml:space="preserve">ontracts for </w:t>
      </w:r>
      <w:r w:rsidR="007507F5">
        <w:rPr>
          <w:rFonts w:ascii="Times New Roman" w:hAnsi="Times New Roman" w:cs="Times New Roman"/>
          <w:sz w:val="20"/>
          <w:szCs w:val="20"/>
          <w:lang w:val="en-US"/>
        </w:rPr>
        <w:t>G</w:t>
      </w:r>
      <w:r w:rsidR="007507F5" w:rsidRPr="007507F5">
        <w:rPr>
          <w:rFonts w:ascii="Times New Roman" w:hAnsi="Times New Roman" w:cs="Times New Roman"/>
          <w:sz w:val="20"/>
          <w:szCs w:val="20"/>
          <w:lang w:val="en-US"/>
        </w:rPr>
        <w:t>oods</w:t>
      </w:r>
      <w:r w:rsidR="007507F5">
        <w:rPr>
          <w:rStyle w:val="Refdenotaalpie"/>
          <w:rFonts w:ascii="Times New Roman" w:hAnsi="Times New Roman" w:cs="Times New Roman"/>
          <w:sz w:val="20"/>
          <w:szCs w:val="20"/>
          <w:lang w:val="en-US"/>
        </w:rPr>
        <w:footnoteReference w:id="17"/>
      </w:r>
      <w:r w:rsidR="009077EE" w:rsidRPr="009077EE">
        <w:rPr>
          <w:rFonts w:ascii="Times New Roman" w:hAnsi="Times New Roman" w:cs="Times New Roman"/>
          <w:sz w:val="20"/>
          <w:szCs w:val="20"/>
          <w:lang w:val="en-US"/>
        </w:rPr>
        <w:t>) and the prohibition of working below cost (</w:t>
      </w:r>
      <w:r w:rsidR="007507F5">
        <w:rPr>
          <w:rFonts w:ascii="Times New Roman" w:hAnsi="Times New Roman" w:cs="Times New Roman"/>
          <w:sz w:val="20"/>
          <w:szCs w:val="20"/>
          <w:lang w:val="en-US"/>
        </w:rPr>
        <w:t>Royal Decree Law</w:t>
      </w:r>
      <w:r w:rsidR="009077EE" w:rsidRPr="009077EE">
        <w:rPr>
          <w:rFonts w:ascii="Times New Roman" w:hAnsi="Times New Roman" w:cs="Times New Roman"/>
          <w:sz w:val="20"/>
          <w:szCs w:val="20"/>
          <w:lang w:val="en-US"/>
        </w:rPr>
        <w:t xml:space="preserve"> 14/2022</w:t>
      </w:r>
      <w:r w:rsidR="00D92CFC">
        <w:rPr>
          <w:rStyle w:val="Refdenotaalpie"/>
          <w:rFonts w:ascii="Times New Roman" w:hAnsi="Times New Roman" w:cs="Times New Roman"/>
          <w:sz w:val="20"/>
          <w:szCs w:val="20"/>
          <w:lang w:val="en-US"/>
        </w:rPr>
        <w:footnoteReference w:id="18"/>
      </w:r>
      <w:r w:rsidR="009077EE" w:rsidRPr="009077EE">
        <w:rPr>
          <w:rFonts w:ascii="Times New Roman" w:hAnsi="Times New Roman" w:cs="Times New Roman"/>
          <w:sz w:val="20"/>
          <w:szCs w:val="20"/>
          <w:lang w:val="en-US"/>
        </w:rPr>
        <w:t xml:space="preserve">) with a consignment note and information are more important. Proof of Article 16.2 of the </w:t>
      </w:r>
      <w:r w:rsidR="00D92CFC">
        <w:rPr>
          <w:rFonts w:ascii="Times New Roman" w:hAnsi="Times New Roman" w:cs="Times New Roman"/>
          <w:sz w:val="20"/>
          <w:szCs w:val="20"/>
          <w:lang w:val="en-US"/>
        </w:rPr>
        <w:t>UCA</w:t>
      </w:r>
      <w:r w:rsidR="009077EE" w:rsidRPr="009077EE">
        <w:rPr>
          <w:rFonts w:ascii="Times New Roman" w:hAnsi="Times New Roman" w:cs="Times New Roman"/>
          <w:sz w:val="20"/>
          <w:szCs w:val="20"/>
          <w:lang w:val="en-US"/>
        </w:rPr>
        <w:t xml:space="preserve"> is not required</w:t>
      </w:r>
      <w:r w:rsidR="00D92CFC">
        <w:rPr>
          <w:rFonts w:ascii="Times New Roman" w:hAnsi="Times New Roman" w:cs="Times New Roman"/>
          <w:sz w:val="20"/>
          <w:szCs w:val="20"/>
          <w:lang w:val="en-US"/>
        </w:rPr>
        <w:t xml:space="preserve">, since the regulator has established a </w:t>
      </w:r>
      <w:r w:rsidR="009077EE" w:rsidRPr="009077EE">
        <w:rPr>
          <w:rFonts w:ascii="Times New Roman" w:hAnsi="Times New Roman" w:cs="Times New Roman"/>
          <w:sz w:val="20"/>
          <w:szCs w:val="20"/>
          <w:lang w:val="en-US"/>
        </w:rPr>
        <w:t>price/cost floor and formalities to prevent exploitation of the actual carrier in asymmetric relationships.</w:t>
      </w:r>
    </w:p>
    <w:p w14:paraId="10DB5806" w14:textId="77777777" w:rsidR="00D92CFC" w:rsidRPr="009077EE" w:rsidRDefault="00D92CFC" w:rsidP="48D21451">
      <w:pPr>
        <w:jc w:val="both"/>
        <w:rPr>
          <w:rFonts w:ascii="Times New Roman" w:hAnsi="Times New Roman" w:cs="Times New Roman"/>
          <w:b/>
          <w:bCs/>
          <w:sz w:val="20"/>
          <w:szCs w:val="20"/>
          <w:lang w:val="en-US"/>
        </w:rPr>
      </w:pPr>
    </w:p>
    <w:p w14:paraId="4EB278E6" w14:textId="390BFCBF" w:rsidR="00D92CFC" w:rsidRPr="00D92CFC" w:rsidRDefault="00D92CFC" w:rsidP="48D21451">
      <w:pPr>
        <w:jc w:val="both"/>
        <w:rPr>
          <w:rFonts w:ascii="Times New Roman" w:hAnsi="Times New Roman" w:cs="Times New Roman"/>
          <w:b/>
          <w:bCs/>
          <w:sz w:val="20"/>
          <w:szCs w:val="20"/>
          <w:lang w:val="en-US"/>
        </w:rPr>
      </w:pPr>
      <w:r w:rsidRPr="48D21451">
        <w:rPr>
          <w:rFonts w:ascii="Times New Roman" w:hAnsi="Times New Roman" w:cs="Times New Roman"/>
          <w:b/>
          <w:bCs/>
          <w:sz w:val="20"/>
          <w:szCs w:val="20"/>
          <w:lang w:val="en-US"/>
        </w:rPr>
        <w:t>2.7 The importance of economic and expert reports.</w:t>
      </w:r>
    </w:p>
    <w:p w14:paraId="42EC31C7" w14:textId="3ECE2B1F" w:rsidR="00D92CFC" w:rsidRPr="00D92CFC" w:rsidRDefault="00D92CFC" w:rsidP="00D92CFC">
      <w:pPr>
        <w:jc w:val="both"/>
        <w:rPr>
          <w:rFonts w:ascii="Times New Roman" w:hAnsi="Times New Roman" w:cs="Times New Roman"/>
          <w:sz w:val="20"/>
          <w:szCs w:val="20"/>
          <w:lang w:val="en-US"/>
        </w:rPr>
      </w:pPr>
      <w:r w:rsidRPr="48D21451">
        <w:rPr>
          <w:rFonts w:ascii="Times New Roman" w:hAnsi="Times New Roman" w:cs="Times New Roman"/>
          <w:sz w:val="20"/>
          <w:szCs w:val="20"/>
          <w:lang w:val="en-US"/>
        </w:rPr>
        <w:t xml:space="preserve">Under Article 16.2 of the UCA, economic and industry expert reports are key evidence </w:t>
      </w:r>
      <w:r w:rsidR="225BCB3B" w:rsidRPr="48D21451">
        <w:rPr>
          <w:rFonts w:ascii="Times New Roman" w:hAnsi="Times New Roman" w:cs="Times New Roman"/>
          <w:sz w:val="20"/>
          <w:szCs w:val="20"/>
          <w:lang w:val="en-US"/>
        </w:rPr>
        <w:t>to</w:t>
      </w:r>
      <w:r w:rsidRPr="48D21451">
        <w:rPr>
          <w:rFonts w:ascii="Times New Roman" w:hAnsi="Times New Roman" w:cs="Times New Roman"/>
          <w:sz w:val="20"/>
          <w:szCs w:val="20"/>
          <w:lang w:val="en-US"/>
        </w:rPr>
        <w:t xml:space="preserve"> demonstrate (i) the existence of economic dependency, i.e., a lack of equivalent alternatives, and (ii) whether </w:t>
      </w:r>
      <w:r w:rsidR="217C333A" w:rsidRPr="48D21451">
        <w:rPr>
          <w:rFonts w:ascii="Times New Roman" w:hAnsi="Times New Roman" w:cs="Times New Roman"/>
          <w:sz w:val="20"/>
          <w:szCs w:val="20"/>
          <w:lang w:val="en-US"/>
        </w:rPr>
        <w:t>abusive</w:t>
      </w:r>
      <w:r w:rsidRPr="48D21451">
        <w:rPr>
          <w:rFonts w:ascii="Times New Roman" w:hAnsi="Times New Roman" w:cs="Times New Roman"/>
          <w:sz w:val="20"/>
          <w:szCs w:val="20"/>
          <w:lang w:val="en-US"/>
        </w:rPr>
        <w:t xml:space="preserve"> exploitation took place.</w:t>
      </w:r>
      <w:r w:rsidR="000C3A20" w:rsidRPr="48D21451">
        <w:rPr>
          <w:rFonts w:ascii="Times New Roman" w:hAnsi="Times New Roman" w:cs="Times New Roman"/>
          <w:sz w:val="20"/>
          <w:szCs w:val="20"/>
          <w:lang w:val="en-US"/>
        </w:rPr>
        <w:t xml:space="preserve">  </w:t>
      </w:r>
    </w:p>
    <w:p w14:paraId="7A3E71C9" w14:textId="22288F8D" w:rsidR="00D92CFC" w:rsidRPr="00D92CFC" w:rsidRDefault="00D92CFC" w:rsidP="00D92CFC">
      <w:pPr>
        <w:jc w:val="both"/>
        <w:rPr>
          <w:rFonts w:ascii="Times New Roman" w:hAnsi="Times New Roman" w:cs="Times New Roman"/>
          <w:sz w:val="20"/>
          <w:szCs w:val="20"/>
          <w:lang w:val="en-US"/>
        </w:rPr>
      </w:pPr>
      <w:r>
        <w:rPr>
          <w:rFonts w:ascii="Times New Roman" w:hAnsi="Times New Roman" w:cs="Times New Roman"/>
          <w:sz w:val="20"/>
          <w:szCs w:val="20"/>
          <w:lang w:val="en-US"/>
        </w:rPr>
        <w:t>In order to create a m</w:t>
      </w:r>
      <w:r w:rsidRPr="00D92CFC">
        <w:rPr>
          <w:rFonts w:ascii="Times New Roman" w:hAnsi="Times New Roman" w:cs="Times New Roman"/>
          <w:sz w:val="20"/>
          <w:szCs w:val="20"/>
          <w:lang w:val="en-US"/>
        </w:rPr>
        <w:t xml:space="preserve">ap of alternatives and </w:t>
      </w:r>
      <w:r>
        <w:rPr>
          <w:rFonts w:ascii="Times New Roman" w:hAnsi="Times New Roman" w:cs="Times New Roman"/>
          <w:sz w:val="20"/>
          <w:szCs w:val="20"/>
          <w:lang w:val="en-US"/>
        </w:rPr>
        <w:t xml:space="preserve">carry out </w:t>
      </w:r>
      <w:r w:rsidRPr="00D92CFC">
        <w:rPr>
          <w:rFonts w:ascii="Times New Roman" w:hAnsi="Times New Roman" w:cs="Times New Roman"/>
          <w:sz w:val="20"/>
          <w:szCs w:val="20"/>
          <w:lang w:val="en-US"/>
        </w:rPr>
        <w:t>the "reasonable equivalence" test</w:t>
      </w:r>
      <w:r>
        <w:rPr>
          <w:rFonts w:ascii="Times New Roman" w:hAnsi="Times New Roman" w:cs="Times New Roman"/>
          <w:sz w:val="20"/>
          <w:szCs w:val="20"/>
          <w:lang w:val="en-US"/>
        </w:rPr>
        <w:t>, a</w:t>
      </w:r>
      <w:r w:rsidRPr="00D92CFC">
        <w:rPr>
          <w:rFonts w:ascii="Times New Roman" w:hAnsi="Times New Roman" w:cs="Times New Roman"/>
          <w:sz w:val="20"/>
          <w:szCs w:val="20"/>
          <w:lang w:val="en-US"/>
        </w:rPr>
        <w:t xml:space="preserve">n "operational" definition of the set of realistic alternatives for the dependent party is </w:t>
      </w:r>
      <w:r>
        <w:rPr>
          <w:rFonts w:ascii="Times New Roman" w:hAnsi="Times New Roman" w:cs="Times New Roman"/>
          <w:sz w:val="20"/>
          <w:szCs w:val="20"/>
          <w:lang w:val="en-US"/>
        </w:rPr>
        <w:t>performed</w:t>
      </w:r>
      <w:r w:rsidRPr="00D92CFC">
        <w:rPr>
          <w:rFonts w:ascii="Times New Roman" w:hAnsi="Times New Roman" w:cs="Times New Roman"/>
          <w:sz w:val="20"/>
          <w:szCs w:val="20"/>
          <w:lang w:val="en-US"/>
        </w:rPr>
        <w:t>, including the time and cost of switching, contractual restrictions (exclusivity or non-compete), capacities, barriers, multihoming, etc. It usually includes a table of alternative suppliers/partners, approval deadlines, required investment, and risk of loss of value.</w:t>
      </w:r>
    </w:p>
    <w:p w14:paraId="48A02BB2" w14:textId="39CE40EA" w:rsidR="00D92CFC" w:rsidRPr="00D92CFC" w:rsidRDefault="00D92CFC" w:rsidP="00D92CFC">
      <w:pPr>
        <w:jc w:val="both"/>
        <w:rPr>
          <w:rFonts w:ascii="Times New Roman" w:hAnsi="Times New Roman" w:cs="Times New Roman"/>
          <w:sz w:val="20"/>
          <w:szCs w:val="20"/>
          <w:lang w:val="en-US"/>
        </w:rPr>
      </w:pPr>
      <w:r w:rsidRPr="48D21451">
        <w:rPr>
          <w:rFonts w:ascii="Times New Roman" w:hAnsi="Times New Roman" w:cs="Times New Roman"/>
          <w:sz w:val="20"/>
          <w:szCs w:val="20"/>
          <w:lang w:val="en-US"/>
        </w:rPr>
        <w:t xml:space="preserve">In its judgment dated 27 May 2025 (ECLI:ES:TS:2025:2348), the Supreme Court dismissed Article 16.2 of the </w:t>
      </w:r>
      <w:r w:rsidR="000C3A20" w:rsidRPr="48D21451">
        <w:rPr>
          <w:rFonts w:ascii="Times New Roman" w:hAnsi="Times New Roman" w:cs="Times New Roman"/>
          <w:sz w:val="20"/>
          <w:szCs w:val="20"/>
          <w:lang w:val="en-US"/>
        </w:rPr>
        <w:t>UCA</w:t>
      </w:r>
      <w:r w:rsidRPr="48D21451">
        <w:rPr>
          <w:rFonts w:ascii="Times New Roman" w:hAnsi="Times New Roman" w:cs="Times New Roman"/>
          <w:sz w:val="20"/>
          <w:szCs w:val="20"/>
          <w:lang w:val="en-US"/>
        </w:rPr>
        <w:t xml:space="preserve"> because, even though there was a close relat</w:t>
      </w:r>
      <w:r w:rsidR="202CD2F2" w:rsidRPr="48D21451">
        <w:rPr>
          <w:rFonts w:ascii="Times New Roman" w:hAnsi="Times New Roman" w:cs="Times New Roman"/>
          <w:sz w:val="20"/>
          <w:szCs w:val="20"/>
          <w:lang w:val="en-US"/>
        </w:rPr>
        <w:t>ionship</w:t>
      </w:r>
      <w:r w:rsidR="000C3A20" w:rsidRPr="48D21451">
        <w:rPr>
          <w:rFonts w:ascii="Times New Roman" w:hAnsi="Times New Roman" w:cs="Times New Roman"/>
          <w:sz w:val="20"/>
          <w:szCs w:val="20"/>
          <w:lang w:val="en-US"/>
        </w:rPr>
        <w:t xml:space="preserve"> its judgment dated 27 May 2025 (ECLI:ES:TS:2025:2348)</w:t>
      </w:r>
      <w:r w:rsidRPr="48D21451">
        <w:rPr>
          <w:rFonts w:ascii="Times New Roman" w:hAnsi="Times New Roman" w:cs="Times New Roman"/>
          <w:sz w:val="20"/>
          <w:szCs w:val="20"/>
          <w:lang w:val="en-US"/>
        </w:rPr>
        <w:t xml:space="preserve"> </w:t>
      </w:r>
      <w:r w:rsidR="000C3A20" w:rsidRPr="48D21451">
        <w:rPr>
          <w:rFonts w:ascii="Times New Roman" w:hAnsi="Times New Roman" w:cs="Times New Roman"/>
          <w:sz w:val="20"/>
          <w:szCs w:val="20"/>
          <w:lang w:val="en-US"/>
        </w:rPr>
        <w:t>the States-owned company</w:t>
      </w:r>
      <w:r w:rsidRPr="48D21451">
        <w:rPr>
          <w:rFonts w:ascii="Times New Roman" w:hAnsi="Times New Roman" w:cs="Times New Roman"/>
          <w:sz w:val="20"/>
          <w:szCs w:val="20"/>
          <w:lang w:val="en-US"/>
        </w:rPr>
        <w:t>'s measures pursued legitimate purposes and did not "empty" the relationship, and abusive conduct was not proven</w:t>
      </w:r>
      <w:r w:rsidR="000C3A20" w:rsidRPr="48D21451">
        <w:rPr>
          <w:rFonts w:ascii="Times New Roman" w:hAnsi="Times New Roman" w:cs="Times New Roman"/>
          <w:sz w:val="20"/>
          <w:szCs w:val="20"/>
          <w:lang w:val="en-US"/>
        </w:rPr>
        <w:t>.  The</w:t>
      </w:r>
      <w:r w:rsidRPr="48D21451">
        <w:rPr>
          <w:rFonts w:ascii="Times New Roman" w:hAnsi="Times New Roman" w:cs="Times New Roman"/>
          <w:sz w:val="20"/>
          <w:szCs w:val="20"/>
          <w:lang w:val="en-US"/>
        </w:rPr>
        <w:t xml:space="preserve"> judgment focuse</w:t>
      </w:r>
      <w:r w:rsidR="000C3A20" w:rsidRPr="48D21451">
        <w:rPr>
          <w:rFonts w:ascii="Times New Roman" w:hAnsi="Times New Roman" w:cs="Times New Roman"/>
          <w:sz w:val="20"/>
          <w:szCs w:val="20"/>
          <w:lang w:val="en-US"/>
        </w:rPr>
        <w:t>d</w:t>
      </w:r>
      <w:r w:rsidRPr="48D21451">
        <w:rPr>
          <w:rFonts w:ascii="Times New Roman" w:hAnsi="Times New Roman" w:cs="Times New Roman"/>
          <w:sz w:val="20"/>
          <w:szCs w:val="20"/>
          <w:lang w:val="en-US"/>
        </w:rPr>
        <w:t xml:space="preserve"> on alternatives and proportionality.</w:t>
      </w:r>
    </w:p>
    <w:p w14:paraId="43B93949" w14:textId="2D8A9FEE" w:rsidR="00D92CFC" w:rsidRPr="00D92CFC" w:rsidRDefault="000C3A20" w:rsidP="00D92CFC">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a </w:t>
      </w:r>
      <w:r w:rsidR="00D92CFC" w:rsidRPr="00D92CFC">
        <w:rPr>
          <w:rFonts w:ascii="Times New Roman" w:hAnsi="Times New Roman" w:cs="Times New Roman"/>
          <w:sz w:val="20"/>
          <w:szCs w:val="20"/>
          <w:lang w:val="en-US"/>
        </w:rPr>
        <w:t>"</w:t>
      </w:r>
      <w:r>
        <w:rPr>
          <w:rFonts w:ascii="Times New Roman" w:hAnsi="Times New Roman" w:cs="Times New Roman"/>
          <w:sz w:val="20"/>
          <w:szCs w:val="20"/>
          <w:lang w:val="en-US"/>
        </w:rPr>
        <w:t>s</w:t>
      </w:r>
      <w:r w:rsidR="00D92CFC" w:rsidRPr="00D92CFC">
        <w:rPr>
          <w:rFonts w:ascii="Times New Roman" w:hAnsi="Times New Roman" w:cs="Times New Roman"/>
          <w:sz w:val="20"/>
          <w:szCs w:val="20"/>
          <w:lang w:val="en-US"/>
        </w:rPr>
        <w:t>hare-of-wallet" and concentration of revenue risk</w:t>
      </w:r>
      <w:r>
        <w:rPr>
          <w:rFonts w:ascii="Times New Roman" w:hAnsi="Times New Roman" w:cs="Times New Roman"/>
          <w:sz w:val="20"/>
          <w:szCs w:val="20"/>
          <w:lang w:val="en-US"/>
        </w:rPr>
        <w:t xml:space="preserve"> report, a</w:t>
      </w:r>
      <w:r w:rsidR="00D92CFC" w:rsidRPr="00D92CFC">
        <w:rPr>
          <w:rFonts w:ascii="Times New Roman" w:hAnsi="Times New Roman" w:cs="Times New Roman"/>
          <w:sz w:val="20"/>
          <w:szCs w:val="20"/>
          <w:lang w:val="en-US"/>
        </w:rPr>
        <w:t>n accounting-economic analysis is carried out of the relationship's weight on the dependent's turnover/margin but connecting it to the existence (or not) of alternatives and switching costs (not valid in isolation).</w:t>
      </w:r>
    </w:p>
    <w:p w14:paraId="33D77565" w14:textId="55103978" w:rsidR="00D92CFC" w:rsidRPr="00D92CFC" w:rsidRDefault="000C3A20" w:rsidP="00D92CFC">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An assessment </w:t>
      </w:r>
      <w:r w:rsidR="00D92CFC" w:rsidRPr="00D92CFC">
        <w:rPr>
          <w:rFonts w:ascii="Times New Roman" w:hAnsi="Times New Roman" w:cs="Times New Roman"/>
          <w:sz w:val="20"/>
          <w:szCs w:val="20"/>
          <w:lang w:val="en-US"/>
        </w:rPr>
        <w:t>of sunk costs and "specificity of investments" involves an expert report on the specificity of assets (IT, molds, certifications, training, logistics integration, brand awareness) and quasi-equity assets that the other party could expropriate; quantification of the value lost if the partner changes.</w:t>
      </w:r>
    </w:p>
    <w:p w14:paraId="6BBF6F4B" w14:textId="44EFB775" w:rsidR="00D92CFC" w:rsidRPr="00D92CFC" w:rsidRDefault="000C3A20" w:rsidP="00D92CFC">
      <w:pPr>
        <w:jc w:val="both"/>
        <w:rPr>
          <w:rFonts w:ascii="Times New Roman" w:hAnsi="Times New Roman" w:cs="Times New Roman"/>
          <w:sz w:val="20"/>
          <w:szCs w:val="20"/>
          <w:lang w:val="en-US"/>
        </w:rPr>
      </w:pPr>
      <w:r>
        <w:rPr>
          <w:rFonts w:ascii="Times New Roman" w:hAnsi="Times New Roman" w:cs="Times New Roman"/>
          <w:sz w:val="20"/>
          <w:szCs w:val="20"/>
          <w:lang w:val="en-US"/>
        </w:rPr>
        <w:t>A m</w:t>
      </w:r>
      <w:r w:rsidR="00D92CFC" w:rsidRPr="00D92CFC">
        <w:rPr>
          <w:rFonts w:ascii="Times New Roman" w:hAnsi="Times New Roman" w:cs="Times New Roman"/>
          <w:sz w:val="20"/>
          <w:szCs w:val="20"/>
          <w:lang w:val="en-US"/>
        </w:rPr>
        <w:t>arket/sector analysis and "essentiality" of the input/channel</w:t>
      </w:r>
      <w:r>
        <w:rPr>
          <w:rFonts w:ascii="Times New Roman" w:hAnsi="Times New Roman" w:cs="Times New Roman"/>
          <w:sz w:val="20"/>
          <w:szCs w:val="20"/>
          <w:lang w:val="en-US"/>
        </w:rPr>
        <w:t xml:space="preserve"> test</w:t>
      </w:r>
      <w:r w:rsidR="00D92CFC" w:rsidRPr="00D92CFC">
        <w:rPr>
          <w:rFonts w:ascii="Times New Roman" w:hAnsi="Times New Roman" w:cs="Times New Roman"/>
          <w:sz w:val="20"/>
          <w:szCs w:val="20"/>
          <w:lang w:val="en-US"/>
        </w:rPr>
        <w:t xml:space="preserve"> are tests of practical essentiality (e.g., "gatekeeper" platform, single input, channel with captive demand), elasticities, quotas, access time to other channels, and bottlenecks.</w:t>
      </w:r>
    </w:p>
    <w:p w14:paraId="4710ED6E" w14:textId="7B42C70A" w:rsidR="00D92CFC" w:rsidRPr="00D92CFC" w:rsidRDefault="00D92CFC" w:rsidP="00D92CFC">
      <w:pPr>
        <w:jc w:val="both"/>
        <w:rPr>
          <w:rFonts w:ascii="Times New Roman" w:hAnsi="Times New Roman" w:cs="Times New Roman"/>
          <w:sz w:val="20"/>
          <w:szCs w:val="20"/>
          <w:lang w:val="en-US"/>
        </w:rPr>
      </w:pPr>
      <w:r w:rsidRPr="00D92CFC">
        <w:rPr>
          <w:rFonts w:ascii="Times New Roman" w:hAnsi="Times New Roman" w:cs="Times New Roman"/>
          <w:sz w:val="20"/>
          <w:szCs w:val="20"/>
          <w:lang w:val="en-US"/>
        </w:rPr>
        <w:t xml:space="preserve">In the </w:t>
      </w:r>
      <w:r w:rsidR="000C3A20">
        <w:rPr>
          <w:rFonts w:ascii="Times New Roman" w:hAnsi="Times New Roman" w:cs="Times New Roman"/>
          <w:sz w:val="20"/>
          <w:szCs w:val="20"/>
          <w:lang w:val="en-US"/>
        </w:rPr>
        <w:t>abovementioned judgment dated 27 May 2025</w:t>
      </w:r>
      <w:r w:rsidR="000C3A20" w:rsidRPr="009077EE">
        <w:rPr>
          <w:rFonts w:ascii="Times New Roman" w:hAnsi="Times New Roman" w:cs="Times New Roman"/>
          <w:sz w:val="20"/>
          <w:szCs w:val="20"/>
          <w:lang w:val="en-US"/>
        </w:rPr>
        <w:t xml:space="preserve"> </w:t>
      </w:r>
      <w:r w:rsidR="000C3A20">
        <w:rPr>
          <w:rFonts w:ascii="Times New Roman" w:hAnsi="Times New Roman" w:cs="Times New Roman"/>
          <w:sz w:val="20"/>
          <w:szCs w:val="20"/>
          <w:lang w:val="en-US"/>
        </w:rPr>
        <w:t>(</w:t>
      </w:r>
      <w:r w:rsidR="000C3A20" w:rsidRPr="009077EE">
        <w:rPr>
          <w:rFonts w:ascii="Times New Roman" w:hAnsi="Times New Roman" w:cs="Times New Roman"/>
          <w:sz w:val="20"/>
          <w:szCs w:val="20"/>
          <w:lang w:val="en-US"/>
        </w:rPr>
        <w:t>ECLI:ES:TS:2025:2348</w:t>
      </w:r>
      <w:r w:rsidR="000C3A20">
        <w:rPr>
          <w:rFonts w:ascii="Times New Roman" w:hAnsi="Times New Roman" w:cs="Times New Roman"/>
          <w:sz w:val="20"/>
          <w:szCs w:val="20"/>
          <w:lang w:val="en-US"/>
        </w:rPr>
        <w:t xml:space="preserve">), the Supreme Court </w:t>
      </w:r>
      <w:r w:rsidRPr="00D92CFC">
        <w:rPr>
          <w:rFonts w:ascii="Times New Roman" w:hAnsi="Times New Roman" w:cs="Times New Roman"/>
          <w:sz w:val="20"/>
          <w:szCs w:val="20"/>
          <w:lang w:val="en-US"/>
        </w:rPr>
        <w:t>accepted the legitimacy and proportionality of channel changes when they do not erode the relationship or discriminate without justification.</w:t>
      </w:r>
    </w:p>
    <w:p w14:paraId="6C3D9AD7" w14:textId="582CBA31" w:rsidR="00A00EC4" w:rsidRPr="00D92CFC" w:rsidRDefault="000C3A20" w:rsidP="00A00EC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Other </w:t>
      </w:r>
      <w:r w:rsidR="00A00EC4">
        <w:rPr>
          <w:rFonts w:ascii="Times New Roman" w:hAnsi="Times New Roman" w:cs="Times New Roman"/>
          <w:sz w:val="20"/>
          <w:szCs w:val="20"/>
          <w:lang w:val="en-US"/>
        </w:rPr>
        <w:t>assessments used are (i) the s</w:t>
      </w:r>
      <w:r w:rsidR="00D92CFC" w:rsidRPr="00D92CFC">
        <w:rPr>
          <w:rFonts w:ascii="Times New Roman" w:hAnsi="Times New Roman" w:cs="Times New Roman"/>
          <w:sz w:val="20"/>
          <w:szCs w:val="20"/>
          <w:lang w:val="en-US"/>
        </w:rPr>
        <w:t>witching tests</w:t>
      </w:r>
      <w:r w:rsidR="00A00EC4">
        <w:rPr>
          <w:rFonts w:ascii="Times New Roman" w:hAnsi="Times New Roman" w:cs="Times New Roman"/>
          <w:sz w:val="20"/>
          <w:szCs w:val="20"/>
          <w:lang w:val="en-US"/>
        </w:rPr>
        <w:t xml:space="preserve"> related to the </w:t>
      </w:r>
      <w:r w:rsidR="00D92CFC" w:rsidRPr="00D92CFC">
        <w:rPr>
          <w:rFonts w:ascii="Times New Roman" w:hAnsi="Times New Roman" w:cs="Times New Roman"/>
          <w:sz w:val="20"/>
          <w:szCs w:val="20"/>
          <w:lang w:val="en-US"/>
        </w:rPr>
        <w:t>time-to-migrate and total cost of change</w:t>
      </w:r>
      <w:r w:rsidR="00A00EC4">
        <w:rPr>
          <w:rFonts w:ascii="Times New Roman" w:hAnsi="Times New Roman" w:cs="Times New Roman"/>
          <w:sz w:val="20"/>
          <w:szCs w:val="20"/>
          <w:lang w:val="en-US"/>
        </w:rPr>
        <w:t xml:space="preserve">, which include </w:t>
      </w:r>
      <w:r w:rsidR="00D92CFC" w:rsidRPr="00D92CFC">
        <w:rPr>
          <w:rFonts w:ascii="Times New Roman" w:hAnsi="Times New Roman" w:cs="Times New Roman"/>
          <w:sz w:val="20"/>
          <w:szCs w:val="20"/>
          <w:lang w:val="en-US"/>
        </w:rPr>
        <w:t>Gantt charts/approval schedules, migration CAPEX/OPEX calculations, operational risk, learning curves, and contractual penalties</w:t>
      </w:r>
      <w:r w:rsidR="00A00EC4">
        <w:rPr>
          <w:rFonts w:ascii="Times New Roman" w:hAnsi="Times New Roman" w:cs="Times New Roman"/>
          <w:sz w:val="20"/>
          <w:szCs w:val="20"/>
          <w:lang w:val="en-US"/>
        </w:rPr>
        <w:t>, (ii) the assessment of the i</w:t>
      </w:r>
      <w:r w:rsidR="00A00EC4" w:rsidRPr="00D92CFC">
        <w:rPr>
          <w:rFonts w:ascii="Times New Roman" w:hAnsi="Times New Roman" w:cs="Times New Roman"/>
          <w:sz w:val="20"/>
          <w:szCs w:val="20"/>
          <w:lang w:val="en-US"/>
        </w:rPr>
        <w:t>mpact and proportionality of the "abuse" (suitability/necessity/balancing test)</w:t>
      </w:r>
      <w:r w:rsidR="00A00EC4">
        <w:rPr>
          <w:rFonts w:ascii="Times New Roman" w:hAnsi="Times New Roman" w:cs="Times New Roman"/>
          <w:sz w:val="20"/>
          <w:szCs w:val="20"/>
          <w:lang w:val="en-US"/>
        </w:rPr>
        <w:t xml:space="preserve"> and (iii) the e</w:t>
      </w:r>
      <w:r w:rsidR="00A00EC4" w:rsidRPr="00D92CFC">
        <w:rPr>
          <w:rFonts w:ascii="Times New Roman" w:hAnsi="Times New Roman" w:cs="Times New Roman"/>
          <w:sz w:val="20"/>
          <w:szCs w:val="20"/>
          <w:lang w:val="en-US"/>
        </w:rPr>
        <w:t>conomic analysis of the proportionality of the conduct with respect to a legitimate objective, less restrictive alternatives, and incremental harm to the employee's competitive capacity (not mere contractual inconvenience).</w:t>
      </w:r>
    </w:p>
    <w:p w14:paraId="6CCBAA9E" w14:textId="7EAFF0A4" w:rsidR="00D92CFC" w:rsidRPr="00D92CFC" w:rsidRDefault="00A00EC4" w:rsidP="00A00EC4">
      <w:pPr>
        <w:jc w:val="both"/>
        <w:rPr>
          <w:rFonts w:ascii="Times New Roman" w:hAnsi="Times New Roman" w:cs="Times New Roman"/>
          <w:sz w:val="20"/>
          <w:szCs w:val="20"/>
          <w:lang w:val="en-US"/>
        </w:rPr>
      </w:pPr>
      <w:r w:rsidRPr="48D21451">
        <w:rPr>
          <w:rFonts w:ascii="Times New Roman" w:hAnsi="Times New Roman" w:cs="Times New Roman"/>
          <w:sz w:val="20"/>
          <w:szCs w:val="20"/>
          <w:lang w:val="en-US"/>
        </w:rPr>
        <w:t>Regarding the “additional benefits” benchmark (</w:t>
      </w:r>
      <w:r w:rsidR="00D92CFC" w:rsidRPr="48D21451">
        <w:rPr>
          <w:rFonts w:ascii="Times New Roman" w:hAnsi="Times New Roman" w:cs="Times New Roman"/>
          <w:sz w:val="20"/>
          <w:szCs w:val="20"/>
          <w:lang w:val="en-US"/>
        </w:rPr>
        <w:t>iuris tantum presumption of article 16.2 LCD)</w:t>
      </w:r>
      <w:r w:rsidRPr="48D21451">
        <w:rPr>
          <w:rFonts w:ascii="Times New Roman" w:hAnsi="Times New Roman" w:cs="Times New Roman"/>
          <w:sz w:val="20"/>
          <w:szCs w:val="20"/>
          <w:lang w:val="en-US"/>
        </w:rPr>
        <w:t>, it</w:t>
      </w:r>
      <w:r w:rsidR="00D92CFC" w:rsidRPr="48D21451">
        <w:rPr>
          <w:rFonts w:ascii="Times New Roman" w:hAnsi="Times New Roman" w:cs="Times New Roman"/>
          <w:sz w:val="20"/>
          <w:szCs w:val="20"/>
          <w:lang w:val="en-US"/>
        </w:rPr>
        <w:t xml:space="preserve"> is a comparative expert report that shows whether the "large customer" receives regular benefits not granted to comparable partners (define </w:t>
      </w:r>
      <w:r w:rsidR="48C4DE33" w:rsidRPr="48D21451">
        <w:rPr>
          <w:rFonts w:ascii="Times New Roman" w:hAnsi="Times New Roman" w:cs="Times New Roman"/>
          <w:sz w:val="20"/>
          <w:szCs w:val="20"/>
          <w:lang w:val="en-US"/>
        </w:rPr>
        <w:t>comparable</w:t>
      </w:r>
      <w:r w:rsidR="00D92CFC" w:rsidRPr="48D21451">
        <w:rPr>
          <w:rFonts w:ascii="Times New Roman" w:hAnsi="Times New Roman" w:cs="Times New Roman"/>
          <w:sz w:val="20"/>
          <w:szCs w:val="20"/>
          <w:lang w:val="en-US"/>
        </w:rPr>
        <w:t xml:space="preserve">, control size/volume/risk). </w:t>
      </w:r>
      <w:r w:rsidRPr="48D21451">
        <w:rPr>
          <w:rFonts w:ascii="Times New Roman" w:hAnsi="Times New Roman" w:cs="Times New Roman"/>
          <w:sz w:val="20"/>
          <w:szCs w:val="20"/>
          <w:lang w:val="en-US"/>
        </w:rPr>
        <w:t>This assessment</w:t>
      </w:r>
      <w:r w:rsidR="00D92CFC" w:rsidRPr="48D21451">
        <w:rPr>
          <w:rFonts w:ascii="Times New Roman" w:hAnsi="Times New Roman" w:cs="Times New Roman"/>
          <w:sz w:val="20"/>
          <w:szCs w:val="20"/>
          <w:lang w:val="en-US"/>
        </w:rPr>
        <w:t xml:space="preserve"> serves to trigger the presumption, which the other party can rebut.</w:t>
      </w:r>
    </w:p>
    <w:p w14:paraId="0D0963F0" w14:textId="77777777" w:rsidR="00D92CFC" w:rsidRDefault="00D92CFC" w:rsidP="00D92CFC">
      <w:pPr>
        <w:jc w:val="both"/>
        <w:rPr>
          <w:rFonts w:ascii="Times New Roman" w:hAnsi="Times New Roman" w:cs="Times New Roman"/>
          <w:sz w:val="20"/>
          <w:szCs w:val="20"/>
          <w:lang w:val="en-US"/>
        </w:rPr>
      </w:pPr>
    </w:p>
    <w:p w14:paraId="078F7755" w14:textId="77777777" w:rsidR="005D1973" w:rsidRPr="00427977" w:rsidRDefault="005D1973" w:rsidP="00D92CFC">
      <w:pPr>
        <w:jc w:val="both"/>
        <w:rPr>
          <w:rFonts w:ascii="Times New Roman" w:hAnsi="Times New Roman" w:cs="Times New Roman"/>
          <w:sz w:val="20"/>
          <w:szCs w:val="20"/>
          <w:lang w:val="en-US"/>
        </w:rPr>
      </w:pPr>
    </w:p>
    <w:p w14:paraId="3CED18FB" w14:textId="77777777" w:rsidR="00A00EC4" w:rsidRPr="00A00EC4" w:rsidRDefault="00A00EC4" w:rsidP="00A00EC4">
      <w:pPr>
        <w:autoSpaceDE w:val="0"/>
        <w:autoSpaceDN w:val="0"/>
        <w:adjustRightInd w:val="0"/>
        <w:jc w:val="both"/>
        <w:rPr>
          <w:rFonts w:ascii="Times New Roman" w:hAnsi="Times New Roman" w:cs="Times New Roman"/>
          <w:b/>
          <w:bCs/>
          <w:sz w:val="20"/>
          <w:szCs w:val="20"/>
          <w:lang w:val="en-GB"/>
        </w:rPr>
      </w:pPr>
      <w:r w:rsidRPr="00A00EC4">
        <w:rPr>
          <w:rFonts w:ascii="Times New Roman" w:hAnsi="Times New Roman" w:cs="Times New Roman"/>
          <w:b/>
          <w:bCs/>
          <w:sz w:val="20"/>
          <w:szCs w:val="20"/>
          <w:lang w:val="en-GB"/>
        </w:rPr>
        <w:lastRenderedPageBreak/>
        <w:t>3. Abuse of relative market power.</w:t>
      </w:r>
    </w:p>
    <w:p w14:paraId="1C2E3AD2" w14:textId="55B0BD6F" w:rsidR="00A00EC4" w:rsidRPr="00427977" w:rsidRDefault="00A00EC4" w:rsidP="48D21451">
      <w:pPr>
        <w:autoSpaceDE w:val="0"/>
        <w:autoSpaceDN w:val="0"/>
        <w:adjustRightInd w:val="0"/>
        <w:jc w:val="both"/>
        <w:rPr>
          <w:rFonts w:ascii="Times New Roman" w:hAnsi="Times New Roman" w:cs="Times New Roman"/>
          <w:i/>
          <w:iCs/>
          <w:sz w:val="20"/>
          <w:szCs w:val="20"/>
          <w:lang w:val="en-GB"/>
        </w:rPr>
      </w:pPr>
      <w:r>
        <w:rPr>
          <w:rFonts w:ascii="Times New Roman" w:hAnsi="Times New Roman" w:cs="Times New Roman"/>
          <w:sz w:val="20"/>
          <w:szCs w:val="20"/>
          <w:lang w:val="en-GB"/>
        </w:rPr>
        <w:t>As already indicated, u</w:t>
      </w:r>
      <w:r w:rsidRPr="00427977">
        <w:rPr>
          <w:rFonts w:ascii="Times New Roman" w:hAnsi="Times New Roman" w:cs="Times New Roman"/>
          <w:sz w:val="20"/>
          <w:szCs w:val="20"/>
          <w:lang w:val="en-GB"/>
        </w:rPr>
        <w:t>nder Spanish law the existence of an economic dependence or an imbalance of power is not forbidden, only the abuse of economic dependence is. Thus, once the existence of an economic dependence is proven, it is still necessary to examine whether there is an abuse of such economic dependence.</w:t>
      </w:r>
    </w:p>
    <w:p w14:paraId="11254953" w14:textId="6C0BFAD6" w:rsidR="00A00EC4" w:rsidRPr="00427977" w:rsidRDefault="00A00EC4" w:rsidP="00A00EC4">
      <w:pPr>
        <w:autoSpaceDE w:val="0"/>
        <w:autoSpaceDN w:val="0"/>
        <w:adjustRightInd w:val="0"/>
        <w:jc w:val="both"/>
        <w:rPr>
          <w:rFonts w:ascii="Times New Roman" w:hAnsi="Times New Roman" w:cs="Times New Roman"/>
          <w:bCs/>
          <w:i/>
          <w:iCs/>
          <w:sz w:val="20"/>
          <w:szCs w:val="20"/>
          <w:lang w:val="en-GB"/>
        </w:rPr>
      </w:pPr>
      <w:r w:rsidRPr="00427977">
        <w:rPr>
          <w:rFonts w:ascii="Times New Roman" w:hAnsi="Times New Roman" w:cs="Times New Roman"/>
          <w:sz w:val="20"/>
          <w:szCs w:val="20"/>
          <w:lang w:val="en-GB"/>
        </w:rPr>
        <w:t xml:space="preserve">Art. 16.2 of the </w:t>
      </w:r>
      <w:r>
        <w:rPr>
          <w:rFonts w:ascii="Times New Roman" w:hAnsi="Times New Roman" w:cs="Times New Roman"/>
          <w:sz w:val="20"/>
          <w:szCs w:val="20"/>
          <w:lang w:val="en-GB"/>
        </w:rPr>
        <w:t>UCA</w:t>
      </w:r>
      <w:r w:rsidRPr="00427977">
        <w:rPr>
          <w:rFonts w:ascii="Times New Roman" w:hAnsi="Times New Roman" w:cs="Times New Roman"/>
          <w:sz w:val="20"/>
          <w:szCs w:val="20"/>
          <w:lang w:val="en-GB"/>
        </w:rPr>
        <w:t xml:space="preserve"> prohibits any abuse (literally “exploitation”, in the wording of the law) of economic dependence. The existence of such abuse is presumed “when a supplier, in addition to the usual discounts or conditions, must regularly grant its customer other additional benefits that are not granted to similar buyers”. </w:t>
      </w:r>
    </w:p>
    <w:p w14:paraId="2402AA62" w14:textId="1EA11404" w:rsidR="00A00EC4" w:rsidRPr="00427977" w:rsidRDefault="00A00EC4" w:rsidP="00A00EC4">
      <w:pPr>
        <w:autoSpaceDE w:val="0"/>
        <w:autoSpaceDN w:val="0"/>
        <w:adjustRightInd w:val="0"/>
        <w:jc w:val="both"/>
        <w:rPr>
          <w:rFonts w:ascii="Times New Roman" w:hAnsi="Times New Roman" w:cs="Times New Roman"/>
          <w:bCs/>
          <w:i/>
          <w:iCs/>
          <w:sz w:val="20"/>
          <w:szCs w:val="20"/>
          <w:lang w:val="en-GB"/>
        </w:rPr>
      </w:pPr>
      <w:r w:rsidRPr="00427977">
        <w:rPr>
          <w:rFonts w:ascii="Times New Roman" w:hAnsi="Times New Roman" w:cs="Times New Roman"/>
          <w:sz w:val="20"/>
          <w:szCs w:val="20"/>
          <w:lang w:val="en-GB"/>
        </w:rPr>
        <w:t>Therefore, there is not a legal definition of what an abuse of economic dependence is, but the wording of the law suggest</w:t>
      </w:r>
      <w:r>
        <w:rPr>
          <w:rFonts w:ascii="Times New Roman" w:hAnsi="Times New Roman" w:cs="Times New Roman"/>
          <w:sz w:val="20"/>
          <w:szCs w:val="20"/>
          <w:lang w:val="en-GB"/>
        </w:rPr>
        <w:t>s</w:t>
      </w:r>
      <w:r w:rsidRPr="00427977">
        <w:rPr>
          <w:rFonts w:ascii="Times New Roman" w:hAnsi="Times New Roman" w:cs="Times New Roman"/>
          <w:sz w:val="20"/>
          <w:szCs w:val="20"/>
          <w:lang w:val="en-GB"/>
        </w:rPr>
        <w:t xml:space="preserve"> that standard commercial practices are not only a benchmark but could even create a legal presumption (iuris tantum) of the existence of an abuse. However, other forms of abuse are possible. Some commentators in Spain interpret Art. 16</w:t>
      </w:r>
      <w:r>
        <w:rPr>
          <w:rFonts w:ascii="Times New Roman" w:hAnsi="Times New Roman" w:cs="Times New Roman"/>
          <w:sz w:val="20"/>
          <w:szCs w:val="20"/>
          <w:lang w:val="en-GB"/>
        </w:rPr>
        <w:t>.2 UCA</w:t>
      </w:r>
      <w:r w:rsidRPr="00427977">
        <w:rPr>
          <w:rFonts w:ascii="Times New Roman" w:hAnsi="Times New Roman" w:cs="Times New Roman"/>
          <w:sz w:val="20"/>
          <w:szCs w:val="20"/>
          <w:lang w:val="en-GB"/>
        </w:rPr>
        <w:t xml:space="preserve"> as requiring that the commercial conditions imposed must be unjustified and disproportionate, thus diminishing the commercial opportunities of the affected parties</w:t>
      </w:r>
      <w:r w:rsidRPr="00427977">
        <w:rPr>
          <w:rStyle w:val="Refdenotaalpie"/>
          <w:rFonts w:ascii="Times New Roman" w:hAnsi="Times New Roman" w:cs="Times New Roman"/>
          <w:sz w:val="20"/>
          <w:szCs w:val="20"/>
          <w:lang w:val="en-GB"/>
        </w:rPr>
        <w:footnoteReference w:id="19"/>
      </w:r>
      <w:r w:rsidRPr="00427977">
        <w:rPr>
          <w:rFonts w:ascii="Times New Roman" w:hAnsi="Times New Roman" w:cs="Times New Roman"/>
          <w:sz w:val="20"/>
          <w:szCs w:val="20"/>
          <w:lang w:val="en-GB"/>
        </w:rPr>
        <w:t>.</w:t>
      </w:r>
    </w:p>
    <w:p w14:paraId="1D61877C" w14:textId="7025D5FB" w:rsidR="00A00EC4" w:rsidRPr="00427977" w:rsidRDefault="00A00EC4" w:rsidP="00A00EC4">
      <w:pPr>
        <w:autoSpaceDE w:val="0"/>
        <w:autoSpaceDN w:val="0"/>
        <w:adjustRightInd w:val="0"/>
        <w:jc w:val="both"/>
        <w:rPr>
          <w:rFonts w:ascii="Times New Roman" w:hAnsi="Times New Roman" w:cs="Times New Roman"/>
          <w:bCs/>
          <w:i/>
          <w:iCs/>
          <w:sz w:val="20"/>
          <w:szCs w:val="20"/>
          <w:lang w:val="en-GB"/>
        </w:rPr>
      </w:pPr>
      <w:r w:rsidRPr="00427977">
        <w:rPr>
          <w:rFonts w:ascii="Times New Roman" w:hAnsi="Times New Roman" w:cs="Times New Roman"/>
          <w:sz w:val="20"/>
          <w:szCs w:val="20"/>
          <w:lang w:val="en-GB"/>
        </w:rPr>
        <w:t>In practice, the case-law of the Spanish Courts has not developed a single theory of abuse in cases of economic dependence. The approach of the Spanish Courts is on a case</w:t>
      </w:r>
      <w:r>
        <w:rPr>
          <w:rFonts w:ascii="Times New Roman" w:hAnsi="Times New Roman" w:cs="Times New Roman"/>
          <w:sz w:val="20"/>
          <w:szCs w:val="20"/>
          <w:lang w:val="en-GB"/>
        </w:rPr>
        <w:t>-by-</w:t>
      </w:r>
      <w:r w:rsidRPr="00427977">
        <w:rPr>
          <w:rFonts w:ascii="Times New Roman" w:hAnsi="Times New Roman" w:cs="Times New Roman"/>
          <w:sz w:val="20"/>
          <w:szCs w:val="20"/>
          <w:lang w:val="en-GB"/>
        </w:rPr>
        <w:t xml:space="preserve">case basis, </w:t>
      </w:r>
      <w:r>
        <w:rPr>
          <w:rFonts w:ascii="Times New Roman" w:hAnsi="Times New Roman" w:cs="Times New Roman"/>
          <w:sz w:val="20"/>
          <w:szCs w:val="20"/>
          <w:lang w:val="en-GB"/>
        </w:rPr>
        <w:t xml:space="preserve">in </w:t>
      </w:r>
      <w:r w:rsidRPr="00427977">
        <w:rPr>
          <w:rFonts w:ascii="Times New Roman" w:hAnsi="Times New Roman" w:cs="Times New Roman"/>
          <w:sz w:val="20"/>
          <w:szCs w:val="20"/>
          <w:lang w:val="en-GB"/>
        </w:rPr>
        <w:t>light of the economic and legal context.</w:t>
      </w:r>
      <w:r w:rsidRPr="00427977">
        <w:rPr>
          <w:rStyle w:val="Refdenotaalpie"/>
          <w:rFonts w:ascii="Times New Roman" w:hAnsi="Times New Roman" w:cs="Times New Roman"/>
          <w:sz w:val="20"/>
          <w:szCs w:val="20"/>
          <w:lang w:val="en-GB"/>
        </w:rPr>
        <w:footnoteReference w:id="20"/>
      </w:r>
      <w:r w:rsidRPr="00427977">
        <w:rPr>
          <w:rFonts w:ascii="Times New Roman" w:hAnsi="Times New Roman" w:cs="Times New Roman"/>
          <w:sz w:val="20"/>
          <w:szCs w:val="20"/>
          <w:lang w:val="en-GB"/>
        </w:rPr>
        <w:t xml:space="preserve"> Some trends could be identified in this regard:</w:t>
      </w:r>
    </w:p>
    <w:p w14:paraId="67EA30A4" w14:textId="2701E42D" w:rsidR="00A00EC4" w:rsidRPr="00427977" w:rsidRDefault="00A00EC4" w:rsidP="00A00EC4">
      <w:pPr>
        <w:autoSpaceDE w:val="0"/>
        <w:autoSpaceDN w:val="0"/>
        <w:adjustRightInd w:val="0"/>
        <w:ind w:left="567" w:hanging="567"/>
        <w:jc w:val="both"/>
        <w:rPr>
          <w:rFonts w:ascii="Times New Roman" w:hAnsi="Times New Roman" w:cs="Times New Roman"/>
          <w:bCs/>
          <w:sz w:val="20"/>
          <w:szCs w:val="20"/>
          <w:lang w:val="en-GB"/>
        </w:rPr>
      </w:pPr>
      <w:r w:rsidRPr="48D21451">
        <w:rPr>
          <w:rFonts w:ascii="Times New Roman" w:hAnsi="Times New Roman" w:cs="Times New Roman"/>
          <w:sz w:val="20"/>
          <w:szCs w:val="20"/>
          <w:lang w:val="en-GB"/>
        </w:rPr>
        <w:t>(i)</w:t>
      </w:r>
      <w:r w:rsidRPr="005D1973">
        <w:rPr>
          <w:lang w:val="en-US"/>
        </w:rPr>
        <w:tab/>
      </w:r>
      <w:r w:rsidRPr="48D21451">
        <w:rPr>
          <w:rFonts w:ascii="Times New Roman" w:hAnsi="Times New Roman" w:cs="Times New Roman"/>
          <w:sz w:val="20"/>
          <w:szCs w:val="20"/>
          <w:lang w:val="en-GB"/>
        </w:rPr>
        <w:t>Legal presumption: the conditions applied to similar buyers</w:t>
      </w:r>
    </w:p>
    <w:p w14:paraId="023244B0" w14:textId="5E21AEB9" w:rsidR="00A00EC4" w:rsidRPr="00427977" w:rsidRDefault="1E6ABCCF" w:rsidP="48D21451">
      <w:pPr>
        <w:autoSpaceDE w:val="0"/>
        <w:autoSpaceDN w:val="0"/>
        <w:adjustRightInd w:val="0"/>
        <w:ind w:left="567" w:hanging="567"/>
        <w:jc w:val="both"/>
        <w:rPr>
          <w:rFonts w:ascii="Times New Roman" w:hAnsi="Times New Roman" w:cs="Times New Roman"/>
          <w:sz w:val="20"/>
          <w:szCs w:val="20"/>
          <w:lang w:val="en-GB"/>
        </w:rPr>
      </w:pPr>
      <w:r w:rsidRPr="48D21451">
        <w:rPr>
          <w:rFonts w:ascii="Times New Roman" w:eastAsia="Times New Roman" w:hAnsi="Times New Roman" w:cs="Times New Roman"/>
          <w:color w:val="000000" w:themeColor="text1"/>
          <w:sz w:val="20"/>
          <w:szCs w:val="20"/>
          <w:lang w:val="en-GB"/>
        </w:rPr>
        <w:t>The benchmark of the conditions applied to similar buyers has been confirmed by the Spanish Courts on several occasions, including by the Spanish Supreme Court in its Judgment dated 29 February 2012 (ECLI:ES:TS:2012:1580).</w:t>
      </w:r>
      <w:r w:rsidRPr="48D21451">
        <w:rPr>
          <w:rFonts w:ascii="Times New Roman" w:hAnsi="Times New Roman" w:cs="Times New Roman"/>
          <w:sz w:val="20"/>
          <w:szCs w:val="20"/>
          <w:lang w:val="en-GB"/>
        </w:rPr>
        <w:t xml:space="preserve"> </w:t>
      </w:r>
    </w:p>
    <w:p w14:paraId="4B8CB54A" w14:textId="4B0643EE" w:rsidR="00A00EC4" w:rsidRPr="00427977" w:rsidRDefault="00A00EC4" w:rsidP="48D21451">
      <w:pPr>
        <w:autoSpaceDE w:val="0"/>
        <w:autoSpaceDN w:val="0"/>
        <w:adjustRightInd w:val="0"/>
        <w:ind w:left="567" w:hanging="567"/>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(ii)</w:t>
      </w:r>
      <w:r w:rsidRPr="005D1973">
        <w:rPr>
          <w:lang w:val="en-US"/>
        </w:rPr>
        <w:tab/>
      </w:r>
      <w:r w:rsidRPr="48D21451">
        <w:rPr>
          <w:rFonts w:ascii="Times New Roman" w:hAnsi="Times New Roman" w:cs="Times New Roman"/>
          <w:sz w:val="20"/>
          <w:szCs w:val="20"/>
          <w:lang w:val="en-GB"/>
        </w:rPr>
        <w:t>Per se abuses</w:t>
      </w:r>
    </w:p>
    <w:p w14:paraId="3EB85654" w14:textId="4372ACF9" w:rsidR="00A00EC4" w:rsidRPr="00427977" w:rsidRDefault="00A00EC4" w:rsidP="48D21451">
      <w:pPr>
        <w:autoSpaceDE w:val="0"/>
        <w:autoSpaceDN w:val="0"/>
        <w:adjustRightInd w:val="0"/>
        <w:jc w:val="both"/>
        <w:rPr>
          <w:rStyle w:val="Refdenotaalpie"/>
          <w:rFonts w:ascii="Times New Roman" w:hAnsi="Times New Roman" w:cs="Times New Roman"/>
          <w:sz w:val="20"/>
          <w:szCs w:val="20"/>
          <w:lang w:val="en-GB"/>
        </w:rPr>
      </w:pPr>
      <w:r w:rsidRPr="00427977">
        <w:rPr>
          <w:rFonts w:ascii="Times New Roman" w:hAnsi="Times New Roman" w:cs="Times New Roman"/>
          <w:sz w:val="20"/>
          <w:szCs w:val="20"/>
          <w:lang w:val="en-GB"/>
        </w:rPr>
        <w:t>Some commercial practices are considered per se abusive in case of economic dependence. Such is the case of discriminatory practices between customers. Such discrimination could take place between customers dependent of the perpetrator but also (or even more so) between dependent and non-dependent customers. It also covers cases of refusal to supply as well as the imposition of unfair conditions.</w:t>
      </w:r>
      <w:r w:rsidR="1F9541B6" w:rsidRPr="48D21451">
        <w:rPr>
          <w:rFonts w:ascii="Times New Roman" w:eastAsia="Times New Roman" w:hAnsi="Times New Roman" w:cs="Times New Roman"/>
          <w:color w:val="000000" w:themeColor="text1"/>
          <w:sz w:val="20"/>
          <w:szCs w:val="20"/>
          <w:lang w:val="en-GB"/>
        </w:rPr>
        <w:t xml:space="preserve"> as underlined by the Spanish Supreme Court Judgment dated 27 May 2025 (ECLI:ES:TS:2025:2348).</w:t>
      </w:r>
    </w:p>
    <w:p w14:paraId="3876FEA6" w14:textId="24C8D6D0" w:rsidR="00A00EC4" w:rsidRPr="00427977" w:rsidRDefault="00A00EC4" w:rsidP="00A00EC4">
      <w:pPr>
        <w:autoSpaceDE w:val="0"/>
        <w:autoSpaceDN w:val="0"/>
        <w:adjustRightInd w:val="0"/>
        <w:ind w:left="567" w:hanging="567"/>
        <w:jc w:val="both"/>
        <w:rPr>
          <w:rFonts w:ascii="Times New Roman" w:hAnsi="Times New Roman" w:cs="Times New Roman"/>
          <w:bCs/>
          <w:sz w:val="20"/>
          <w:szCs w:val="20"/>
          <w:lang w:val="en-GB"/>
        </w:rPr>
      </w:pPr>
      <w:r>
        <w:rPr>
          <w:rFonts w:ascii="Times New Roman" w:hAnsi="Times New Roman" w:cs="Times New Roman"/>
          <w:sz w:val="20"/>
          <w:szCs w:val="20"/>
          <w:lang w:val="en-GB"/>
        </w:rPr>
        <w:t>(iii)</w:t>
      </w:r>
      <w:r>
        <w:rPr>
          <w:rFonts w:ascii="Times New Roman" w:hAnsi="Times New Roman" w:cs="Times New Roman"/>
          <w:sz w:val="20"/>
          <w:szCs w:val="20"/>
          <w:lang w:val="en-GB"/>
        </w:rPr>
        <w:tab/>
      </w:r>
      <w:r w:rsidRPr="00427977">
        <w:rPr>
          <w:rFonts w:ascii="Times New Roman" w:hAnsi="Times New Roman" w:cs="Times New Roman"/>
          <w:sz w:val="20"/>
          <w:szCs w:val="20"/>
          <w:lang w:val="en-GB"/>
        </w:rPr>
        <w:t>By analogy to abuse of dominant position in competition law</w:t>
      </w:r>
    </w:p>
    <w:p w14:paraId="3FA47C27" w14:textId="637ED7E3" w:rsidR="00A00EC4" w:rsidRPr="00427977" w:rsidRDefault="00A00EC4" w:rsidP="48D21451">
      <w:pPr>
        <w:autoSpaceDE w:val="0"/>
        <w:autoSpaceDN w:val="0"/>
        <w:adjustRightInd w:val="0"/>
        <w:jc w:val="both"/>
        <w:rPr>
          <w:rFonts w:ascii="Times New Roman" w:hAnsi="Times New Roman" w:cs="Times New Roman"/>
          <w:sz w:val="20"/>
          <w:szCs w:val="20"/>
          <w:lang w:val="en-GB"/>
        </w:rPr>
      </w:pPr>
      <w:r w:rsidRPr="00427977">
        <w:rPr>
          <w:rFonts w:ascii="Times New Roman" w:hAnsi="Times New Roman" w:cs="Times New Roman"/>
          <w:sz w:val="20"/>
          <w:szCs w:val="20"/>
          <w:lang w:val="en-GB"/>
        </w:rPr>
        <w:t>Some Courts have held that the abuse of economic dependence could also be interpreted in light of the notion of abuse of dominant position in competition law</w:t>
      </w:r>
      <w:r w:rsidR="4AB7A433" w:rsidRPr="00427977">
        <w:rPr>
          <w:rFonts w:ascii="Times New Roman" w:hAnsi="Times New Roman" w:cs="Times New Roman"/>
          <w:sz w:val="20"/>
          <w:szCs w:val="20"/>
          <w:lang w:val="en-GB"/>
        </w:rPr>
        <w:t>, i</w:t>
      </w:r>
      <w:r w:rsidR="4AB7A433" w:rsidRPr="48D21451">
        <w:rPr>
          <w:rFonts w:ascii="Times New Roman" w:eastAsia="Times New Roman" w:hAnsi="Times New Roman" w:cs="Times New Roman"/>
          <w:color w:val="000000" w:themeColor="text1"/>
          <w:sz w:val="20"/>
          <w:szCs w:val="20"/>
          <w:lang w:val="en-GB"/>
        </w:rPr>
        <w:t>ncluding the Court of Appeal of Madrid Judgment dated 28 October 2011 (ECLI:ES:APM:2011:15141).</w:t>
      </w:r>
    </w:p>
    <w:p w14:paraId="21A1F3A9" w14:textId="084353C5" w:rsidR="00A00EC4" w:rsidRPr="00427977" w:rsidRDefault="00A00EC4" w:rsidP="48D21451">
      <w:pPr>
        <w:autoSpaceDE w:val="0"/>
        <w:autoSpaceDN w:val="0"/>
        <w:adjustRightInd w:val="0"/>
        <w:jc w:val="both"/>
        <w:rPr>
          <w:rFonts w:ascii="Times New Roman" w:hAnsi="Times New Roman" w:cs="Times New Roman"/>
          <w:i/>
          <w:iCs/>
          <w:sz w:val="20"/>
          <w:szCs w:val="20"/>
          <w:lang w:val="en-GB"/>
        </w:rPr>
      </w:pPr>
      <w:r w:rsidRPr="00427977">
        <w:rPr>
          <w:rFonts w:ascii="Times New Roman" w:hAnsi="Times New Roman" w:cs="Times New Roman"/>
          <w:sz w:val="20"/>
          <w:szCs w:val="20"/>
          <w:lang w:val="en-GB"/>
        </w:rPr>
        <w:t>Nonetheless, the analysis of an abuse of economic dependence should be clear</w:t>
      </w:r>
      <w:r w:rsidR="005D70D4">
        <w:rPr>
          <w:rFonts w:ascii="Times New Roman" w:hAnsi="Times New Roman" w:cs="Times New Roman"/>
          <w:sz w:val="20"/>
          <w:szCs w:val="20"/>
          <w:lang w:val="en-GB"/>
        </w:rPr>
        <w:t>ly</w:t>
      </w:r>
      <w:r w:rsidRPr="00427977">
        <w:rPr>
          <w:rFonts w:ascii="Times New Roman" w:hAnsi="Times New Roman" w:cs="Times New Roman"/>
          <w:sz w:val="20"/>
          <w:szCs w:val="20"/>
          <w:lang w:val="en-GB"/>
        </w:rPr>
        <w:t xml:space="preserve"> distinguished from the analysis carried out in the case of abuse of dominant position. In cases of economic </w:t>
      </w:r>
      <w:r w:rsidR="25CA3B76" w:rsidRPr="00427977">
        <w:rPr>
          <w:rFonts w:ascii="Times New Roman" w:hAnsi="Times New Roman" w:cs="Times New Roman"/>
          <w:sz w:val="20"/>
          <w:szCs w:val="20"/>
          <w:lang w:val="en-GB"/>
        </w:rPr>
        <w:t>dependence,</w:t>
      </w:r>
      <w:r w:rsidRPr="00427977">
        <w:rPr>
          <w:rFonts w:ascii="Times New Roman" w:hAnsi="Times New Roman" w:cs="Times New Roman"/>
          <w:sz w:val="20"/>
          <w:szCs w:val="20"/>
          <w:lang w:val="en-GB"/>
        </w:rPr>
        <w:t xml:space="preserve"> it is not necessary to pro</w:t>
      </w:r>
      <w:r w:rsidR="1AA49811" w:rsidRPr="00427977">
        <w:rPr>
          <w:rFonts w:ascii="Times New Roman" w:hAnsi="Times New Roman" w:cs="Times New Roman"/>
          <w:sz w:val="20"/>
          <w:szCs w:val="20"/>
          <w:lang w:val="en-GB"/>
        </w:rPr>
        <w:t>ve</w:t>
      </w:r>
      <w:r w:rsidRPr="00427977">
        <w:rPr>
          <w:rFonts w:ascii="Times New Roman" w:hAnsi="Times New Roman" w:cs="Times New Roman"/>
          <w:sz w:val="20"/>
          <w:szCs w:val="20"/>
          <w:lang w:val="en-GB"/>
        </w:rPr>
        <w:t xml:space="preserve"> the existence of a restriction of competition or whether the abuse is exclusionary or exploitative. It is not necessary to analyse whether the market as </w:t>
      </w:r>
      <w:r w:rsidR="005D70D4">
        <w:rPr>
          <w:rFonts w:ascii="Times New Roman" w:hAnsi="Times New Roman" w:cs="Times New Roman"/>
          <w:sz w:val="20"/>
          <w:szCs w:val="20"/>
          <w:lang w:val="en-GB"/>
        </w:rPr>
        <w:t xml:space="preserve">a </w:t>
      </w:r>
      <w:r w:rsidRPr="00427977">
        <w:rPr>
          <w:rFonts w:ascii="Times New Roman" w:hAnsi="Times New Roman" w:cs="Times New Roman"/>
          <w:sz w:val="20"/>
          <w:szCs w:val="20"/>
          <w:lang w:val="en-GB"/>
        </w:rPr>
        <w:t xml:space="preserve">whole has </w:t>
      </w:r>
      <w:r w:rsidR="793F3A56" w:rsidRPr="00427977">
        <w:rPr>
          <w:rFonts w:ascii="Times New Roman" w:hAnsi="Times New Roman" w:cs="Times New Roman"/>
          <w:sz w:val="20"/>
          <w:szCs w:val="20"/>
          <w:lang w:val="en-GB"/>
        </w:rPr>
        <w:t>been affected; only the conditions applied to the individual parties</w:t>
      </w:r>
      <w:r w:rsidR="717E6CC3" w:rsidRPr="00427977">
        <w:rPr>
          <w:rFonts w:ascii="Times New Roman" w:hAnsi="Times New Roman" w:cs="Times New Roman"/>
          <w:sz w:val="20"/>
          <w:szCs w:val="20"/>
          <w:lang w:val="en-GB"/>
        </w:rPr>
        <w:t xml:space="preserve"> </w:t>
      </w:r>
      <w:r w:rsidR="717E6CC3" w:rsidRPr="48D21451">
        <w:rPr>
          <w:rFonts w:ascii="Times New Roman" w:eastAsia="Times New Roman" w:hAnsi="Times New Roman" w:cs="Times New Roman"/>
          <w:color w:val="000000" w:themeColor="text1"/>
          <w:sz w:val="20"/>
          <w:szCs w:val="20"/>
          <w:lang w:val="en-GB"/>
        </w:rPr>
        <w:t>This has been underlined by the Spanish Supreme Court Judgment dated 29 February 2012 (ECLI:ES:TS:2012:1580).</w:t>
      </w:r>
      <w:r w:rsidRPr="00427977">
        <w:rPr>
          <w:rFonts w:ascii="Times New Roman" w:hAnsi="Times New Roman" w:cs="Times New Roman"/>
          <w:sz w:val="20"/>
          <w:szCs w:val="20"/>
          <w:lang w:val="en-GB"/>
        </w:rPr>
        <w:t xml:space="preserve"> In other words, all abuses of economic dependence are</w:t>
      </w:r>
      <w:r w:rsidR="6FDB0CAB" w:rsidRPr="00427977">
        <w:rPr>
          <w:rFonts w:ascii="Times New Roman" w:hAnsi="Times New Roman" w:cs="Times New Roman"/>
          <w:sz w:val="20"/>
          <w:szCs w:val="20"/>
          <w:lang w:val="en-GB"/>
        </w:rPr>
        <w:t>,</w:t>
      </w:r>
      <w:r w:rsidRPr="00427977">
        <w:rPr>
          <w:rFonts w:ascii="Times New Roman" w:hAnsi="Times New Roman" w:cs="Times New Roman"/>
          <w:sz w:val="20"/>
          <w:szCs w:val="20"/>
          <w:lang w:val="en-GB"/>
        </w:rPr>
        <w:t xml:space="preserve"> by definition, exploitative and subjective.</w:t>
      </w:r>
    </w:p>
    <w:p w14:paraId="664289B6" w14:textId="2ED543CA" w:rsidR="00A00EC4" w:rsidRPr="00427977" w:rsidRDefault="00A00EC4" w:rsidP="48D21451">
      <w:pPr>
        <w:jc w:val="both"/>
        <w:rPr>
          <w:rFonts w:ascii="Times New Roman" w:hAnsi="Times New Roman" w:cs="Times New Roman"/>
          <w:i/>
          <w:iCs/>
          <w:sz w:val="20"/>
          <w:szCs w:val="20"/>
          <w:lang w:val="en-GB"/>
        </w:rPr>
      </w:pPr>
      <w:r w:rsidRPr="48D21451">
        <w:rPr>
          <w:rFonts w:ascii="Times New Roman" w:hAnsi="Times New Roman" w:cs="Times New Roman"/>
          <w:sz w:val="20"/>
          <w:szCs w:val="20"/>
          <w:lang w:val="en-GB"/>
        </w:rPr>
        <w:t>With regard to commercial practices, the prohibition of abuse of economic dependence covers both price or non-price infringements, including refusal to supply or unfair commercial conditions. Further</w:t>
      </w:r>
      <w:r w:rsidR="005D70D4" w:rsidRPr="48D21451">
        <w:rPr>
          <w:rFonts w:ascii="Times New Roman" w:hAnsi="Times New Roman" w:cs="Times New Roman"/>
          <w:sz w:val="20"/>
          <w:szCs w:val="20"/>
          <w:lang w:val="en-GB"/>
        </w:rPr>
        <w:t>more</w:t>
      </w:r>
      <w:r w:rsidRPr="48D21451">
        <w:rPr>
          <w:rFonts w:ascii="Times New Roman" w:hAnsi="Times New Roman" w:cs="Times New Roman"/>
          <w:sz w:val="20"/>
          <w:szCs w:val="20"/>
          <w:lang w:val="en-GB"/>
        </w:rPr>
        <w:t>, although all the case</w:t>
      </w:r>
      <w:r w:rsidR="005D70D4" w:rsidRPr="48D21451">
        <w:rPr>
          <w:rFonts w:ascii="Times New Roman" w:hAnsi="Times New Roman" w:cs="Times New Roman"/>
          <w:sz w:val="20"/>
          <w:szCs w:val="20"/>
          <w:lang w:val="en-GB"/>
        </w:rPr>
        <w:t xml:space="preserve"> </w:t>
      </w:r>
      <w:r w:rsidRPr="48D21451">
        <w:rPr>
          <w:rFonts w:ascii="Times New Roman" w:hAnsi="Times New Roman" w:cs="Times New Roman"/>
          <w:sz w:val="20"/>
          <w:szCs w:val="20"/>
          <w:lang w:val="en-GB"/>
        </w:rPr>
        <w:t>law deals with commercial conditions applied in the framework of existing business relationships, nothing prevents to invoke Art. 16</w:t>
      </w:r>
      <w:r w:rsidR="005D70D4" w:rsidRPr="48D21451">
        <w:rPr>
          <w:rFonts w:ascii="Times New Roman" w:hAnsi="Times New Roman" w:cs="Times New Roman"/>
          <w:sz w:val="20"/>
          <w:szCs w:val="20"/>
          <w:lang w:val="en-GB"/>
        </w:rPr>
        <w:t>.2</w:t>
      </w:r>
      <w:r w:rsidRPr="48D21451">
        <w:rPr>
          <w:rFonts w:ascii="Times New Roman" w:hAnsi="Times New Roman" w:cs="Times New Roman"/>
          <w:sz w:val="20"/>
          <w:szCs w:val="20"/>
          <w:lang w:val="en-GB"/>
        </w:rPr>
        <w:t xml:space="preserve"> with regard to future commercial conditions, provided that there </w:t>
      </w:r>
      <w:r w:rsidR="20EFA6CF" w:rsidRPr="48D21451">
        <w:rPr>
          <w:rFonts w:ascii="Times New Roman" w:hAnsi="Times New Roman" w:cs="Times New Roman"/>
          <w:sz w:val="20"/>
          <w:szCs w:val="20"/>
          <w:lang w:val="en-GB"/>
        </w:rPr>
        <w:t>is</w:t>
      </w:r>
      <w:r w:rsidRPr="48D21451">
        <w:rPr>
          <w:rFonts w:ascii="Times New Roman" w:hAnsi="Times New Roman" w:cs="Times New Roman"/>
          <w:sz w:val="20"/>
          <w:szCs w:val="20"/>
          <w:lang w:val="en-GB"/>
        </w:rPr>
        <w:t xml:space="preserve"> sufficient evidence that such conditions will be certainly applied. Art</w:t>
      </w:r>
      <w:r w:rsidR="005D70D4" w:rsidRPr="48D21451">
        <w:rPr>
          <w:rFonts w:ascii="Times New Roman" w:hAnsi="Times New Roman" w:cs="Times New Roman"/>
          <w:sz w:val="20"/>
          <w:szCs w:val="20"/>
          <w:lang w:val="en-GB"/>
        </w:rPr>
        <w:t>icle</w:t>
      </w:r>
      <w:r w:rsidRPr="48D21451">
        <w:rPr>
          <w:rFonts w:ascii="Times New Roman" w:hAnsi="Times New Roman" w:cs="Times New Roman"/>
          <w:sz w:val="20"/>
          <w:szCs w:val="20"/>
          <w:lang w:val="en-GB"/>
        </w:rPr>
        <w:t xml:space="preserve"> 32 of the </w:t>
      </w:r>
      <w:r w:rsidR="005D70D4" w:rsidRPr="48D21451">
        <w:rPr>
          <w:rFonts w:ascii="Times New Roman" w:hAnsi="Times New Roman" w:cs="Times New Roman"/>
          <w:sz w:val="20"/>
          <w:szCs w:val="20"/>
          <w:lang w:val="en-GB"/>
        </w:rPr>
        <w:t>UCA</w:t>
      </w:r>
      <w:r w:rsidRPr="48D21451">
        <w:rPr>
          <w:rFonts w:ascii="Times New Roman" w:hAnsi="Times New Roman" w:cs="Times New Roman"/>
          <w:sz w:val="20"/>
          <w:szCs w:val="20"/>
          <w:lang w:val="en-GB"/>
        </w:rPr>
        <w:t xml:space="preserve"> expressly provides for the possibility of prohibiting conduct that has not yet been implemented.</w:t>
      </w:r>
    </w:p>
    <w:p w14:paraId="6E610BA0" w14:textId="01F516DA" w:rsidR="00A00EC4" w:rsidRPr="00427977" w:rsidRDefault="00A00EC4" w:rsidP="00A00EC4">
      <w:pPr>
        <w:jc w:val="both"/>
        <w:rPr>
          <w:rFonts w:ascii="Times New Roman" w:hAnsi="Times New Roman" w:cs="Times New Roman"/>
          <w:i/>
          <w:iCs/>
          <w:sz w:val="20"/>
          <w:szCs w:val="20"/>
          <w:lang w:val="en-GB"/>
        </w:rPr>
      </w:pPr>
      <w:r w:rsidRPr="00427977">
        <w:rPr>
          <w:rFonts w:ascii="Times New Roman" w:hAnsi="Times New Roman" w:cs="Times New Roman"/>
          <w:sz w:val="20"/>
          <w:szCs w:val="20"/>
          <w:lang w:val="en-GB"/>
        </w:rPr>
        <w:lastRenderedPageBreak/>
        <w:t>Last, but not least, with regard to remedies, the Spanish Unfair Competition Act provides for a number of possible remedies (other than a judicial declaration of having breach</w:t>
      </w:r>
      <w:r w:rsidR="005D70D4">
        <w:rPr>
          <w:rFonts w:ascii="Times New Roman" w:hAnsi="Times New Roman" w:cs="Times New Roman"/>
          <w:sz w:val="20"/>
          <w:szCs w:val="20"/>
          <w:lang w:val="en-GB"/>
        </w:rPr>
        <w:t>ed</w:t>
      </w:r>
      <w:r w:rsidRPr="00427977">
        <w:rPr>
          <w:rFonts w:ascii="Times New Roman" w:hAnsi="Times New Roman" w:cs="Times New Roman"/>
          <w:sz w:val="20"/>
          <w:szCs w:val="20"/>
          <w:lang w:val="en-GB"/>
        </w:rPr>
        <w:t xml:space="preserve"> the </w:t>
      </w:r>
      <w:r w:rsidR="005D70D4">
        <w:rPr>
          <w:rFonts w:ascii="Times New Roman" w:hAnsi="Times New Roman" w:cs="Times New Roman"/>
          <w:sz w:val="20"/>
          <w:szCs w:val="20"/>
          <w:lang w:val="en-GB"/>
        </w:rPr>
        <w:t>UCA</w:t>
      </w:r>
      <w:r w:rsidRPr="00427977">
        <w:rPr>
          <w:rFonts w:ascii="Times New Roman" w:hAnsi="Times New Roman" w:cs="Times New Roman"/>
          <w:sz w:val="20"/>
          <w:szCs w:val="20"/>
          <w:lang w:val="en-GB"/>
        </w:rPr>
        <w:t>):</w:t>
      </w:r>
      <w:r w:rsidR="005D70D4">
        <w:rPr>
          <w:rFonts w:ascii="Times New Roman" w:hAnsi="Times New Roman" w:cs="Times New Roman"/>
          <w:sz w:val="20"/>
          <w:szCs w:val="20"/>
          <w:lang w:val="en-GB"/>
        </w:rPr>
        <w:t xml:space="preserve"> (i) o</w:t>
      </w:r>
      <w:r w:rsidRPr="00427977">
        <w:rPr>
          <w:rFonts w:ascii="Times New Roman" w:hAnsi="Times New Roman" w:cs="Times New Roman"/>
          <w:sz w:val="20"/>
          <w:szCs w:val="20"/>
          <w:lang w:val="en-GB"/>
        </w:rPr>
        <w:t>rder of cessation of the unfair conduct (abuse of economic dependence);</w:t>
      </w:r>
      <w:r w:rsidR="005D70D4">
        <w:rPr>
          <w:rFonts w:ascii="Times New Roman" w:hAnsi="Times New Roman" w:cs="Times New Roman"/>
          <w:sz w:val="20"/>
          <w:szCs w:val="20"/>
          <w:lang w:val="en-GB"/>
        </w:rPr>
        <w:t xml:space="preserve"> (ii) o</w:t>
      </w:r>
      <w:r w:rsidRPr="00427977">
        <w:rPr>
          <w:rFonts w:ascii="Times New Roman" w:hAnsi="Times New Roman" w:cs="Times New Roman"/>
          <w:sz w:val="20"/>
          <w:szCs w:val="20"/>
          <w:lang w:val="en-GB"/>
        </w:rPr>
        <w:t>rder of prohibition of its future repetition;</w:t>
      </w:r>
      <w:r w:rsidR="005D70D4">
        <w:rPr>
          <w:rFonts w:ascii="Times New Roman" w:hAnsi="Times New Roman" w:cs="Times New Roman"/>
          <w:sz w:val="20"/>
          <w:szCs w:val="20"/>
          <w:lang w:val="en-GB"/>
        </w:rPr>
        <w:t xml:space="preserve"> (iii) o</w:t>
      </w:r>
      <w:r w:rsidRPr="00427977">
        <w:rPr>
          <w:rFonts w:ascii="Times New Roman" w:hAnsi="Times New Roman" w:cs="Times New Roman"/>
          <w:sz w:val="20"/>
          <w:szCs w:val="20"/>
          <w:lang w:val="en-GB"/>
        </w:rPr>
        <w:t>rder for removal of the effects produced by the unfair conduct;</w:t>
      </w:r>
      <w:r w:rsidR="005D70D4">
        <w:rPr>
          <w:rFonts w:ascii="Times New Roman" w:hAnsi="Times New Roman" w:cs="Times New Roman"/>
          <w:sz w:val="20"/>
          <w:szCs w:val="20"/>
          <w:lang w:val="en-GB"/>
        </w:rPr>
        <w:t xml:space="preserve"> and (iv) d</w:t>
      </w:r>
      <w:r w:rsidRPr="00427977">
        <w:rPr>
          <w:rFonts w:ascii="Times New Roman" w:hAnsi="Times New Roman" w:cs="Times New Roman"/>
          <w:sz w:val="20"/>
          <w:szCs w:val="20"/>
          <w:lang w:val="en-GB"/>
        </w:rPr>
        <w:t>amages (caused by the unfair conduct).</w:t>
      </w:r>
    </w:p>
    <w:p w14:paraId="78E0BE17" w14:textId="739E72A6" w:rsidR="00A00EC4" w:rsidRPr="00427977" w:rsidRDefault="005D70D4" w:rsidP="48D21451">
      <w:pPr>
        <w:jc w:val="both"/>
        <w:rPr>
          <w:rFonts w:ascii="Times New Roman" w:hAnsi="Times New Roman" w:cs="Times New Roman"/>
          <w:i/>
          <w:iCs/>
          <w:sz w:val="20"/>
          <w:szCs w:val="20"/>
          <w:lang w:val="en-GB"/>
        </w:rPr>
      </w:pPr>
      <w:r>
        <w:rPr>
          <w:rFonts w:ascii="Times New Roman" w:hAnsi="Times New Roman" w:cs="Times New Roman"/>
          <w:sz w:val="20"/>
          <w:szCs w:val="20"/>
          <w:lang w:val="en-GB"/>
        </w:rPr>
        <w:t>T</w:t>
      </w:r>
      <w:r w:rsidR="00A00EC4" w:rsidRPr="00427977">
        <w:rPr>
          <w:rFonts w:ascii="Times New Roman" w:hAnsi="Times New Roman" w:cs="Times New Roman"/>
          <w:sz w:val="20"/>
          <w:szCs w:val="20"/>
          <w:lang w:val="en-GB"/>
        </w:rPr>
        <w:t xml:space="preserve">he </w:t>
      </w:r>
      <w:r>
        <w:rPr>
          <w:rFonts w:ascii="Times New Roman" w:hAnsi="Times New Roman" w:cs="Times New Roman"/>
          <w:sz w:val="20"/>
          <w:szCs w:val="20"/>
          <w:lang w:val="en-GB"/>
        </w:rPr>
        <w:t>UCA</w:t>
      </w:r>
      <w:r w:rsidR="00A00EC4" w:rsidRPr="00427977">
        <w:rPr>
          <w:rFonts w:ascii="Times New Roman" w:hAnsi="Times New Roman" w:cs="Times New Roman"/>
          <w:sz w:val="20"/>
          <w:szCs w:val="20"/>
          <w:lang w:val="en-GB"/>
        </w:rPr>
        <w:t xml:space="preserve"> does not provide for any form of possible negotiation between the parties. However, the current procedural rules in Spain</w:t>
      </w:r>
      <w:r w:rsidR="00A00EC4" w:rsidRPr="00427977">
        <w:rPr>
          <w:rStyle w:val="Refdenotaalpie"/>
          <w:rFonts w:ascii="Times New Roman" w:hAnsi="Times New Roman" w:cs="Times New Roman"/>
          <w:sz w:val="20"/>
          <w:szCs w:val="20"/>
          <w:lang w:val="en-GB"/>
        </w:rPr>
        <w:footnoteReference w:id="21"/>
      </w:r>
      <w:r w:rsidR="72CE57C4" w:rsidRPr="00427977">
        <w:rPr>
          <w:rFonts w:ascii="Times New Roman" w:hAnsi="Times New Roman" w:cs="Times New Roman"/>
          <w:sz w:val="20"/>
          <w:szCs w:val="20"/>
          <w:lang w:val="en-GB"/>
        </w:rPr>
        <w:t>ense</w:t>
      </w:r>
      <w:r w:rsidR="00A00EC4" w:rsidRPr="00427977">
        <w:rPr>
          <w:rFonts w:ascii="Times New Roman" w:hAnsi="Times New Roman" w:cs="Times New Roman"/>
          <w:sz w:val="20"/>
          <w:szCs w:val="20"/>
          <w:lang w:val="en-GB"/>
        </w:rPr>
        <w:t xml:space="preserve"> require any possible claimant in all </w:t>
      </w:r>
      <w:r w:rsidRPr="00427977">
        <w:rPr>
          <w:rFonts w:ascii="Times New Roman" w:hAnsi="Times New Roman" w:cs="Times New Roman"/>
          <w:sz w:val="20"/>
          <w:szCs w:val="20"/>
          <w:lang w:val="en-GB"/>
        </w:rPr>
        <w:t>sorts</w:t>
      </w:r>
      <w:r w:rsidR="00A00EC4" w:rsidRPr="00427977">
        <w:rPr>
          <w:rFonts w:ascii="Times New Roman" w:hAnsi="Times New Roman" w:cs="Times New Roman"/>
          <w:sz w:val="20"/>
          <w:szCs w:val="20"/>
          <w:lang w:val="en-GB"/>
        </w:rPr>
        <w:t xml:space="preserve"> of procedures (including in case</w:t>
      </w:r>
      <w:r>
        <w:rPr>
          <w:rFonts w:ascii="Times New Roman" w:hAnsi="Times New Roman" w:cs="Times New Roman"/>
          <w:sz w:val="20"/>
          <w:szCs w:val="20"/>
          <w:lang w:val="en-GB"/>
        </w:rPr>
        <w:t>s</w:t>
      </w:r>
      <w:r w:rsidR="00A00EC4" w:rsidRPr="00427977">
        <w:rPr>
          <w:rFonts w:ascii="Times New Roman" w:hAnsi="Times New Roman" w:cs="Times New Roman"/>
          <w:sz w:val="20"/>
          <w:szCs w:val="20"/>
          <w:lang w:val="en-GB"/>
        </w:rPr>
        <w:t xml:space="preserve"> of infringement</w:t>
      </w:r>
      <w:r>
        <w:rPr>
          <w:rFonts w:ascii="Times New Roman" w:hAnsi="Times New Roman" w:cs="Times New Roman"/>
          <w:sz w:val="20"/>
          <w:szCs w:val="20"/>
          <w:lang w:val="en-GB"/>
        </w:rPr>
        <w:t>s</w:t>
      </w:r>
      <w:r w:rsidR="00A00EC4" w:rsidRPr="00427977">
        <w:rPr>
          <w:rFonts w:ascii="Times New Roman" w:hAnsi="Times New Roman" w:cs="Times New Roman"/>
          <w:sz w:val="20"/>
          <w:szCs w:val="20"/>
          <w:lang w:val="en-GB"/>
        </w:rPr>
        <w:t xml:space="preserve"> of the </w:t>
      </w:r>
      <w:r>
        <w:rPr>
          <w:rFonts w:ascii="Times New Roman" w:hAnsi="Times New Roman" w:cs="Times New Roman"/>
          <w:sz w:val="20"/>
          <w:szCs w:val="20"/>
          <w:lang w:val="en-GB"/>
        </w:rPr>
        <w:t>UCA</w:t>
      </w:r>
      <w:r w:rsidR="00A00EC4" w:rsidRPr="00427977">
        <w:rPr>
          <w:rFonts w:ascii="Times New Roman" w:hAnsi="Times New Roman" w:cs="Times New Roman"/>
          <w:sz w:val="20"/>
          <w:szCs w:val="20"/>
          <w:lang w:val="en-GB"/>
        </w:rPr>
        <w:t>) to try to reach a voluntary agreement between the parties by any of the means provided by the law (mediation, negotiation, etc</w:t>
      </w:r>
      <w:r>
        <w:rPr>
          <w:rFonts w:ascii="Times New Roman" w:hAnsi="Times New Roman" w:cs="Times New Roman"/>
          <w:sz w:val="20"/>
          <w:szCs w:val="20"/>
          <w:lang w:val="en-GB"/>
        </w:rPr>
        <w:t>).</w:t>
      </w:r>
    </w:p>
    <w:p w14:paraId="60E96E97" w14:textId="77777777" w:rsidR="00A00EC4" w:rsidRPr="00427977" w:rsidRDefault="00A00EC4" w:rsidP="00A00EC4">
      <w:pPr>
        <w:jc w:val="both"/>
        <w:rPr>
          <w:rFonts w:ascii="Times New Roman" w:hAnsi="Times New Roman" w:cs="Times New Roman"/>
          <w:i/>
          <w:iCs/>
          <w:sz w:val="20"/>
          <w:szCs w:val="20"/>
          <w:lang w:val="en-GB"/>
        </w:rPr>
      </w:pPr>
    </w:p>
    <w:p w14:paraId="11394782" w14:textId="618DAF51" w:rsidR="005D70D4" w:rsidRPr="00A00EC4" w:rsidRDefault="005D70D4" w:rsidP="005D70D4">
      <w:pPr>
        <w:autoSpaceDE w:val="0"/>
        <w:autoSpaceDN w:val="0"/>
        <w:adjustRightInd w:val="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Pr="00A00EC4">
        <w:rPr>
          <w:rFonts w:ascii="Times New Roman" w:hAnsi="Times New Roman" w:cs="Times New Roman"/>
          <w:b/>
          <w:bCs/>
          <w:sz w:val="20"/>
          <w:szCs w:val="20"/>
          <w:lang w:val="en-GB"/>
        </w:rPr>
        <w:t>. Abuse of relative market power.</w:t>
      </w:r>
    </w:p>
    <w:p w14:paraId="764488D2" w14:textId="76EA3AAB" w:rsidR="00A00EC4" w:rsidRDefault="00A25788" w:rsidP="00A00EC4">
      <w:pPr>
        <w:jc w:val="both"/>
        <w:rPr>
          <w:rFonts w:ascii="Times New Roman" w:hAnsi="Times New Roman" w:cs="Times New Roman"/>
          <w:sz w:val="20"/>
          <w:szCs w:val="20"/>
          <w:lang w:val="en-GB"/>
        </w:rPr>
      </w:pPr>
      <w:r w:rsidRPr="00A25788">
        <w:rPr>
          <w:rFonts w:ascii="Times New Roman" w:hAnsi="Times New Roman" w:cs="Times New Roman"/>
          <w:sz w:val="20"/>
          <w:szCs w:val="20"/>
          <w:lang w:val="en-GB"/>
        </w:rPr>
        <w:t xml:space="preserve">The Spanish legal framework for the abuse of relative market power, anchored in the </w:t>
      </w:r>
      <w:r w:rsidR="000D0DC5">
        <w:rPr>
          <w:rFonts w:ascii="Times New Roman" w:hAnsi="Times New Roman" w:cs="Times New Roman"/>
          <w:sz w:val="20"/>
          <w:szCs w:val="20"/>
          <w:lang w:val="en-GB"/>
        </w:rPr>
        <w:t>UCA</w:t>
      </w:r>
      <w:r w:rsidRPr="00A25788">
        <w:rPr>
          <w:rFonts w:ascii="Times New Roman" w:hAnsi="Times New Roman" w:cs="Times New Roman"/>
          <w:sz w:val="20"/>
          <w:szCs w:val="20"/>
          <w:lang w:val="en-GB"/>
        </w:rPr>
        <w:t>, reflects a pragmatic recognition of the complexities created by imbalanced commercial relationships that do not amount to dominance in the classical sense.</w:t>
      </w:r>
      <w:r>
        <w:rPr>
          <w:rFonts w:ascii="Times New Roman" w:hAnsi="Times New Roman" w:cs="Times New Roman"/>
          <w:sz w:val="20"/>
          <w:szCs w:val="20"/>
          <w:lang w:val="en-GB"/>
        </w:rPr>
        <w:t xml:space="preserve"> Such instrument </w:t>
      </w:r>
      <w:r w:rsidRPr="00A25788">
        <w:rPr>
          <w:rFonts w:ascii="Times New Roman" w:hAnsi="Times New Roman" w:cs="Times New Roman"/>
          <w:sz w:val="20"/>
          <w:szCs w:val="20"/>
          <w:lang w:val="en-GB"/>
        </w:rPr>
        <w:t>is necessary to bridge the gap below dominance, especially in fragmented or highly intermediated chains (healthcare, agri‑food, retail distribution, digital intermediation)</w:t>
      </w:r>
      <w:r>
        <w:rPr>
          <w:rFonts w:ascii="Times New Roman" w:hAnsi="Times New Roman" w:cs="Times New Roman"/>
          <w:sz w:val="20"/>
          <w:szCs w:val="20"/>
          <w:lang w:val="en-GB"/>
        </w:rPr>
        <w:t xml:space="preserve"> and i</w:t>
      </w:r>
      <w:r w:rsidRPr="00A25788">
        <w:rPr>
          <w:rFonts w:ascii="Times New Roman" w:hAnsi="Times New Roman" w:cs="Times New Roman"/>
          <w:sz w:val="20"/>
          <w:szCs w:val="20"/>
          <w:lang w:val="en-GB"/>
        </w:rPr>
        <w:t>t complements dominance‑based rules and ex ante sector statutes</w:t>
      </w:r>
      <w:r>
        <w:rPr>
          <w:rFonts w:ascii="Times New Roman" w:hAnsi="Times New Roman" w:cs="Times New Roman"/>
          <w:sz w:val="20"/>
          <w:szCs w:val="20"/>
          <w:lang w:val="en-GB"/>
        </w:rPr>
        <w:t>.</w:t>
      </w:r>
    </w:p>
    <w:p w14:paraId="3E81150D" w14:textId="660F8712" w:rsidR="00A25788" w:rsidRDefault="00A25788" w:rsidP="00A00EC4">
      <w:pPr>
        <w:jc w:val="both"/>
        <w:rPr>
          <w:rFonts w:ascii="Times New Roman" w:hAnsi="Times New Roman" w:cs="Times New Roman"/>
          <w:sz w:val="20"/>
          <w:szCs w:val="20"/>
          <w:lang w:val="en-GB"/>
        </w:rPr>
      </w:pPr>
      <w:r>
        <w:rPr>
          <w:rFonts w:ascii="Times New Roman" w:hAnsi="Times New Roman" w:cs="Times New Roman"/>
          <w:sz w:val="20"/>
          <w:szCs w:val="20"/>
          <w:lang w:val="en-GB"/>
        </w:rPr>
        <w:t>E</w:t>
      </w:r>
      <w:r w:rsidRPr="00A25788">
        <w:rPr>
          <w:rFonts w:ascii="Times New Roman" w:hAnsi="Times New Roman" w:cs="Times New Roman"/>
          <w:sz w:val="20"/>
          <w:szCs w:val="20"/>
          <w:lang w:val="en-GB"/>
        </w:rPr>
        <w:t xml:space="preserve">ffective market functioning cannot always be guaranteed by focusing exclusively on absolute dominance. Spanish experience demonstrates that substantial harm can arise where companies exploit their superior bargaining position in the absence of equivalent alternatives for trading partners, particularly in B2B contexts. The inclusion of “economic dependence” as a legal concept allows Spanish </w:t>
      </w:r>
      <w:r>
        <w:rPr>
          <w:rFonts w:ascii="Times New Roman" w:hAnsi="Times New Roman" w:cs="Times New Roman"/>
          <w:sz w:val="20"/>
          <w:szCs w:val="20"/>
          <w:lang w:val="en-GB"/>
        </w:rPr>
        <w:t>C</w:t>
      </w:r>
      <w:r w:rsidRPr="00A25788">
        <w:rPr>
          <w:rFonts w:ascii="Times New Roman" w:hAnsi="Times New Roman" w:cs="Times New Roman"/>
          <w:sz w:val="20"/>
          <w:szCs w:val="20"/>
          <w:lang w:val="en-GB"/>
        </w:rPr>
        <w:t>ourts to address a spectrum of harmful practices</w:t>
      </w:r>
      <w:r>
        <w:rPr>
          <w:rFonts w:ascii="Times New Roman" w:hAnsi="Times New Roman" w:cs="Times New Roman"/>
          <w:sz w:val="20"/>
          <w:szCs w:val="20"/>
          <w:lang w:val="en-GB"/>
        </w:rPr>
        <w:t xml:space="preserve"> </w:t>
      </w:r>
      <w:r w:rsidRPr="00A25788">
        <w:rPr>
          <w:rFonts w:ascii="Times New Roman" w:hAnsi="Times New Roman" w:cs="Times New Roman"/>
          <w:sz w:val="20"/>
          <w:szCs w:val="20"/>
          <w:lang w:val="en-GB"/>
        </w:rPr>
        <w:t>that would not be captured by traditional dominance-based regulation. As digital platforms reshape market structures and dependencies, the relevance of a relative power test that looks at bilateral market relationships (rather than market shares or classical dominance) has only grown.</w:t>
      </w:r>
    </w:p>
    <w:p w14:paraId="67F08806" w14:textId="011F951A" w:rsidR="00D87E05" w:rsidRPr="00612AF0" w:rsidRDefault="00A25788" w:rsidP="00612AF0">
      <w:pPr>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 xml:space="preserve">Spanish law’s approach, </w:t>
      </w:r>
      <w:r w:rsidR="5C4393A7" w:rsidRPr="48D21451">
        <w:rPr>
          <w:rFonts w:ascii="Times New Roman" w:hAnsi="Times New Roman" w:cs="Times New Roman"/>
          <w:sz w:val="20"/>
          <w:szCs w:val="20"/>
          <w:lang w:val="en-GB"/>
        </w:rPr>
        <w:t>centring</w:t>
      </w:r>
      <w:r w:rsidRPr="48D21451">
        <w:rPr>
          <w:rFonts w:ascii="Times New Roman" w:hAnsi="Times New Roman" w:cs="Times New Roman"/>
          <w:sz w:val="20"/>
          <w:szCs w:val="20"/>
          <w:lang w:val="en-GB"/>
        </w:rPr>
        <w:t xml:space="preserve"> upon a contextual and functional case-by-case assessment of dependency rather than fixed thresholds of market share or turnover, ensures flexibility but reduces legal certainty. However, this approach also reduces the risk of overregulation and allows room for legitimate commercial conduct, particularly in fast-evolving markets where regulatory certainty must balance with flexibility.</w:t>
      </w:r>
    </w:p>
    <w:p w14:paraId="153B91E4" w14:textId="16B202B2" w:rsidR="001F25AF" w:rsidRDefault="00A25788" w:rsidP="00930BE2">
      <w:pPr>
        <w:jc w:val="both"/>
        <w:rPr>
          <w:rFonts w:ascii="Times New Roman" w:hAnsi="Times New Roman" w:cs="Times New Roman"/>
          <w:sz w:val="20"/>
          <w:szCs w:val="20"/>
          <w:lang w:val="en-GB"/>
        </w:rPr>
      </w:pPr>
      <w:r w:rsidRPr="00A25788">
        <w:rPr>
          <w:rFonts w:ascii="Times New Roman" w:hAnsi="Times New Roman" w:cs="Times New Roman"/>
          <w:sz w:val="20"/>
          <w:szCs w:val="20"/>
          <w:lang w:val="en-GB"/>
        </w:rPr>
        <w:t>While the broad, context-driven criteria allow for nuance, they also lead to a certain degree of unpredictability, as recognized in academic commentary and jurisprudence. The reliance upon expert economic evidence and judicial discretion means that outcomes can be less foreseeable than under a rule-based or market share threshold system. This can complicate compliance efforts for businesses, particularly where similar conduct could be actionable under either competition or unfair competition law, with overlapping or unclear jurisdictional boundaries.</w:t>
      </w:r>
    </w:p>
    <w:p w14:paraId="2B2242D7" w14:textId="424FF223" w:rsidR="001F25AF" w:rsidRPr="00612AF0" w:rsidRDefault="00A25788" w:rsidP="00612AF0">
      <w:pPr>
        <w:jc w:val="both"/>
        <w:rPr>
          <w:rFonts w:ascii="Times New Roman" w:hAnsi="Times New Roman" w:cs="Times New Roman"/>
          <w:sz w:val="20"/>
          <w:szCs w:val="20"/>
          <w:lang w:val="en-GB"/>
        </w:rPr>
      </w:pPr>
      <w:r>
        <w:rPr>
          <w:rFonts w:ascii="Times New Roman" w:hAnsi="Times New Roman" w:cs="Times New Roman"/>
          <w:sz w:val="20"/>
          <w:szCs w:val="20"/>
          <w:lang w:val="en-GB"/>
        </w:rPr>
        <w:t>There is, thus</w:t>
      </w:r>
      <w:r w:rsidRPr="00612AF0">
        <w:rPr>
          <w:rFonts w:ascii="Times New Roman" w:hAnsi="Times New Roman" w:cs="Times New Roman"/>
          <w:sz w:val="20"/>
          <w:szCs w:val="20"/>
          <w:lang w:val="en-GB"/>
        </w:rPr>
        <w:t>,</w:t>
      </w:r>
      <w:r w:rsidR="001F25AF" w:rsidRPr="00612AF0">
        <w:rPr>
          <w:rFonts w:ascii="Times New Roman" w:hAnsi="Times New Roman" w:cs="Times New Roman"/>
          <w:sz w:val="20"/>
          <w:szCs w:val="20"/>
          <w:lang w:val="en-GB"/>
        </w:rPr>
        <w:t xml:space="preserve"> space for improvement</w:t>
      </w:r>
      <w:r w:rsidR="00612AF0">
        <w:rPr>
          <w:rFonts w:ascii="Times New Roman" w:hAnsi="Times New Roman" w:cs="Times New Roman"/>
          <w:sz w:val="20"/>
          <w:szCs w:val="20"/>
          <w:lang w:val="en-GB"/>
        </w:rPr>
        <w:t xml:space="preserve">, especially </w:t>
      </w:r>
      <w:r w:rsidR="00612AF0" w:rsidRPr="00612AF0">
        <w:rPr>
          <w:rFonts w:ascii="Times New Roman" w:hAnsi="Times New Roman" w:cs="Times New Roman"/>
          <w:sz w:val="20"/>
          <w:szCs w:val="20"/>
          <w:lang w:val="en-GB"/>
        </w:rPr>
        <w:t xml:space="preserve">enhancing legal certainty through harmonization of criteria and clear guidelines. </w:t>
      </w:r>
      <w:r w:rsidR="001F25AF" w:rsidRPr="00612AF0">
        <w:rPr>
          <w:rFonts w:ascii="Times New Roman" w:hAnsi="Times New Roman" w:cs="Times New Roman"/>
          <w:sz w:val="20"/>
          <w:szCs w:val="20"/>
          <w:lang w:val="en-GB"/>
        </w:rPr>
        <w:t>The Spanish experience, and the structure of its legal regime, underscore the necessity and value of the abuse of relative market power as a regulatory tool for the preservation of competitive, fair B2B markets. The development of specialized, context-</w:t>
      </w:r>
      <w:r w:rsidR="00612AF0" w:rsidRPr="00612AF0">
        <w:rPr>
          <w:rFonts w:ascii="Times New Roman" w:hAnsi="Times New Roman" w:cs="Times New Roman"/>
          <w:sz w:val="20"/>
          <w:szCs w:val="20"/>
          <w:lang w:val="en-GB"/>
        </w:rPr>
        <w:t>driven</w:t>
      </w:r>
      <w:r w:rsidR="001F25AF" w:rsidRPr="00612AF0">
        <w:rPr>
          <w:rFonts w:ascii="Times New Roman" w:hAnsi="Times New Roman" w:cs="Times New Roman"/>
          <w:sz w:val="20"/>
          <w:szCs w:val="20"/>
          <w:lang w:val="en-GB"/>
        </w:rPr>
        <w:t xml:space="preserve"> criteria for identifying and remedying such abuses increases the resilience of the system against novel and disruptive business models, especially in the digital sector.</w:t>
      </w:r>
    </w:p>
    <w:p w14:paraId="068C096A" w14:textId="41CB54C1" w:rsidR="00612AF0" w:rsidRPr="00612AF0" w:rsidRDefault="001F25AF">
      <w:pPr>
        <w:jc w:val="both"/>
        <w:rPr>
          <w:rFonts w:ascii="Times New Roman" w:hAnsi="Times New Roman" w:cs="Times New Roman"/>
          <w:sz w:val="20"/>
          <w:szCs w:val="20"/>
          <w:lang w:val="en-GB"/>
        </w:rPr>
      </w:pPr>
      <w:r w:rsidRPr="48D21451">
        <w:rPr>
          <w:rFonts w:ascii="Times New Roman" w:hAnsi="Times New Roman" w:cs="Times New Roman"/>
          <w:sz w:val="20"/>
          <w:szCs w:val="20"/>
          <w:lang w:val="en-GB"/>
        </w:rPr>
        <w:t>However, continuing efforts toward clarity, predictability, and proportionality—perhaps including further alignment with EU developments and international comparative experience—will be essential to ensure that the rules promoting a functioning competition are genuinely effective and just.</w:t>
      </w:r>
    </w:p>
    <w:p w14:paraId="190FB8BF" w14:textId="4C07424E" w:rsidR="48D21451" w:rsidRDefault="48D21451" w:rsidP="48D21451">
      <w:pPr>
        <w:jc w:val="both"/>
        <w:rPr>
          <w:rFonts w:ascii="Times New Roman" w:hAnsi="Times New Roman" w:cs="Times New Roman"/>
          <w:sz w:val="20"/>
          <w:szCs w:val="20"/>
          <w:lang w:val="en-GB"/>
        </w:rPr>
      </w:pPr>
    </w:p>
    <w:p w14:paraId="5D5DB4E5" w14:textId="77777777" w:rsidR="005D1973" w:rsidRDefault="005D1973" w:rsidP="48D21451">
      <w:pPr>
        <w:spacing w:line="276" w:lineRule="auto"/>
        <w:jc w:val="center"/>
        <w:rPr>
          <w:rFonts w:ascii="Times New Roman" w:eastAsia="Times New Roman" w:hAnsi="Times New Roman" w:cs="Times New Roman"/>
          <w:b/>
          <w:bCs/>
          <w:sz w:val="20"/>
          <w:szCs w:val="20"/>
          <w:lang w:val="en-US"/>
        </w:rPr>
      </w:pPr>
    </w:p>
    <w:p w14:paraId="7DBD2D59" w14:textId="25E1AAAF" w:rsidR="69402ED0" w:rsidRDefault="69402ED0" w:rsidP="005D1973">
      <w:pPr>
        <w:spacing w:after="120" w:line="276" w:lineRule="auto"/>
        <w:jc w:val="center"/>
        <w:rPr>
          <w:rFonts w:ascii="Times New Roman" w:eastAsia="Times New Roman" w:hAnsi="Times New Roman" w:cs="Times New Roman"/>
          <w:sz w:val="20"/>
          <w:szCs w:val="20"/>
          <w:lang w:val="en-GB"/>
        </w:rPr>
      </w:pPr>
      <w:r w:rsidRPr="48D21451">
        <w:rPr>
          <w:rFonts w:ascii="Times New Roman" w:eastAsia="Times New Roman" w:hAnsi="Times New Roman" w:cs="Times New Roman"/>
          <w:b/>
          <w:bCs/>
          <w:sz w:val="20"/>
          <w:szCs w:val="20"/>
          <w:lang w:val="en-US"/>
        </w:rPr>
        <w:lastRenderedPageBreak/>
        <w:t>BIBLIOGRAPHY</w:t>
      </w:r>
    </w:p>
    <w:p w14:paraId="3867AD2C" w14:textId="6C6C3699" w:rsidR="69402ED0"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rPr>
        <w:t>C. Estevan de Quesada, "Franquicia y abuso de dependencia económica", 2005,.pp1-25.</w:t>
      </w:r>
    </w:p>
    <w:p w14:paraId="0D027008" w14:textId="39EBA33C" w:rsidR="69402ED0"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 xml:space="preserve">C. Estevan de Quesada, Power imbalances in digital markets: platforms and </w:t>
      </w:r>
      <w:r w:rsidR="218F201B" w:rsidRPr="48D21451">
        <w:rPr>
          <w:rFonts w:ascii="Times New Roman" w:eastAsia="Times New Roman" w:hAnsi="Times New Roman" w:cs="Times New Roman"/>
          <w:sz w:val="20"/>
          <w:szCs w:val="20"/>
          <w:lang w:val="en-US"/>
        </w:rPr>
        <w:t>dependence, 2022</w:t>
      </w:r>
      <w:r w:rsidRPr="48D21451">
        <w:rPr>
          <w:rFonts w:ascii="Times New Roman" w:eastAsia="Times New Roman" w:hAnsi="Times New Roman" w:cs="Times New Roman"/>
          <w:sz w:val="20"/>
          <w:szCs w:val="20"/>
          <w:lang w:val="en-US"/>
        </w:rPr>
        <w:t>: pp 57-80.</w:t>
      </w:r>
    </w:p>
    <w:p w14:paraId="5ECE95BA" w14:textId="41B14611" w:rsidR="69402ED0" w:rsidRPr="005D1973"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rPr>
      </w:pPr>
      <w:r w:rsidRPr="48D21451">
        <w:rPr>
          <w:rFonts w:ascii="Times New Roman" w:eastAsia="Times New Roman" w:hAnsi="Times New Roman" w:cs="Times New Roman"/>
          <w:sz w:val="20"/>
          <w:szCs w:val="20"/>
        </w:rPr>
        <w:t>Fernando Díez Estella, Las complicadas relaciones entre la Ley de Defensa de la Competencia y la Ley de Competencia Desleal, Gaceta Jurídica de la Competencia y de la Unión Europea, nº 213, 2001, pp. 11 34.</w:t>
      </w:r>
    </w:p>
    <w:p w14:paraId="0CA997C9" w14:textId="6CD8FF03" w:rsidR="69402ED0"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rPr>
        <w:t>J. Massaguer, “Comentario a la Ley de Competencia Desleal”, 1st ed, Editorial Civitas 1999. </w:t>
      </w:r>
    </w:p>
    <w:p w14:paraId="66EAC4E8" w14:textId="07ECE47A" w:rsidR="69402ED0"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rPr>
        <w:t>José Massaguer, “Comentario a la Ley de Competencia Desleal”,1999, pp 324 326.</w:t>
      </w:r>
    </w:p>
    <w:p w14:paraId="2047C7EA" w14:textId="43BE4CC6" w:rsidR="69402ED0" w:rsidRPr="005D1973"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rPr>
      </w:pPr>
      <w:r w:rsidRPr="48D21451">
        <w:rPr>
          <w:rFonts w:ascii="Times New Roman" w:eastAsia="Times New Roman" w:hAnsi="Times New Roman" w:cs="Times New Roman"/>
          <w:sz w:val="20"/>
          <w:szCs w:val="20"/>
        </w:rPr>
        <w:t>María Elena Jara Vásquez, “El abuso de posición de dominio en situación de dependencia económica y los problemas de su aplicación en el ordenamiento jurídico ecuatoriano”, Revista de Derecho, nº 26, UASB Quito, 2016, pp. 19–20.</w:t>
      </w:r>
    </w:p>
    <w:p w14:paraId="5A3D09C8" w14:textId="38E5BB3E" w:rsidR="69402ED0" w:rsidRPr="005D1973"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rPr>
      </w:pPr>
      <w:r w:rsidRPr="48D21451">
        <w:rPr>
          <w:rFonts w:ascii="Times New Roman" w:eastAsia="Times New Roman" w:hAnsi="Times New Roman" w:cs="Times New Roman"/>
          <w:sz w:val="20"/>
          <w:szCs w:val="20"/>
        </w:rPr>
        <w:t>M. Zabaleta Díaz, “El abuso de una situación de dependencia económica, ¿ilícito antitrust o ilícito desdeleal, In: Actas de Derecho industrial y Derecho de autor”, Ediciones Jurídicas y Sociales, Madrid 2005–2006, p. 365.</w:t>
      </w:r>
    </w:p>
    <w:p w14:paraId="38B39158" w14:textId="3F3727E9" w:rsidR="69402ED0" w:rsidRPr="005D1973"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rPr>
      </w:pPr>
      <w:r w:rsidRPr="48D21451">
        <w:rPr>
          <w:rFonts w:ascii="Times New Roman" w:eastAsia="Times New Roman" w:hAnsi="Times New Roman" w:cs="Times New Roman"/>
          <w:sz w:val="20"/>
          <w:szCs w:val="20"/>
        </w:rPr>
        <w:t>P.M. González Jiménez, “La utilidad del poder de mercado en la determinación de la naturaleza jurídica de la prestación subyacente en las plataformas digitales”, Cuadernos de Derecho Transnacional, 2023, pp. 503–504.</w:t>
      </w:r>
    </w:p>
    <w:p w14:paraId="1A0CB9AE" w14:textId="6B6A8410" w:rsidR="69402ED0" w:rsidRDefault="69402ED0" w:rsidP="005D1973">
      <w:pPr>
        <w:pStyle w:val="Prrafodelista"/>
        <w:numPr>
          <w:ilvl w:val="0"/>
          <w:numId w:val="2"/>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rPr>
        <w:t>Zaragoza, S. C., &amp; Puente, A. E. “La aplicación del artículo 3 de la Ley de Defensa de la Competencia¿ La reactivación del ilícito?”. Anuario de la competencia, (1),2011, 223-248.</w:t>
      </w:r>
    </w:p>
    <w:p w14:paraId="37434C2A" w14:textId="2AFACE54" w:rsidR="48D21451" w:rsidRDefault="48D21451" w:rsidP="005D1973">
      <w:pPr>
        <w:spacing w:after="120" w:line="240" w:lineRule="auto"/>
        <w:ind w:left="714"/>
        <w:jc w:val="both"/>
        <w:rPr>
          <w:rFonts w:ascii="Times New Roman" w:eastAsia="Times New Roman" w:hAnsi="Times New Roman" w:cs="Times New Roman"/>
          <w:sz w:val="20"/>
          <w:szCs w:val="20"/>
          <w:lang w:val="en-GB"/>
        </w:rPr>
      </w:pPr>
    </w:p>
    <w:p w14:paraId="39B6A653" w14:textId="28EA7C82" w:rsidR="69402ED0" w:rsidRDefault="69402ED0" w:rsidP="005D1973">
      <w:pPr>
        <w:spacing w:after="120" w:line="276" w:lineRule="auto"/>
        <w:jc w:val="center"/>
        <w:rPr>
          <w:rFonts w:ascii="Times New Roman" w:eastAsia="Times New Roman" w:hAnsi="Times New Roman" w:cs="Times New Roman"/>
          <w:sz w:val="20"/>
          <w:szCs w:val="20"/>
          <w:lang w:val="en-GB"/>
        </w:rPr>
      </w:pPr>
      <w:r w:rsidRPr="48D21451">
        <w:rPr>
          <w:rFonts w:ascii="Times New Roman" w:eastAsia="Times New Roman" w:hAnsi="Times New Roman" w:cs="Times New Roman"/>
          <w:b/>
          <w:bCs/>
          <w:sz w:val="20"/>
          <w:szCs w:val="20"/>
          <w:lang w:val="en-US"/>
        </w:rPr>
        <w:t>JURISPRUDENCE</w:t>
      </w:r>
    </w:p>
    <w:p w14:paraId="5E1C6389" w14:textId="1FD74CB7"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Supreme Court Judgment dated 27 May 2025 (ECLI:ES:TS:2025:2348)</w:t>
      </w:r>
    </w:p>
    <w:p w14:paraId="4CADBF95" w14:textId="78764E99"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National Audience Judgment dated 28 June 2023 (ECLI:ES:AN:2023:3458)</w:t>
      </w:r>
    </w:p>
    <w:p w14:paraId="3E3D5699" w14:textId="27CC358A"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Madrid Judgment dated 18 October 2024 (ECLI:ES:APM:2024:14821)</w:t>
      </w:r>
    </w:p>
    <w:p w14:paraId="3B4D1C8B" w14:textId="2148DE0A"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Madrid Judgment dated 25 July 2024 (ECLI:ES:APM:2024:10789)</w:t>
      </w:r>
    </w:p>
    <w:p w14:paraId="7310A8C0" w14:textId="5F6E4D83"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Madrid Judgment dated 18 January 2019 (ECLI:ES:APM:2019:1046)</w:t>
      </w:r>
    </w:p>
    <w:p w14:paraId="150D4AAE" w14:textId="58930F4A"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Madrid Judgment dated 16 December 2014 (ECLI:ES:APM:2014:17200)</w:t>
      </w:r>
    </w:p>
    <w:p w14:paraId="701C0EF2" w14:textId="5B999E23"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Madrid Judgment dated 12 December 2014 (ECLI:ES:APM:2014:18847)</w:t>
      </w:r>
    </w:p>
    <w:p w14:paraId="389515D4" w14:textId="1EAD5217"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Madrid Judgment dated 28 October 2011 (ECLI:ES:APM:2011:15141)</w:t>
      </w:r>
    </w:p>
    <w:p w14:paraId="0BFC4756" w14:textId="00B84D4F"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Madrid Ruling dated 10 January 2006 (ECLI:ES:APM:2006:15039A)</w:t>
      </w:r>
    </w:p>
    <w:p w14:paraId="7E19AC8C" w14:textId="1CBDADBD"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Barcelona Judgment dated 10 May 2007 (ECLI:ES:APB:2007:6352)</w:t>
      </w:r>
    </w:p>
    <w:p w14:paraId="30813911" w14:textId="4EAA9053"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Córdoba Judgment dated 26 June 2018 (ECLI:ES:APGR:2018:1134)</w:t>
      </w:r>
    </w:p>
    <w:p w14:paraId="19928E70" w14:textId="08F7C560"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Córdoba Judgment dated 25 January 2012 (ECLI:ES:APCO:2012:690)</w:t>
      </w:r>
    </w:p>
    <w:p w14:paraId="750B007B" w14:textId="5082D498"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Álava Judgment dated 11 June 2012 (ECLI:ES:APVI:2012:575)</w:t>
      </w:r>
    </w:p>
    <w:p w14:paraId="6514794D" w14:textId="796967DE"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Vizcaya Judgment dated 23 June 2011 (ECLI:ES:APBI:2011:406)</w:t>
      </w:r>
    </w:p>
    <w:p w14:paraId="31886E78" w14:textId="010A1BAB"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Castellón Judgment dated 1 June 2006 (ECLI:ES:APCS:2006:484)</w:t>
      </w:r>
    </w:p>
    <w:p w14:paraId="0AFB23D5" w14:textId="037DA736"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Pontevedra Judgment dated 5 May 2016 (ECLI:ES:APPO:2016:642)</w:t>
      </w:r>
    </w:p>
    <w:p w14:paraId="7C868BF0" w14:textId="4E33891E"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Provincial Court of Murcia Judgment dated 27 May 2021 (ECLI:ES:APMU:2021:1700)</w:t>
      </w:r>
    </w:p>
    <w:p w14:paraId="7869DF31" w14:textId="40816E4F"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Commercial Court of Madrid Judgment dated 1 June 2023 (ECLI:ES:JMM:2023:4736)</w:t>
      </w:r>
    </w:p>
    <w:p w14:paraId="1260B297" w14:textId="4320B959"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Commercial Court of Madrid Judgment dated 8 April 2019 (ECLI:ES:JMM:2019:221)</w:t>
      </w:r>
    </w:p>
    <w:p w14:paraId="0B567101" w14:textId="475C3390" w:rsidR="69402ED0" w:rsidRDefault="69402ED0" w:rsidP="005D1973">
      <w:pPr>
        <w:pStyle w:val="Prrafodelista"/>
        <w:numPr>
          <w:ilvl w:val="0"/>
          <w:numId w:val="1"/>
        </w:numPr>
        <w:spacing w:after="120" w:line="240" w:lineRule="auto"/>
        <w:ind w:left="714" w:hanging="357"/>
        <w:contextualSpacing w:val="0"/>
        <w:jc w:val="both"/>
        <w:rPr>
          <w:rFonts w:ascii="Times New Roman" w:eastAsia="Times New Roman" w:hAnsi="Times New Roman" w:cs="Times New Roman"/>
          <w:sz w:val="20"/>
          <w:szCs w:val="20"/>
          <w:lang w:val="en-GB"/>
        </w:rPr>
      </w:pPr>
      <w:r w:rsidRPr="48D21451">
        <w:rPr>
          <w:rFonts w:ascii="Times New Roman" w:eastAsia="Times New Roman" w:hAnsi="Times New Roman" w:cs="Times New Roman"/>
          <w:sz w:val="20"/>
          <w:szCs w:val="20"/>
          <w:lang w:val="en-US"/>
        </w:rPr>
        <w:t>Commercial Court of Barcelona Judgment dated 21 March 2022 (ECLI:ES:JMB:2022:2973)</w:t>
      </w:r>
    </w:p>
    <w:p w14:paraId="71627673" w14:textId="3D782C59" w:rsidR="48D21451" w:rsidRPr="005D1973" w:rsidRDefault="69402ED0" w:rsidP="0067601C">
      <w:pPr>
        <w:pStyle w:val="Prrafodelista"/>
        <w:numPr>
          <w:ilvl w:val="0"/>
          <w:numId w:val="1"/>
        </w:numPr>
        <w:spacing w:after="120" w:line="240" w:lineRule="auto"/>
        <w:ind w:left="714" w:hanging="357"/>
        <w:contextualSpacing w:val="0"/>
        <w:jc w:val="both"/>
        <w:rPr>
          <w:rFonts w:ascii="Times New Roman" w:hAnsi="Times New Roman" w:cs="Times New Roman"/>
          <w:sz w:val="20"/>
          <w:szCs w:val="20"/>
          <w:lang w:val="en-GB"/>
        </w:rPr>
      </w:pPr>
      <w:r w:rsidRPr="005D1973">
        <w:rPr>
          <w:rFonts w:ascii="Times New Roman" w:eastAsia="Times New Roman" w:hAnsi="Times New Roman" w:cs="Times New Roman"/>
          <w:sz w:val="20"/>
          <w:szCs w:val="20"/>
          <w:lang w:val="en-US"/>
        </w:rPr>
        <w:t>Commercial Court of Barcelona Judgment dated 31 July 2017 (ECLI:ES:JMB:2017:4565)</w:t>
      </w:r>
    </w:p>
    <w:sectPr w:rsidR="48D21451" w:rsidRPr="005D1973">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8BC1" w14:textId="77777777" w:rsidR="00034D20" w:rsidRDefault="00034D20" w:rsidP="006727F8">
      <w:pPr>
        <w:spacing w:after="0" w:line="240" w:lineRule="auto"/>
      </w:pPr>
      <w:r>
        <w:separator/>
      </w:r>
    </w:p>
  </w:endnote>
  <w:endnote w:type="continuationSeparator" w:id="0">
    <w:p w14:paraId="15DC2C0B" w14:textId="77777777" w:rsidR="00034D20" w:rsidRDefault="00034D20" w:rsidP="0067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831403"/>
      <w:docPartObj>
        <w:docPartGallery w:val="Page Numbers (Bottom of Page)"/>
        <w:docPartUnique/>
      </w:docPartObj>
    </w:sdtPr>
    <w:sdtContent>
      <w:p w14:paraId="429EDA32" w14:textId="77777777" w:rsidR="00A026C1" w:rsidRDefault="00A026C1">
        <w:pPr>
          <w:pStyle w:val="Piedepgina"/>
          <w:jc w:val="right"/>
        </w:pPr>
        <w:r>
          <w:fldChar w:fldCharType="begin"/>
        </w:r>
        <w:r>
          <w:instrText>PAGE   \* MERGEFORMAT</w:instrText>
        </w:r>
        <w:r>
          <w:fldChar w:fldCharType="separate"/>
        </w:r>
        <w:r>
          <w:t>2</w:t>
        </w:r>
        <w:r>
          <w:fldChar w:fldCharType="end"/>
        </w:r>
      </w:p>
    </w:sdtContent>
  </w:sdt>
  <w:p w14:paraId="63258428" w14:textId="77777777" w:rsidR="00A026C1" w:rsidRDefault="00A026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4748" w14:textId="77777777" w:rsidR="00034D20" w:rsidRDefault="00034D20" w:rsidP="006727F8">
      <w:pPr>
        <w:spacing w:after="0" w:line="240" w:lineRule="auto"/>
      </w:pPr>
      <w:r>
        <w:separator/>
      </w:r>
    </w:p>
  </w:footnote>
  <w:footnote w:type="continuationSeparator" w:id="0">
    <w:p w14:paraId="5C9227E1" w14:textId="77777777" w:rsidR="00034D20" w:rsidRDefault="00034D20" w:rsidP="006727F8">
      <w:pPr>
        <w:spacing w:after="0" w:line="240" w:lineRule="auto"/>
      </w:pPr>
      <w:r>
        <w:continuationSeparator/>
      </w:r>
    </w:p>
  </w:footnote>
  <w:footnote w:id="1">
    <w:p w14:paraId="3A7D5D31" w14:textId="3F7FCD40" w:rsidR="00A27498" w:rsidRPr="005D1973" w:rsidRDefault="00A27498" w:rsidP="00A00EC4">
      <w:pPr>
        <w:pStyle w:val="Textonotapie"/>
        <w:jc w:val="both"/>
        <w:rPr>
          <w:rFonts w:ascii="Times New Roman" w:hAnsi="Times New Roman" w:cs="Times New Roman"/>
          <w:sz w:val="18"/>
          <w:szCs w:val="18"/>
          <w:lang w:val="en-US"/>
        </w:rPr>
      </w:pPr>
      <w:r w:rsidRPr="005D70D4">
        <w:rPr>
          <w:rStyle w:val="Refdenotaalpie"/>
          <w:rFonts w:ascii="Times New Roman" w:hAnsi="Times New Roman" w:cs="Times New Roman"/>
          <w:sz w:val="18"/>
          <w:szCs w:val="18"/>
        </w:rPr>
        <w:footnoteRef/>
      </w:r>
      <w:r w:rsidR="48D21451" w:rsidRPr="005D1973">
        <w:rPr>
          <w:rFonts w:ascii="Times New Roman" w:hAnsi="Times New Roman" w:cs="Times New Roman"/>
          <w:sz w:val="18"/>
          <w:szCs w:val="18"/>
          <w:lang w:val="en-US"/>
        </w:rPr>
        <w:t xml:space="preserve"> Law 3/1991 on Unfair Competition, BOE-A-1991-628.</w:t>
      </w:r>
    </w:p>
  </w:footnote>
  <w:footnote w:id="2">
    <w:p w14:paraId="16E4342F" w14:textId="77823BAD" w:rsidR="00A27498" w:rsidRPr="005D70D4" w:rsidRDefault="00A27498" w:rsidP="00A00EC4">
      <w:pPr>
        <w:pStyle w:val="Textonotapie"/>
        <w:jc w:val="both"/>
        <w:rPr>
          <w:rFonts w:ascii="Times New Roman" w:hAnsi="Times New Roman" w:cs="Times New Roman"/>
          <w:sz w:val="18"/>
          <w:szCs w:val="18"/>
          <w:lang w:val="en-GB"/>
        </w:rPr>
      </w:pPr>
      <w:r w:rsidRPr="005D70D4">
        <w:rPr>
          <w:rStyle w:val="Refdenotaalpie"/>
          <w:rFonts w:ascii="Times New Roman" w:hAnsi="Times New Roman" w:cs="Times New Roman"/>
          <w:sz w:val="18"/>
          <w:szCs w:val="18"/>
        </w:rPr>
        <w:footnoteRef/>
      </w:r>
      <w:r w:rsidR="48D21451" w:rsidRPr="005D1973">
        <w:rPr>
          <w:rFonts w:ascii="Times New Roman" w:hAnsi="Times New Roman" w:cs="Times New Roman"/>
          <w:sz w:val="18"/>
          <w:szCs w:val="18"/>
          <w:lang w:val="en-US"/>
        </w:rPr>
        <w:t xml:space="preserve"> </w:t>
      </w:r>
      <w:r w:rsidR="48D21451" w:rsidRPr="005D70D4">
        <w:rPr>
          <w:rFonts w:ascii="Times New Roman" w:hAnsi="Times New Roman" w:cs="Times New Roman"/>
          <w:sz w:val="18"/>
          <w:szCs w:val="18"/>
          <w:lang w:val="en-GB"/>
        </w:rPr>
        <w:t xml:space="preserve">Law 52/1999, </w:t>
      </w:r>
      <w:r w:rsidR="48D21451" w:rsidRPr="48D21451">
        <w:rPr>
          <w:rFonts w:ascii="Times New Roman" w:hAnsi="Times New Roman" w:cs="Times New Roman"/>
          <w:sz w:val="18"/>
          <w:szCs w:val="18"/>
          <w:lang w:val="en-GB"/>
        </w:rPr>
        <w:t xml:space="preserve">BOE-A-1999-24706 </w:t>
      </w:r>
      <w:r w:rsidR="48D21451" w:rsidRPr="005D70D4">
        <w:rPr>
          <w:rFonts w:ascii="Times New Roman" w:hAnsi="Times New Roman" w:cs="Times New Roman"/>
          <w:sz w:val="18"/>
          <w:szCs w:val="18"/>
          <w:lang w:val="en-GB"/>
        </w:rPr>
        <w:t>[311] [45778].</w:t>
      </w:r>
    </w:p>
  </w:footnote>
  <w:footnote w:id="3">
    <w:p w14:paraId="62B05E02" w14:textId="1DA243CE" w:rsidR="007507F5" w:rsidRPr="005D70D4" w:rsidRDefault="007507F5" w:rsidP="48D21451">
      <w:pPr>
        <w:pStyle w:val="Textonotapie"/>
        <w:jc w:val="both"/>
        <w:rPr>
          <w:rFonts w:ascii="Times New Roman" w:eastAsia="Aptos" w:hAnsi="Times New Roman" w:cs="Times New Roman"/>
          <w:sz w:val="18"/>
          <w:szCs w:val="18"/>
          <w:lang w:val="en-GB"/>
        </w:rPr>
      </w:pPr>
      <w:r w:rsidRPr="005D70D4">
        <w:rPr>
          <w:rStyle w:val="Refdenotaalpie"/>
          <w:rFonts w:ascii="Times New Roman" w:hAnsi="Times New Roman" w:cs="Times New Roman"/>
          <w:sz w:val="18"/>
          <w:szCs w:val="18"/>
        </w:rPr>
        <w:footnoteRef/>
      </w:r>
      <w:r w:rsidR="48D21451" w:rsidRPr="005D1973">
        <w:rPr>
          <w:rFonts w:ascii="Times New Roman" w:hAnsi="Times New Roman" w:cs="Times New Roman"/>
          <w:sz w:val="18"/>
          <w:szCs w:val="18"/>
          <w:lang w:val="en-US"/>
        </w:rPr>
        <w:t xml:space="preserve"> </w:t>
      </w:r>
      <w:r w:rsidR="48D21451" w:rsidRPr="005D70D4">
        <w:rPr>
          <w:rFonts w:ascii="Times New Roman" w:hAnsi="Times New Roman" w:cs="Times New Roman"/>
          <w:sz w:val="18"/>
          <w:szCs w:val="18"/>
          <w:lang w:val="en-GB"/>
        </w:rPr>
        <w:t xml:space="preserve">Law 16/1989 on the Defence of Competition, </w:t>
      </w:r>
      <w:r w:rsidR="48D21451" w:rsidRPr="48D21451">
        <w:rPr>
          <w:rFonts w:ascii="Times New Roman" w:eastAsia="Aptos" w:hAnsi="Times New Roman" w:cs="Times New Roman"/>
          <w:sz w:val="18"/>
          <w:szCs w:val="18"/>
          <w:lang w:val="en-GB"/>
        </w:rPr>
        <w:t>BOE-A-1989-16989</w:t>
      </w:r>
    </w:p>
    <w:p w14:paraId="4ADCB12E" w14:textId="4920786A" w:rsidR="007507F5" w:rsidRPr="005D1973" w:rsidRDefault="48D21451" w:rsidP="48D21451">
      <w:pPr>
        <w:pStyle w:val="Textonotapie"/>
        <w:jc w:val="both"/>
        <w:rPr>
          <w:rFonts w:ascii="Times New Roman" w:hAnsi="Times New Roman" w:cs="Times New Roman"/>
          <w:sz w:val="18"/>
          <w:szCs w:val="18"/>
          <w:lang w:val="en-US"/>
        </w:rPr>
      </w:pPr>
      <w:r w:rsidRPr="005D70D4">
        <w:rPr>
          <w:rFonts w:ascii="Times New Roman" w:hAnsi="Times New Roman" w:cs="Times New Roman"/>
          <w:sz w:val="18"/>
          <w:szCs w:val="18"/>
          <w:lang w:val="en-GB"/>
        </w:rPr>
        <w:t>[170] [22747].</w:t>
      </w:r>
    </w:p>
  </w:footnote>
  <w:footnote w:id="4">
    <w:p w14:paraId="01B3CAE6" w14:textId="399EE22D" w:rsidR="007507F5" w:rsidRPr="005D1973" w:rsidRDefault="007507F5" w:rsidP="48D21451">
      <w:pPr>
        <w:pStyle w:val="Textonotapie"/>
        <w:jc w:val="both"/>
        <w:rPr>
          <w:rFonts w:ascii="Times New Roman" w:hAnsi="Times New Roman" w:cs="Times New Roman"/>
          <w:sz w:val="18"/>
          <w:szCs w:val="18"/>
          <w:lang w:val="en-US"/>
        </w:rPr>
      </w:pPr>
      <w:r w:rsidRPr="005D70D4">
        <w:rPr>
          <w:rStyle w:val="Refdenotaalpie"/>
          <w:rFonts w:ascii="Times New Roman" w:hAnsi="Times New Roman" w:cs="Times New Roman"/>
          <w:sz w:val="18"/>
          <w:szCs w:val="18"/>
        </w:rPr>
        <w:footnoteRef/>
      </w:r>
      <w:r w:rsidR="48D21451" w:rsidRPr="005D1973">
        <w:rPr>
          <w:rFonts w:ascii="Times New Roman" w:hAnsi="Times New Roman" w:cs="Times New Roman"/>
          <w:sz w:val="18"/>
          <w:szCs w:val="18"/>
          <w:lang w:val="en-US"/>
        </w:rPr>
        <w:t xml:space="preserve"> </w:t>
      </w:r>
      <w:r w:rsidR="48D21451" w:rsidRPr="005D70D4">
        <w:rPr>
          <w:rFonts w:ascii="Times New Roman" w:hAnsi="Times New Roman" w:cs="Times New Roman"/>
          <w:sz w:val="18"/>
          <w:szCs w:val="18"/>
          <w:lang w:val="en-GB"/>
        </w:rPr>
        <w:t xml:space="preserve">Law 52/1999,  </w:t>
      </w:r>
      <w:r w:rsidR="48D21451" w:rsidRPr="48D21451">
        <w:rPr>
          <w:rFonts w:ascii="Times New Roman" w:eastAsia="Aptos" w:hAnsi="Times New Roman" w:cs="Times New Roman"/>
          <w:sz w:val="18"/>
          <w:szCs w:val="18"/>
          <w:lang w:val="en-GB"/>
        </w:rPr>
        <w:t>BOE-A-1999-24706</w:t>
      </w:r>
      <w:r w:rsidR="48D21451" w:rsidRPr="005D70D4">
        <w:rPr>
          <w:rFonts w:ascii="Times New Roman" w:hAnsi="Times New Roman" w:cs="Times New Roman"/>
          <w:sz w:val="18"/>
          <w:szCs w:val="18"/>
          <w:lang w:val="en-GB"/>
        </w:rPr>
        <w:t xml:space="preserve"> [311] [45778].</w:t>
      </w:r>
    </w:p>
  </w:footnote>
  <w:footnote w:id="5">
    <w:p w14:paraId="17CAAE45" w14:textId="39D76584" w:rsidR="007507F5" w:rsidRPr="005D70D4" w:rsidRDefault="007507F5" w:rsidP="48D21451">
      <w:pPr>
        <w:pStyle w:val="Textonotapie"/>
        <w:jc w:val="both"/>
        <w:rPr>
          <w:rFonts w:ascii="Times New Roman" w:hAnsi="Times New Roman" w:cs="Times New Roman"/>
          <w:i/>
          <w:iCs/>
          <w:sz w:val="18"/>
          <w:szCs w:val="18"/>
          <w:lang w:val="en-GB"/>
        </w:rPr>
      </w:pPr>
      <w:r w:rsidRPr="005D70D4">
        <w:rPr>
          <w:rStyle w:val="Refdenotaalpie"/>
          <w:rFonts w:ascii="Times New Roman" w:hAnsi="Times New Roman" w:cs="Times New Roman"/>
          <w:sz w:val="18"/>
          <w:szCs w:val="18"/>
        </w:rPr>
        <w:footnoteRef/>
      </w:r>
      <w:r w:rsidR="48D21451" w:rsidRPr="005D1973">
        <w:rPr>
          <w:rFonts w:ascii="Times New Roman" w:hAnsi="Times New Roman" w:cs="Times New Roman"/>
          <w:sz w:val="18"/>
          <w:szCs w:val="18"/>
          <w:lang w:val="en-US"/>
        </w:rPr>
        <w:t xml:space="preserve"> </w:t>
      </w:r>
      <w:r w:rsidR="48D21451" w:rsidRPr="005D70D4">
        <w:rPr>
          <w:rFonts w:ascii="Times New Roman" w:hAnsi="Times New Roman" w:cs="Times New Roman"/>
          <w:sz w:val="18"/>
          <w:szCs w:val="18"/>
          <w:lang w:val="en-GB"/>
        </w:rPr>
        <w:t xml:space="preserve">Law 15/2007 on the Defence of Competition, </w:t>
      </w:r>
      <w:r w:rsidR="48D21451" w:rsidRPr="48D21451">
        <w:rPr>
          <w:rFonts w:ascii="Times New Roman" w:hAnsi="Times New Roman" w:cs="Times New Roman"/>
          <w:sz w:val="18"/>
          <w:szCs w:val="18"/>
          <w:lang w:val="en-GB"/>
        </w:rPr>
        <w:t xml:space="preserve">BOE-A-2007-12946 </w:t>
      </w:r>
      <w:r w:rsidR="48D21451" w:rsidRPr="005D70D4">
        <w:rPr>
          <w:rFonts w:ascii="Times New Roman" w:hAnsi="Times New Roman" w:cs="Times New Roman"/>
          <w:sz w:val="18"/>
          <w:szCs w:val="18"/>
          <w:lang w:val="en-GB"/>
        </w:rPr>
        <w:t>[159] [28848].</w:t>
      </w:r>
    </w:p>
  </w:footnote>
  <w:footnote w:id="6">
    <w:p w14:paraId="13AA3B75" w14:textId="630045D5" w:rsidR="007507F5" w:rsidRPr="005D1973" w:rsidRDefault="007507F5" w:rsidP="48D21451">
      <w:pPr>
        <w:pStyle w:val="Textonotapie"/>
        <w:jc w:val="both"/>
        <w:rPr>
          <w:rFonts w:ascii="Times New Roman" w:hAnsi="Times New Roman" w:cs="Times New Roman"/>
          <w:sz w:val="18"/>
          <w:szCs w:val="18"/>
          <w:lang w:val="en-US"/>
        </w:rPr>
      </w:pPr>
      <w:r w:rsidRPr="005D70D4">
        <w:rPr>
          <w:rStyle w:val="Refdenotaalpie"/>
          <w:rFonts w:ascii="Times New Roman" w:hAnsi="Times New Roman" w:cs="Times New Roman"/>
          <w:sz w:val="18"/>
          <w:szCs w:val="18"/>
        </w:rPr>
        <w:footnoteRef/>
      </w:r>
      <w:r w:rsidR="48D21451" w:rsidRPr="005D1973">
        <w:rPr>
          <w:rFonts w:ascii="Times New Roman" w:hAnsi="Times New Roman" w:cs="Times New Roman"/>
          <w:sz w:val="18"/>
          <w:szCs w:val="18"/>
          <w:lang w:val="en-US"/>
        </w:rPr>
        <w:t xml:space="preserve"> </w:t>
      </w:r>
      <w:r w:rsidR="48D21451" w:rsidRPr="005D70D4">
        <w:rPr>
          <w:rFonts w:ascii="Times New Roman" w:hAnsi="Times New Roman" w:cs="Times New Roman"/>
          <w:sz w:val="18"/>
          <w:szCs w:val="18"/>
          <w:lang w:val="en-GB"/>
        </w:rPr>
        <w:t xml:space="preserve">Law 12/2013 on Measures to Improve the Functioning of the Food Supply Chain, </w:t>
      </w:r>
    </w:p>
    <w:p w14:paraId="2E22BA36" w14:textId="605E4CB0" w:rsidR="007507F5" w:rsidRPr="005D70D4" w:rsidRDefault="48D21451" w:rsidP="48D21451">
      <w:pPr>
        <w:pStyle w:val="Textonotapie"/>
        <w:jc w:val="both"/>
        <w:rPr>
          <w:rFonts w:ascii="Times New Roman" w:hAnsi="Times New Roman" w:cs="Times New Roman"/>
          <w:sz w:val="18"/>
          <w:szCs w:val="18"/>
        </w:rPr>
      </w:pPr>
      <w:r w:rsidRPr="005D1973">
        <w:rPr>
          <w:rFonts w:ascii="Times New Roman" w:hAnsi="Times New Roman" w:cs="Times New Roman"/>
          <w:sz w:val="18"/>
          <w:szCs w:val="18"/>
        </w:rPr>
        <w:t>BOE-A-2013-8554 [185] [56551].</w:t>
      </w:r>
    </w:p>
  </w:footnote>
  <w:footnote w:id="7">
    <w:p w14:paraId="36FB113B" w14:textId="1625C713" w:rsidR="006E46C3" w:rsidRPr="005D70D4" w:rsidRDefault="006E46C3" w:rsidP="48D21451">
      <w:pPr>
        <w:pStyle w:val="Textonotapie"/>
        <w:jc w:val="both"/>
        <w:rPr>
          <w:rFonts w:ascii="Times New Roman" w:eastAsia="Aptos" w:hAnsi="Times New Roman" w:cs="Times New Roman"/>
          <w:sz w:val="18"/>
          <w:szCs w:val="18"/>
        </w:rPr>
      </w:pPr>
      <w:r w:rsidRPr="005D70D4">
        <w:rPr>
          <w:rStyle w:val="Refdenotaalpie"/>
          <w:rFonts w:ascii="Times New Roman" w:hAnsi="Times New Roman" w:cs="Times New Roman"/>
          <w:sz w:val="18"/>
          <w:szCs w:val="18"/>
        </w:rPr>
        <w:footnoteRef/>
      </w:r>
      <w:r w:rsidR="48D21451" w:rsidRPr="005D70D4">
        <w:rPr>
          <w:rFonts w:ascii="Times New Roman" w:hAnsi="Times New Roman" w:cs="Times New Roman"/>
          <w:sz w:val="18"/>
          <w:szCs w:val="18"/>
        </w:rPr>
        <w:t xml:space="preserve"> </w:t>
      </w:r>
      <w:r w:rsidR="48D21451" w:rsidRPr="48D21451">
        <w:rPr>
          <w:rFonts w:ascii="Times New Roman" w:eastAsia="Aptos" w:hAnsi="Times New Roman" w:cs="Times New Roman"/>
          <w:sz w:val="18"/>
          <w:szCs w:val="18"/>
        </w:rPr>
        <w:t xml:space="preserve">S. C. Zaragoza and A. E. Puente, La aplicación del artículo 3 de la Ley de Defensa de la Competencia: ¿La reactivación del ilícito?, </w:t>
      </w:r>
      <w:r w:rsidR="48D21451" w:rsidRPr="48D21451">
        <w:rPr>
          <w:rFonts w:ascii="Times New Roman" w:eastAsia="Aptos" w:hAnsi="Times New Roman" w:cs="Times New Roman"/>
          <w:i/>
          <w:iCs/>
          <w:sz w:val="18"/>
          <w:szCs w:val="18"/>
        </w:rPr>
        <w:t>Anuario de la Competencia</w:t>
      </w:r>
      <w:r w:rsidR="48D21451" w:rsidRPr="48D21451">
        <w:rPr>
          <w:rFonts w:ascii="Times New Roman" w:eastAsia="Aptos" w:hAnsi="Times New Roman" w:cs="Times New Roman"/>
          <w:sz w:val="18"/>
          <w:szCs w:val="18"/>
        </w:rPr>
        <w:t xml:space="preserve"> 2011(1), pp. 223–248.</w:t>
      </w:r>
    </w:p>
  </w:footnote>
  <w:footnote w:id="8">
    <w:p w14:paraId="58D0C64C" w14:textId="77777777" w:rsidR="00CA0C31" w:rsidRPr="005D70D4" w:rsidRDefault="00CA0C31" w:rsidP="00A00EC4">
      <w:pPr>
        <w:pStyle w:val="Textonotapie"/>
        <w:spacing w:after="120"/>
        <w:jc w:val="both"/>
        <w:rPr>
          <w:rFonts w:ascii="Times New Roman" w:eastAsia="Times New Roman" w:hAnsi="Times New Roman" w:cs="Times New Roman"/>
          <w:sz w:val="18"/>
          <w:szCs w:val="18"/>
        </w:rPr>
      </w:pPr>
      <w:r w:rsidRPr="005D70D4">
        <w:rPr>
          <w:rStyle w:val="Refdenotaalpie"/>
          <w:rFonts w:ascii="Times New Roman" w:eastAsia="Times New Roman" w:hAnsi="Times New Roman" w:cs="Times New Roman"/>
          <w:sz w:val="18"/>
          <w:szCs w:val="18"/>
        </w:rPr>
        <w:footnoteRef/>
      </w:r>
      <w:r w:rsidRPr="005D70D4">
        <w:rPr>
          <w:rFonts w:ascii="Times New Roman" w:eastAsia="Times New Roman" w:hAnsi="Times New Roman" w:cs="Times New Roman"/>
          <w:sz w:val="18"/>
          <w:szCs w:val="18"/>
        </w:rPr>
        <w:t xml:space="preserve"> Fernando Díez Estella, Las complicadas relaciones entre la Ley de Defensa de la Competencia y la Ley de Competencia Desleal, Gaceta Jurídica de la Competencia y de la Unión Europea, nº 213, 2001, pp. 11–34.</w:t>
      </w:r>
    </w:p>
  </w:footnote>
  <w:footnote w:id="9">
    <w:p w14:paraId="5C542CDF" w14:textId="77777777" w:rsidR="62883E1B" w:rsidRPr="005D70D4" w:rsidRDefault="62883E1B" w:rsidP="00A00EC4">
      <w:pPr>
        <w:pStyle w:val="Textonotapie"/>
        <w:spacing w:after="120"/>
        <w:jc w:val="both"/>
        <w:rPr>
          <w:rFonts w:ascii="Times New Roman" w:hAnsi="Times New Roman" w:cs="Times New Roman"/>
          <w:sz w:val="18"/>
          <w:szCs w:val="18"/>
        </w:rPr>
      </w:pPr>
      <w:r w:rsidRPr="005D70D4">
        <w:rPr>
          <w:rStyle w:val="Refdenotaalpie"/>
          <w:rFonts w:ascii="Times New Roman" w:eastAsia="Times New Roman" w:hAnsi="Times New Roman" w:cs="Times New Roman"/>
          <w:sz w:val="18"/>
          <w:szCs w:val="18"/>
        </w:rPr>
        <w:footnoteRef/>
      </w:r>
      <w:r w:rsidRPr="005D70D4">
        <w:rPr>
          <w:rFonts w:ascii="Times New Roman" w:eastAsia="Times New Roman" w:hAnsi="Times New Roman" w:cs="Times New Roman"/>
          <w:sz w:val="18"/>
          <w:szCs w:val="18"/>
        </w:rPr>
        <w:t xml:space="preserve"> M. Zabaleta Díaz, “El abuso de una situación de dependencia económica, ¿ilícito antitrust o ilícito desleal, In: Actas de Derecho industrial y Derecho de autor”, Ediciones Jurídicas y Sociales, Madrid 2005–2006, p. 365.</w:t>
      </w:r>
    </w:p>
  </w:footnote>
  <w:footnote w:id="10">
    <w:p w14:paraId="244A49FE" w14:textId="77777777" w:rsidR="006727F8" w:rsidRPr="005D70D4" w:rsidRDefault="006727F8" w:rsidP="00A00EC4">
      <w:pPr>
        <w:pStyle w:val="Textonotapie"/>
        <w:spacing w:after="120"/>
        <w:jc w:val="both"/>
        <w:rPr>
          <w:rFonts w:ascii="Times New Roman" w:hAnsi="Times New Roman" w:cs="Times New Roman"/>
          <w:sz w:val="18"/>
          <w:szCs w:val="18"/>
        </w:rPr>
      </w:pPr>
      <w:r w:rsidRPr="005D70D4">
        <w:rPr>
          <w:rStyle w:val="Refdenotaalpie"/>
          <w:rFonts w:ascii="Times New Roman" w:eastAsia="Times New Roman" w:hAnsi="Times New Roman" w:cs="Times New Roman"/>
          <w:sz w:val="18"/>
          <w:szCs w:val="18"/>
        </w:rPr>
        <w:footnoteRef/>
      </w:r>
      <w:r w:rsidR="62883E1B" w:rsidRPr="005D70D4">
        <w:rPr>
          <w:rFonts w:ascii="Times New Roman" w:eastAsia="Times New Roman" w:hAnsi="Times New Roman" w:cs="Times New Roman"/>
          <w:sz w:val="18"/>
          <w:szCs w:val="18"/>
        </w:rPr>
        <w:t xml:space="preserve"> J. Massaguer, “Comentario a la Ley de Competencia Desleal”, Editorial Civitas 1999. </w:t>
      </w:r>
    </w:p>
  </w:footnote>
  <w:footnote w:id="11">
    <w:p w14:paraId="51056D17" w14:textId="77777777" w:rsidR="006475D9" w:rsidRPr="005D70D4" w:rsidRDefault="006475D9" w:rsidP="00A00EC4">
      <w:pPr>
        <w:pStyle w:val="Textonotapie"/>
        <w:contextualSpacing/>
        <w:jc w:val="both"/>
        <w:rPr>
          <w:rFonts w:ascii="Times New Roman" w:hAnsi="Times New Roman" w:cs="Times New Roman"/>
          <w:sz w:val="18"/>
          <w:szCs w:val="18"/>
          <w:lang w:val="en-GB"/>
        </w:rPr>
      </w:pPr>
      <w:r w:rsidRPr="005D70D4">
        <w:rPr>
          <w:rStyle w:val="Refdenotaalpie"/>
          <w:rFonts w:ascii="Times New Roman" w:eastAsia="Times New Roman" w:hAnsi="Times New Roman" w:cs="Times New Roman"/>
          <w:sz w:val="18"/>
          <w:szCs w:val="18"/>
        </w:rPr>
        <w:footnoteRef/>
      </w:r>
      <w:r w:rsidR="62883E1B" w:rsidRPr="005D1973">
        <w:rPr>
          <w:rFonts w:ascii="Times New Roman" w:eastAsia="Times New Roman" w:hAnsi="Times New Roman" w:cs="Times New Roman"/>
          <w:sz w:val="18"/>
          <w:szCs w:val="18"/>
        </w:rPr>
        <w:t xml:space="preserve"> C. Estevan de Quesada, Power imbalances in digital markets: platforms and dependence, Universitat de Valencia.</w:t>
      </w:r>
      <w:r w:rsidR="008515E3" w:rsidRPr="005D1973">
        <w:rPr>
          <w:rFonts w:ascii="Times New Roman" w:eastAsia="Times New Roman" w:hAnsi="Times New Roman" w:cs="Times New Roman"/>
          <w:sz w:val="18"/>
          <w:szCs w:val="18"/>
        </w:rPr>
        <w:t xml:space="preserve"> </w:t>
      </w:r>
      <w:r w:rsidR="62883E1B" w:rsidRPr="005D70D4">
        <w:rPr>
          <w:rFonts w:ascii="Times New Roman" w:eastAsia="Times New Roman" w:hAnsi="Times New Roman" w:cs="Times New Roman"/>
          <w:sz w:val="18"/>
          <w:szCs w:val="18"/>
          <w:lang w:val="en-GB"/>
        </w:rPr>
        <w:t>2022: 57-80. </w:t>
      </w:r>
    </w:p>
  </w:footnote>
  <w:footnote w:id="12">
    <w:p w14:paraId="5836E0B3" w14:textId="77777777" w:rsidR="32BABDB1" w:rsidRPr="005D70D4" w:rsidRDefault="32BABDB1" w:rsidP="00A00EC4">
      <w:pPr>
        <w:pStyle w:val="Textonotapie"/>
        <w:spacing w:before="210" w:after="210"/>
        <w:contextualSpacing/>
        <w:jc w:val="both"/>
        <w:rPr>
          <w:rFonts w:ascii="Times New Roman" w:eastAsia="Times New Roman" w:hAnsi="Times New Roman" w:cs="Times New Roman"/>
          <w:b/>
          <w:bCs/>
          <w:color w:val="000000" w:themeColor="text1"/>
          <w:sz w:val="18"/>
          <w:szCs w:val="18"/>
          <w:lang w:val="en-US"/>
        </w:rPr>
      </w:pPr>
      <w:r w:rsidRPr="005D70D4">
        <w:rPr>
          <w:rStyle w:val="Refdenotaalpie"/>
          <w:rFonts w:ascii="Times New Roman" w:eastAsia="Times New Roman" w:hAnsi="Times New Roman" w:cs="Times New Roman"/>
          <w:color w:val="000000" w:themeColor="text1"/>
          <w:sz w:val="18"/>
          <w:szCs w:val="18"/>
          <w:lang w:val="en-US"/>
        </w:rPr>
        <w:footnoteRef/>
      </w:r>
      <w:r w:rsidRPr="005D70D4">
        <w:rPr>
          <w:rFonts w:ascii="Times New Roman" w:eastAsia="Times New Roman" w:hAnsi="Times New Roman" w:cs="Times New Roman"/>
          <w:color w:val="000000" w:themeColor="text1"/>
          <w:sz w:val="18"/>
          <w:szCs w:val="18"/>
          <w:lang w:val="en-US"/>
        </w:rPr>
        <w:t xml:space="preserve">  Summary of the decision adopted by the </w:t>
      </w:r>
      <w:r w:rsidR="00283FED" w:rsidRPr="005D70D4">
        <w:rPr>
          <w:rFonts w:ascii="Times New Roman" w:eastAsia="Times New Roman" w:hAnsi="Times New Roman" w:cs="Times New Roman"/>
          <w:color w:val="000000" w:themeColor="text1"/>
          <w:sz w:val="18"/>
          <w:szCs w:val="18"/>
          <w:lang w:val="en-US"/>
        </w:rPr>
        <w:t>CNMC</w:t>
      </w:r>
      <w:r w:rsidRPr="005D70D4">
        <w:rPr>
          <w:rFonts w:ascii="Times New Roman" w:eastAsia="Times New Roman" w:hAnsi="Times New Roman" w:cs="Times New Roman"/>
          <w:color w:val="000000" w:themeColor="text1"/>
          <w:sz w:val="18"/>
          <w:szCs w:val="18"/>
          <w:lang w:val="en-US"/>
        </w:rPr>
        <w:t xml:space="preserve"> on 29 July 2024 in case S/0005/21 Booking available </w:t>
      </w:r>
      <w:hyperlink r:id="rId1" w:history="1">
        <w:r w:rsidRPr="005D70D4">
          <w:rPr>
            <w:rStyle w:val="Hipervnculo"/>
            <w:rFonts w:ascii="Times New Roman" w:eastAsia="Times New Roman" w:hAnsi="Times New Roman" w:cs="Times New Roman"/>
            <w:sz w:val="18"/>
            <w:szCs w:val="18"/>
            <w:lang w:val="en-US"/>
          </w:rPr>
          <w:t>here</w:t>
        </w:r>
      </w:hyperlink>
    </w:p>
  </w:footnote>
  <w:footnote w:id="13">
    <w:p w14:paraId="41F199B1" w14:textId="77777777" w:rsidR="62883E1B" w:rsidRPr="005D70D4" w:rsidRDefault="001860E6" w:rsidP="00A00EC4">
      <w:pPr>
        <w:pStyle w:val="Textonotapie"/>
        <w:jc w:val="both"/>
        <w:rPr>
          <w:rFonts w:ascii="Times New Roman" w:hAnsi="Times New Roman" w:cs="Times New Roman"/>
          <w:sz w:val="18"/>
          <w:szCs w:val="18"/>
        </w:rPr>
      </w:pPr>
      <w:r w:rsidRPr="005D70D4">
        <w:rPr>
          <w:rFonts w:ascii="Times New Roman" w:eastAsia="Times New Roman" w:hAnsi="Times New Roman" w:cs="Times New Roman"/>
          <w:sz w:val="18"/>
          <w:szCs w:val="18"/>
          <w:vertAlign w:val="superscript"/>
        </w:rPr>
        <w:t>5</w:t>
      </w:r>
      <w:r w:rsidRPr="005D70D4">
        <w:rPr>
          <w:rFonts w:ascii="Times New Roman" w:eastAsia="Times New Roman" w:hAnsi="Times New Roman" w:cs="Times New Roman"/>
          <w:sz w:val="18"/>
          <w:szCs w:val="18"/>
        </w:rPr>
        <w:t xml:space="preserve"> </w:t>
      </w:r>
      <w:r w:rsidR="62883E1B" w:rsidRPr="005D70D4">
        <w:rPr>
          <w:rFonts w:ascii="Times New Roman" w:eastAsia="Times New Roman" w:hAnsi="Times New Roman" w:cs="Times New Roman"/>
          <w:sz w:val="18"/>
          <w:szCs w:val="18"/>
        </w:rPr>
        <w:t>C. Estevan de Quesada, "Franquicia y abuso de dependencia económica", 2005,.pp1-25</w:t>
      </w:r>
      <w:r w:rsidR="008515E3" w:rsidRPr="005D70D4">
        <w:rPr>
          <w:rFonts w:ascii="Times New Roman" w:eastAsia="Times New Roman" w:hAnsi="Times New Roman" w:cs="Times New Roman"/>
          <w:sz w:val="18"/>
          <w:szCs w:val="18"/>
        </w:rPr>
        <w:t>.</w:t>
      </w:r>
    </w:p>
  </w:footnote>
  <w:footnote w:id="14">
    <w:p w14:paraId="6CA1F969" w14:textId="77777777" w:rsidR="62883E1B" w:rsidRPr="005D70D4" w:rsidRDefault="62883E1B" w:rsidP="00A00EC4">
      <w:pPr>
        <w:pStyle w:val="Textonotapie"/>
        <w:spacing w:after="120"/>
        <w:jc w:val="both"/>
        <w:rPr>
          <w:rFonts w:ascii="Times New Roman" w:hAnsi="Times New Roman" w:cs="Times New Roman"/>
          <w:sz w:val="18"/>
          <w:szCs w:val="18"/>
        </w:rPr>
      </w:pPr>
      <w:r w:rsidRPr="005D70D4">
        <w:rPr>
          <w:rStyle w:val="Refdenotaalpie"/>
          <w:rFonts w:ascii="Times New Roman" w:eastAsia="Times New Roman" w:hAnsi="Times New Roman" w:cs="Times New Roman"/>
          <w:sz w:val="18"/>
          <w:szCs w:val="18"/>
        </w:rPr>
        <w:footnoteRef/>
      </w:r>
      <w:r w:rsidR="3F9C66E7" w:rsidRPr="005D70D4">
        <w:rPr>
          <w:rFonts w:ascii="Times New Roman" w:eastAsia="Times New Roman" w:hAnsi="Times New Roman" w:cs="Times New Roman"/>
          <w:sz w:val="18"/>
          <w:szCs w:val="18"/>
        </w:rPr>
        <w:t xml:space="preserve"> María Elena Jara Vásquez, “El abuso de posición de dominio en situación de dependencia económica y los problemas de su aplicación en el ordenamiento jurídico ecuatoriano”,</w:t>
      </w:r>
      <w:r w:rsidR="00FD391E" w:rsidRPr="005D70D4">
        <w:rPr>
          <w:rFonts w:ascii="Times New Roman" w:eastAsia="Times New Roman" w:hAnsi="Times New Roman" w:cs="Times New Roman"/>
          <w:sz w:val="18"/>
          <w:szCs w:val="18"/>
        </w:rPr>
        <w:t xml:space="preserve"> </w:t>
      </w:r>
      <w:r w:rsidR="3F9C66E7" w:rsidRPr="005D70D4">
        <w:rPr>
          <w:rFonts w:ascii="Times New Roman" w:eastAsia="Times New Roman" w:hAnsi="Times New Roman" w:cs="Times New Roman"/>
          <w:sz w:val="18"/>
          <w:szCs w:val="18"/>
        </w:rPr>
        <w:t>Revista de Derecho, nº 26, UASB Quito, 2016, pp. 19–20.</w:t>
      </w:r>
    </w:p>
  </w:footnote>
  <w:footnote w:id="15">
    <w:p w14:paraId="1CEA1062" w14:textId="77777777" w:rsidR="00500005" w:rsidRPr="005D70D4" w:rsidRDefault="00500005" w:rsidP="00A00EC4">
      <w:pPr>
        <w:pStyle w:val="Textonotapie"/>
        <w:spacing w:after="120"/>
        <w:jc w:val="both"/>
        <w:rPr>
          <w:rFonts w:ascii="Times New Roman" w:hAnsi="Times New Roman" w:cs="Times New Roman"/>
          <w:sz w:val="18"/>
          <w:szCs w:val="18"/>
        </w:rPr>
      </w:pPr>
      <w:r w:rsidRPr="005D70D4">
        <w:rPr>
          <w:rStyle w:val="Refdenotaalpie"/>
          <w:rFonts w:ascii="Times New Roman" w:eastAsia="Times New Roman" w:hAnsi="Times New Roman" w:cs="Times New Roman"/>
          <w:sz w:val="18"/>
          <w:szCs w:val="18"/>
        </w:rPr>
        <w:footnoteRef/>
      </w:r>
      <w:r w:rsidR="62883E1B" w:rsidRPr="005D70D4">
        <w:rPr>
          <w:rFonts w:ascii="Times New Roman" w:eastAsia="Times New Roman" w:hAnsi="Times New Roman" w:cs="Times New Roman"/>
          <w:sz w:val="18"/>
          <w:szCs w:val="18"/>
        </w:rPr>
        <w:t xml:space="preserve"> P.M. González Jiménez, “La utilidad del poder de mercado en la determinación de la naturaleza jurídica de la prestación subyacente en las plataformas digitales”, Cuadernos de Derecho Transnacional, 2023, pp. 503–504</w:t>
      </w:r>
      <w:r w:rsidR="008515E3" w:rsidRPr="005D70D4">
        <w:rPr>
          <w:rFonts w:ascii="Times New Roman" w:eastAsia="Times New Roman" w:hAnsi="Times New Roman" w:cs="Times New Roman"/>
          <w:sz w:val="18"/>
          <w:szCs w:val="18"/>
        </w:rPr>
        <w:t>.</w:t>
      </w:r>
    </w:p>
  </w:footnote>
  <w:footnote w:id="16">
    <w:p w14:paraId="5A832DFB" w14:textId="77777777" w:rsidR="00114DC2" w:rsidRPr="005D70D4" w:rsidRDefault="00114DC2" w:rsidP="00A00EC4">
      <w:pPr>
        <w:pStyle w:val="Textonotapie"/>
        <w:jc w:val="both"/>
        <w:rPr>
          <w:rFonts w:ascii="Times New Roman" w:hAnsi="Times New Roman" w:cs="Times New Roman"/>
          <w:sz w:val="18"/>
          <w:szCs w:val="18"/>
        </w:rPr>
      </w:pPr>
      <w:r w:rsidRPr="005D70D4">
        <w:rPr>
          <w:rStyle w:val="Refdenotaalpie"/>
          <w:rFonts w:ascii="Times New Roman" w:eastAsia="Times New Roman" w:hAnsi="Times New Roman" w:cs="Times New Roman"/>
          <w:sz w:val="18"/>
          <w:szCs w:val="18"/>
        </w:rPr>
        <w:footnoteRef/>
      </w:r>
      <w:r w:rsidRPr="005D70D4">
        <w:rPr>
          <w:rFonts w:ascii="Times New Roman" w:eastAsia="Times New Roman" w:hAnsi="Times New Roman" w:cs="Times New Roman"/>
          <w:sz w:val="18"/>
          <w:szCs w:val="18"/>
        </w:rPr>
        <w:t xml:space="preserve"> José Massaguer, “Comentario a la Ley de Competencia Desleal”,1999, p. 324-326.</w:t>
      </w:r>
    </w:p>
  </w:footnote>
  <w:footnote w:id="17">
    <w:p w14:paraId="1CD229F5" w14:textId="513BA469" w:rsidR="007507F5" w:rsidRPr="005D70D4" w:rsidRDefault="007507F5" w:rsidP="48D21451">
      <w:pPr>
        <w:pStyle w:val="Textonotapie"/>
        <w:jc w:val="both"/>
        <w:rPr>
          <w:rFonts w:ascii="Times New Roman" w:hAnsi="Times New Roman" w:cs="Times New Roman"/>
          <w:sz w:val="18"/>
          <w:szCs w:val="18"/>
        </w:rPr>
      </w:pPr>
      <w:r w:rsidRPr="005D70D4">
        <w:rPr>
          <w:rStyle w:val="Refdenotaalpie"/>
          <w:rFonts w:ascii="Times New Roman" w:hAnsi="Times New Roman" w:cs="Times New Roman"/>
          <w:sz w:val="18"/>
          <w:szCs w:val="18"/>
        </w:rPr>
        <w:footnoteRef/>
      </w:r>
      <w:r w:rsidR="48D21451" w:rsidRPr="005D70D4">
        <w:rPr>
          <w:rFonts w:ascii="Times New Roman" w:hAnsi="Times New Roman" w:cs="Times New Roman"/>
          <w:sz w:val="18"/>
          <w:szCs w:val="18"/>
        </w:rPr>
        <w:t xml:space="preserve"> </w:t>
      </w:r>
      <w:r w:rsidR="48D21451" w:rsidRPr="48D21451">
        <w:rPr>
          <w:rFonts w:ascii="Times New Roman" w:hAnsi="Times New Roman" w:cs="Times New Roman"/>
          <w:sz w:val="18"/>
          <w:szCs w:val="18"/>
        </w:rPr>
        <w:t>Law 15/2009, BOE-A-2009-18004</w:t>
      </w:r>
      <w:r w:rsidR="48D21451" w:rsidRPr="005D70D4">
        <w:rPr>
          <w:rFonts w:ascii="Times New Roman" w:hAnsi="Times New Roman" w:cs="Times New Roman"/>
          <w:sz w:val="18"/>
          <w:szCs w:val="18"/>
        </w:rPr>
        <w:t xml:space="preserve"> [273] [94903].</w:t>
      </w:r>
    </w:p>
  </w:footnote>
  <w:footnote w:id="18">
    <w:p w14:paraId="2B2D227B" w14:textId="5D00B97D" w:rsidR="00D92CFC" w:rsidRPr="005D70D4" w:rsidRDefault="00D92CFC" w:rsidP="48D21451">
      <w:pPr>
        <w:pStyle w:val="Textonotapie"/>
        <w:jc w:val="both"/>
        <w:rPr>
          <w:rFonts w:ascii="Times New Roman" w:hAnsi="Times New Roman" w:cs="Times New Roman"/>
          <w:sz w:val="18"/>
          <w:szCs w:val="18"/>
        </w:rPr>
      </w:pPr>
      <w:r w:rsidRPr="005D70D4">
        <w:rPr>
          <w:rStyle w:val="Refdenotaalpie"/>
          <w:rFonts w:ascii="Times New Roman" w:hAnsi="Times New Roman" w:cs="Times New Roman"/>
          <w:sz w:val="18"/>
          <w:szCs w:val="18"/>
        </w:rPr>
        <w:footnoteRef/>
      </w:r>
      <w:r w:rsidR="48D21451" w:rsidRPr="005D70D4">
        <w:rPr>
          <w:rFonts w:ascii="Times New Roman" w:hAnsi="Times New Roman" w:cs="Times New Roman"/>
          <w:sz w:val="18"/>
          <w:szCs w:val="18"/>
        </w:rPr>
        <w:t xml:space="preserve"> </w:t>
      </w:r>
      <w:r w:rsidR="48D21451" w:rsidRPr="48D21451">
        <w:rPr>
          <w:rFonts w:ascii="Times New Roman" w:hAnsi="Times New Roman" w:cs="Times New Roman"/>
          <w:sz w:val="18"/>
          <w:szCs w:val="18"/>
        </w:rPr>
        <w:t>Royal Decree-law, BOE 2022 [184], [111381].</w:t>
      </w:r>
    </w:p>
  </w:footnote>
  <w:footnote w:id="19">
    <w:p w14:paraId="2D1AD2D6" w14:textId="77777777" w:rsidR="00A00EC4" w:rsidRPr="005D70D4" w:rsidRDefault="00A00EC4" w:rsidP="00A00EC4">
      <w:pPr>
        <w:pStyle w:val="Textonotapie"/>
        <w:jc w:val="both"/>
        <w:rPr>
          <w:rFonts w:ascii="Times New Roman" w:hAnsi="Times New Roman" w:cs="Times New Roman"/>
          <w:sz w:val="18"/>
          <w:szCs w:val="18"/>
          <w:lang w:val="en-GB"/>
        </w:rPr>
      </w:pPr>
      <w:r w:rsidRPr="005D70D4">
        <w:rPr>
          <w:rStyle w:val="Refdenotaalpie"/>
          <w:rFonts w:ascii="Times New Roman" w:hAnsi="Times New Roman" w:cs="Times New Roman"/>
          <w:sz w:val="18"/>
          <w:szCs w:val="18"/>
        </w:rPr>
        <w:footnoteRef/>
      </w:r>
      <w:r w:rsidRPr="005D70D4">
        <w:rPr>
          <w:rFonts w:ascii="Times New Roman" w:hAnsi="Times New Roman" w:cs="Times New Roman"/>
          <w:sz w:val="18"/>
          <w:szCs w:val="18"/>
        </w:rPr>
        <w:t xml:space="preserve"> Massaguer, “Comentario a la Ley de Competencia Desleal”, Madrid, Ed. </w:t>
      </w:r>
      <w:r w:rsidRPr="005D70D4">
        <w:rPr>
          <w:rFonts w:ascii="Times New Roman" w:hAnsi="Times New Roman" w:cs="Times New Roman"/>
          <w:sz w:val="18"/>
          <w:szCs w:val="18"/>
          <w:lang w:val="en-GB"/>
        </w:rPr>
        <w:t>Civitas, 1999, p. 483. See also Spanish Supreme Court, Judgement number 842/2025 of 27 May 2025.</w:t>
      </w:r>
    </w:p>
  </w:footnote>
  <w:footnote w:id="20">
    <w:p w14:paraId="0799124A" w14:textId="77777777" w:rsidR="00A00EC4" w:rsidRPr="005D70D4" w:rsidRDefault="00A00EC4" w:rsidP="00A00EC4">
      <w:pPr>
        <w:pStyle w:val="Textonotapie"/>
        <w:jc w:val="both"/>
        <w:rPr>
          <w:rFonts w:ascii="Times New Roman" w:hAnsi="Times New Roman" w:cs="Times New Roman"/>
          <w:sz w:val="18"/>
          <w:szCs w:val="18"/>
          <w:lang w:val="en-GB"/>
        </w:rPr>
      </w:pPr>
      <w:r w:rsidRPr="005D70D4">
        <w:rPr>
          <w:rStyle w:val="Refdenotaalpie"/>
          <w:rFonts w:ascii="Times New Roman" w:hAnsi="Times New Roman" w:cs="Times New Roman"/>
          <w:sz w:val="18"/>
          <w:szCs w:val="18"/>
        </w:rPr>
        <w:footnoteRef/>
      </w:r>
      <w:r w:rsidRPr="005D70D4">
        <w:rPr>
          <w:rFonts w:ascii="Times New Roman" w:hAnsi="Times New Roman" w:cs="Times New Roman"/>
          <w:sz w:val="18"/>
          <w:szCs w:val="18"/>
          <w:lang w:val="en-GB"/>
        </w:rPr>
        <w:t xml:space="preserve"> Spanish Supreme Court, Judgement number 842/2025 of 27 May 2025.</w:t>
      </w:r>
    </w:p>
  </w:footnote>
  <w:footnote w:id="21">
    <w:p w14:paraId="5C83690D" w14:textId="4CDB8A17" w:rsidR="00A00EC4" w:rsidRPr="005D70D4" w:rsidRDefault="00A00EC4" w:rsidP="005D1973">
      <w:pPr>
        <w:pStyle w:val="Textonotapie"/>
        <w:rPr>
          <w:rFonts w:ascii="Times New Roman" w:hAnsi="Times New Roman" w:cs="Times New Roman"/>
          <w:sz w:val="18"/>
          <w:szCs w:val="18"/>
          <w:lang w:val="en-GB"/>
        </w:rPr>
      </w:pPr>
      <w:r w:rsidRPr="005D70D4">
        <w:rPr>
          <w:rStyle w:val="Refdenotaalpie"/>
          <w:rFonts w:ascii="Times New Roman" w:hAnsi="Times New Roman" w:cs="Times New Roman"/>
          <w:sz w:val="18"/>
          <w:szCs w:val="18"/>
        </w:rPr>
        <w:footnoteRef/>
      </w:r>
      <w:r w:rsidR="48D21451" w:rsidRPr="005D70D4">
        <w:rPr>
          <w:rFonts w:ascii="Times New Roman" w:hAnsi="Times New Roman" w:cs="Times New Roman"/>
          <w:sz w:val="18"/>
          <w:szCs w:val="18"/>
          <w:lang w:val="en-GB"/>
        </w:rPr>
        <w:t xml:space="preserve"> Spanish Organic Law 1/2025, </w:t>
      </w:r>
      <w:r w:rsidR="48D21451" w:rsidRPr="48D21451">
        <w:rPr>
          <w:rFonts w:ascii="Times New Roman" w:hAnsi="Times New Roman" w:cs="Times New Roman"/>
          <w:sz w:val="18"/>
          <w:szCs w:val="18"/>
          <w:lang w:val="en-GB"/>
        </w:rPr>
        <w:t>BOE-A-2025-76</w:t>
      </w:r>
      <w:r w:rsidRPr="005D1973">
        <w:rPr>
          <w:lang w:val="en-US"/>
        </w:rPr>
        <w:br/>
      </w:r>
    </w:p>
    <w:p w14:paraId="763D9B43" w14:textId="0A274695" w:rsidR="00A00EC4" w:rsidRPr="005D70D4" w:rsidRDefault="00A00EC4" w:rsidP="00A00EC4">
      <w:pPr>
        <w:pStyle w:val="Textonotapie"/>
        <w:jc w:val="both"/>
        <w:rPr>
          <w:rFonts w:ascii="Times New Roman" w:hAnsi="Times New Roman" w:cs="Times New Roman"/>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13C7" w14:textId="77777777" w:rsidR="00A026C1" w:rsidRDefault="00A026C1">
    <w:pPr>
      <w:pStyle w:val="Encabezado"/>
    </w:pPr>
    <w:r w:rsidRPr="00A026C1">
      <w:rPr>
        <w:noProof/>
      </w:rPr>
      <w:drawing>
        <wp:anchor distT="0" distB="0" distL="114300" distR="114300" simplePos="0" relativeHeight="251658240" behindDoc="1" locked="0" layoutInCell="1" allowOverlap="1" wp14:anchorId="634C45CD" wp14:editId="001EC1BD">
          <wp:simplePos x="0" y="0"/>
          <wp:positionH relativeFrom="column">
            <wp:posOffset>-22860</wp:posOffset>
          </wp:positionH>
          <wp:positionV relativeFrom="paragraph">
            <wp:posOffset>-194310</wp:posOffset>
          </wp:positionV>
          <wp:extent cx="1077595" cy="510540"/>
          <wp:effectExtent l="0" t="0" r="8255" b="3810"/>
          <wp:wrapTight wrapText="bothSides">
            <wp:wrapPolygon edited="0">
              <wp:start x="0" y="0"/>
              <wp:lineTo x="0" y="20955"/>
              <wp:lineTo x="21384" y="20955"/>
              <wp:lineTo x="21384" y="0"/>
              <wp:lineTo x="0" y="0"/>
            </wp:wrapPolygon>
          </wp:wrapTight>
          <wp:docPr id="197127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697" r="17804"/>
                  <a:stretch>
                    <a:fillRect/>
                  </a:stretch>
                </pic:blipFill>
                <pic:spPr bwMode="auto">
                  <a:xfrm>
                    <a:off x="0" y="0"/>
                    <a:ext cx="1077595" cy="51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528100" w14:textId="77777777" w:rsidR="00A026C1" w:rsidRDefault="00A026C1">
    <w:pPr>
      <w:pStyle w:val="Encabezado"/>
    </w:pPr>
  </w:p>
  <w:p w14:paraId="592BB052" w14:textId="77777777" w:rsidR="00A026C1" w:rsidRDefault="00A026C1">
    <w:pPr>
      <w:pStyle w:val="Encabezado"/>
    </w:pPr>
  </w:p>
</w:hdr>
</file>

<file path=word/intelligence2.xml><?xml version="1.0" encoding="utf-8"?>
<int2:intelligence xmlns:int2="http://schemas.microsoft.com/office/intelligence/2020/intelligence" xmlns:oel="http://schemas.microsoft.com/office/2019/extlst">
  <int2:observations>
    <int2:textHash int2:hashCode="RoMfuNvjmioSlP" int2:id="4j8jR9BZ">
      <int2:state int2:value="Rejected" int2:type="spell"/>
    </int2:textHash>
    <int2:bookmark int2:bookmarkName="_Int_nf9jAgmp" int2:invalidationBookmarkName="" int2:hashCode="ACjWKJbK9VYWQK" int2:id="rMJX3z2f">
      <int2:state int2:value="Rejected" int2:type="gram"/>
    </int2:bookmark>
    <int2:bookmark int2:bookmarkName="_Int_tdBpnWMC" int2:invalidationBookmarkName="" int2:hashCode="v7F8q+LP8ZUAwi" int2:id="m0TrCXoG">
      <int2:state int2:value="Rejected" int2:type="gram"/>
    </int2:bookmark>
    <int2:bookmark int2:bookmarkName="_Int_TCtUytjT" int2:invalidationBookmarkName="" int2:hashCode="SFGAz7lBvFeoCK" int2:id="VYzgpd3m">
      <int2:state int2:value="Rejected" int2:type="gram"/>
    </int2:bookmark>
    <int2:bookmark int2:bookmarkName="_Int_DApvD7yy" int2:invalidationBookmarkName="" int2:hashCode="SFGAz7lBvFeoCK" int2:id="05aFX4gM">
      <int2:state int2:value="Rejected" int2:type="gram"/>
    </int2:bookmark>
    <int2:bookmark int2:bookmarkName="_Int_4VjkFANM" int2:invalidationBookmarkName="" int2:hashCode="eEuWsTqDyYwh2k" int2:id="63CJXe3j">
      <int2:state int2:value="Rejected" int2:type="gram"/>
    </int2:bookmark>
    <int2:bookmark int2:bookmarkName="_Int_SEtpoETm" int2:invalidationBookmarkName="" int2:hashCode="tEtqcB6VgNkQgr" int2:id="I0yblXbp">
      <int2:state int2:value="Rejected" int2:type="gram"/>
    </int2:bookmark>
    <int2:bookmark int2:bookmarkName="_Int_Yos5WYQ4" int2:invalidationBookmarkName="" int2:hashCode="JUJmfJ0rUyDOL6" int2:id="mt44FPTA">
      <int2:state int2:value="Rejected" int2:type="gram"/>
    </int2:bookmark>
    <int2:bookmark int2:bookmarkName="_Int_69KLTbg4" int2:invalidationBookmarkName="" int2:hashCode="z88GZJRsdqXrPh" int2:id="dZ7Sw1Tx">
      <int2:state int2:value="Rejected" int2:type="gram"/>
    </int2:bookmark>
    <int2:bookmark int2:bookmarkName="_Int_IZPwcDj4" int2:invalidationBookmarkName="" int2:hashCode="iDhG48yymgb3lG" int2:id="gvLhnF66">
      <int2:state int2:value="Rejected" int2:type="style"/>
    </int2:bookmark>
    <int2:bookmark int2:bookmarkName="_Int_vhbEXfDW" int2:invalidationBookmarkName="" int2:hashCode="1FESmKmbZGEGeU" int2:id="DmFyLNn7">
      <int2:state int2:value="Rejected" int2:type="gram"/>
    </int2:bookmark>
    <int2:bookmark int2:bookmarkName="_Int_fLBshfbv" int2:invalidationBookmarkName="" int2:hashCode="QPmKUMa2zJBldJ" int2:id="whWEzcAy">
      <int2:state int2:value="Rejected" int2:type="gram"/>
    </int2:bookmark>
    <int2:bookmark int2:bookmarkName="_Int_WiPR0HZK" int2:invalidationBookmarkName="" int2:hashCode="mVA6B5JFVOsrgX" int2:id="NUVgjh3M">
      <int2:state int2:value="Rejected" int2:type="style"/>
    </int2:bookmark>
    <int2:bookmark int2:bookmarkName="_Int_Rl15WcSF" int2:invalidationBookmarkName="" int2:hashCode="1FESmKmbZGEGeU" int2:id="gLCiDK5s">
      <int2:state int2:value="Rejected" int2:type="gram"/>
    </int2:bookmark>
    <int2:bookmark int2:bookmarkName="_Int_JX2knIlH" int2:invalidationBookmarkName="" int2:hashCode="0YlPN5kIN/5jf6" int2:id="VyX9ugg1">
      <int2:state int2:value="Rejected" int2:type="gram"/>
    </int2:bookmark>
    <int2:bookmark int2:bookmarkName="_Int_7kaBxpxj" int2:invalidationBookmarkName="" int2:hashCode="Q+75piq7ix4WVP" int2:id="ly6rfAdJ">
      <int2:state int2:value="Rejected" int2:type="gram"/>
    </int2:bookmark>
    <int2:bookmark int2:bookmarkName="_Int_Z4X2rgJs" int2:invalidationBookmarkName="" int2:hashCode="SFGAz7lBvFeoCK" int2:id="75cKTDju">
      <int2:state int2:value="Rejected" int2:type="gram"/>
    </int2:bookmark>
    <int2:bookmark int2:bookmarkName="_Int_0DeuCuUm" int2:invalidationBookmarkName="" int2:hashCode="VX8lVRZxnqFvj0" int2:id="65NZBAmK">
      <int2:state int2:value="Rejected" int2:type="gram"/>
    </int2:bookmark>
    <int2:bookmark int2:bookmarkName="_Int_XrJmzdBR" int2:invalidationBookmarkName="" int2:hashCode="XJ9zr3MzT/41DG" int2:id="6lWkPiFs">
      <int2:state int2:value="Rejected" int2:type="gram"/>
    </int2:bookmark>
    <int2:bookmark int2:bookmarkName="_Int_GqzyiCvS" int2:invalidationBookmarkName="" int2:hashCode="SFGAz7lBvFeoCK" int2:id="Wxzh6dPR">
      <int2:state int2:value="Rejected" int2:type="gram"/>
    </int2:bookmark>
    <int2:bookmark int2:bookmarkName="_Int_CrSFftSC" int2:invalidationBookmarkName="" int2:hashCode="SFGAz7lBvFeoCK" int2:id="QPNPMmOg">
      <int2:state int2:value="Rejected" int2:type="gram"/>
    </int2:bookmark>
    <int2:bookmark int2:bookmarkName="_Int_cPz3B9QL" int2:invalidationBookmarkName="" int2:hashCode="Q8iPbyxudqGE2V" int2:id="X4vuLxOS">
      <int2:state int2:value="Rejected" int2:type="gram"/>
    </int2:bookmark>
    <int2:bookmark int2:bookmarkName="_Int_9XNKfuPZ" int2:invalidationBookmarkName="" int2:hashCode="1EGS/zTJVFSisY" int2:id="Ftk3t82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599"/>
    <w:multiLevelType w:val="multilevel"/>
    <w:tmpl w:val="2982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2303D"/>
    <w:multiLevelType w:val="hybridMultilevel"/>
    <w:tmpl w:val="BEA2FA96"/>
    <w:lvl w:ilvl="0" w:tplc="E9BEAA84">
      <w:start w:val="1"/>
      <w:numFmt w:val="bullet"/>
      <w:lvlText w:val=""/>
      <w:lvlJc w:val="left"/>
      <w:pPr>
        <w:ind w:left="720" w:hanging="360"/>
      </w:pPr>
      <w:rPr>
        <w:rFonts w:ascii="Wingdings" w:hAnsi="Wingdings" w:hint="default"/>
      </w:rPr>
    </w:lvl>
    <w:lvl w:ilvl="1" w:tplc="0B26031C">
      <w:start w:val="1"/>
      <w:numFmt w:val="bullet"/>
      <w:lvlText w:val="o"/>
      <w:lvlJc w:val="left"/>
      <w:pPr>
        <w:ind w:left="1440" w:hanging="360"/>
      </w:pPr>
      <w:rPr>
        <w:rFonts w:ascii="Courier New" w:hAnsi="Courier New" w:hint="default"/>
      </w:rPr>
    </w:lvl>
    <w:lvl w:ilvl="2" w:tplc="B5D8AF1A">
      <w:start w:val="1"/>
      <w:numFmt w:val="bullet"/>
      <w:lvlText w:val=""/>
      <w:lvlJc w:val="left"/>
      <w:pPr>
        <w:ind w:left="2160" w:hanging="360"/>
      </w:pPr>
      <w:rPr>
        <w:rFonts w:ascii="Wingdings" w:hAnsi="Wingdings" w:hint="default"/>
      </w:rPr>
    </w:lvl>
    <w:lvl w:ilvl="3" w:tplc="10169998">
      <w:start w:val="1"/>
      <w:numFmt w:val="bullet"/>
      <w:lvlText w:val=""/>
      <w:lvlJc w:val="left"/>
      <w:pPr>
        <w:ind w:left="2880" w:hanging="360"/>
      </w:pPr>
      <w:rPr>
        <w:rFonts w:ascii="Symbol" w:hAnsi="Symbol" w:hint="default"/>
      </w:rPr>
    </w:lvl>
    <w:lvl w:ilvl="4" w:tplc="F82EA6D2">
      <w:start w:val="1"/>
      <w:numFmt w:val="bullet"/>
      <w:lvlText w:val="o"/>
      <w:lvlJc w:val="left"/>
      <w:pPr>
        <w:ind w:left="3600" w:hanging="360"/>
      </w:pPr>
      <w:rPr>
        <w:rFonts w:ascii="Courier New" w:hAnsi="Courier New" w:hint="default"/>
      </w:rPr>
    </w:lvl>
    <w:lvl w:ilvl="5" w:tplc="773A5F30">
      <w:start w:val="1"/>
      <w:numFmt w:val="bullet"/>
      <w:lvlText w:val=""/>
      <w:lvlJc w:val="left"/>
      <w:pPr>
        <w:ind w:left="4320" w:hanging="360"/>
      </w:pPr>
      <w:rPr>
        <w:rFonts w:ascii="Wingdings" w:hAnsi="Wingdings" w:hint="default"/>
      </w:rPr>
    </w:lvl>
    <w:lvl w:ilvl="6" w:tplc="43FA4CFC">
      <w:start w:val="1"/>
      <w:numFmt w:val="bullet"/>
      <w:lvlText w:val=""/>
      <w:lvlJc w:val="left"/>
      <w:pPr>
        <w:ind w:left="5040" w:hanging="360"/>
      </w:pPr>
      <w:rPr>
        <w:rFonts w:ascii="Symbol" w:hAnsi="Symbol" w:hint="default"/>
      </w:rPr>
    </w:lvl>
    <w:lvl w:ilvl="7" w:tplc="F7725580">
      <w:start w:val="1"/>
      <w:numFmt w:val="bullet"/>
      <w:lvlText w:val="o"/>
      <w:lvlJc w:val="left"/>
      <w:pPr>
        <w:ind w:left="5760" w:hanging="360"/>
      </w:pPr>
      <w:rPr>
        <w:rFonts w:ascii="Courier New" w:hAnsi="Courier New" w:hint="default"/>
      </w:rPr>
    </w:lvl>
    <w:lvl w:ilvl="8" w:tplc="98322AF4">
      <w:start w:val="1"/>
      <w:numFmt w:val="bullet"/>
      <w:lvlText w:val=""/>
      <w:lvlJc w:val="left"/>
      <w:pPr>
        <w:ind w:left="6480" w:hanging="360"/>
      </w:pPr>
      <w:rPr>
        <w:rFonts w:ascii="Wingdings" w:hAnsi="Wingdings" w:hint="default"/>
      </w:rPr>
    </w:lvl>
  </w:abstractNum>
  <w:abstractNum w:abstractNumId="2" w15:restartNumberingAfterBreak="0">
    <w:nsid w:val="16E7ED34"/>
    <w:multiLevelType w:val="hybridMultilevel"/>
    <w:tmpl w:val="CA00DB4E"/>
    <w:lvl w:ilvl="0" w:tplc="DFD0F14A">
      <w:start w:val="1"/>
      <w:numFmt w:val="bullet"/>
      <w:lvlText w:val=""/>
      <w:lvlJc w:val="left"/>
      <w:pPr>
        <w:ind w:left="720" w:hanging="360"/>
      </w:pPr>
      <w:rPr>
        <w:rFonts w:ascii="Wingdings" w:hAnsi="Wingdings" w:hint="default"/>
      </w:rPr>
    </w:lvl>
    <w:lvl w:ilvl="1" w:tplc="2A56B2C8">
      <w:start w:val="1"/>
      <w:numFmt w:val="bullet"/>
      <w:lvlText w:val="o"/>
      <w:lvlJc w:val="left"/>
      <w:pPr>
        <w:ind w:left="1440" w:hanging="360"/>
      </w:pPr>
      <w:rPr>
        <w:rFonts w:ascii="Courier New" w:hAnsi="Courier New" w:hint="default"/>
      </w:rPr>
    </w:lvl>
    <w:lvl w:ilvl="2" w:tplc="4E767E20">
      <w:start w:val="1"/>
      <w:numFmt w:val="bullet"/>
      <w:lvlText w:val=""/>
      <w:lvlJc w:val="left"/>
      <w:pPr>
        <w:ind w:left="2160" w:hanging="360"/>
      </w:pPr>
      <w:rPr>
        <w:rFonts w:ascii="Wingdings" w:hAnsi="Wingdings" w:hint="default"/>
      </w:rPr>
    </w:lvl>
    <w:lvl w:ilvl="3" w:tplc="1E8A1746">
      <w:start w:val="1"/>
      <w:numFmt w:val="bullet"/>
      <w:lvlText w:val=""/>
      <w:lvlJc w:val="left"/>
      <w:pPr>
        <w:ind w:left="2880" w:hanging="360"/>
      </w:pPr>
      <w:rPr>
        <w:rFonts w:ascii="Symbol" w:hAnsi="Symbol" w:hint="default"/>
      </w:rPr>
    </w:lvl>
    <w:lvl w:ilvl="4" w:tplc="2150753E">
      <w:start w:val="1"/>
      <w:numFmt w:val="bullet"/>
      <w:lvlText w:val="o"/>
      <w:lvlJc w:val="left"/>
      <w:pPr>
        <w:ind w:left="3600" w:hanging="360"/>
      </w:pPr>
      <w:rPr>
        <w:rFonts w:ascii="Courier New" w:hAnsi="Courier New" w:hint="default"/>
      </w:rPr>
    </w:lvl>
    <w:lvl w:ilvl="5" w:tplc="592A1ADE">
      <w:start w:val="1"/>
      <w:numFmt w:val="bullet"/>
      <w:lvlText w:val=""/>
      <w:lvlJc w:val="left"/>
      <w:pPr>
        <w:ind w:left="4320" w:hanging="360"/>
      </w:pPr>
      <w:rPr>
        <w:rFonts w:ascii="Wingdings" w:hAnsi="Wingdings" w:hint="default"/>
      </w:rPr>
    </w:lvl>
    <w:lvl w:ilvl="6" w:tplc="0CE89A64">
      <w:start w:val="1"/>
      <w:numFmt w:val="bullet"/>
      <w:lvlText w:val=""/>
      <w:lvlJc w:val="left"/>
      <w:pPr>
        <w:ind w:left="5040" w:hanging="360"/>
      </w:pPr>
      <w:rPr>
        <w:rFonts w:ascii="Symbol" w:hAnsi="Symbol" w:hint="default"/>
      </w:rPr>
    </w:lvl>
    <w:lvl w:ilvl="7" w:tplc="5ED4483C">
      <w:start w:val="1"/>
      <w:numFmt w:val="bullet"/>
      <w:lvlText w:val="o"/>
      <w:lvlJc w:val="left"/>
      <w:pPr>
        <w:ind w:left="5760" w:hanging="360"/>
      </w:pPr>
      <w:rPr>
        <w:rFonts w:ascii="Courier New" w:hAnsi="Courier New" w:hint="default"/>
      </w:rPr>
    </w:lvl>
    <w:lvl w:ilvl="8" w:tplc="858A9E24">
      <w:start w:val="1"/>
      <w:numFmt w:val="bullet"/>
      <w:lvlText w:val=""/>
      <w:lvlJc w:val="left"/>
      <w:pPr>
        <w:ind w:left="6480" w:hanging="360"/>
      </w:pPr>
      <w:rPr>
        <w:rFonts w:ascii="Wingdings" w:hAnsi="Wingdings" w:hint="default"/>
      </w:rPr>
    </w:lvl>
  </w:abstractNum>
  <w:abstractNum w:abstractNumId="3" w15:restartNumberingAfterBreak="0">
    <w:nsid w:val="18327D35"/>
    <w:multiLevelType w:val="multilevel"/>
    <w:tmpl w:val="6AD2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326C5"/>
    <w:multiLevelType w:val="multilevel"/>
    <w:tmpl w:val="1E00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07C5A"/>
    <w:multiLevelType w:val="multilevel"/>
    <w:tmpl w:val="9748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F01FF"/>
    <w:multiLevelType w:val="multilevel"/>
    <w:tmpl w:val="A1E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82280"/>
    <w:multiLevelType w:val="hybridMultilevel"/>
    <w:tmpl w:val="5E66C4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E54DE2"/>
    <w:multiLevelType w:val="hybridMultilevel"/>
    <w:tmpl w:val="F4AC03EC"/>
    <w:lvl w:ilvl="0" w:tplc="0344A73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4E7BAE"/>
    <w:multiLevelType w:val="hybridMultilevel"/>
    <w:tmpl w:val="199841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C77BEC"/>
    <w:multiLevelType w:val="hybridMultilevel"/>
    <w:tmpl w:val="A0F41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BE3597"/>
    <w:multiLevelType w:val="multilevel"/>
    <w:tmpl w:val="3D2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66777"/>
    <w:multiLevelType w:val="multilevel"/>
    <w:tmpl w:val="044A0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87BE9"/>
    <w:multiLevelType w:val="hybridMultilevel"/>
    <w:tmpl w:val="C978862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A157EE"/>
    <w:multiLevelType w:val="multilevel"/>
    <w:tmpl w:val="05CE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F3CE5"/>
    <w:multiLevelType w:val="multilevel"/>
    <w:tmpl w:val="CE2E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44BE6"/>
    <w:multiLevelType w:val="hybridMultilevel"/>
    <w:tmpl w:val="16DC76EC"/>
    <w:lvl w:ilvl="0" w:tplc="42DA2B2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F43A84"/>
    <w:multiLevelType w:val="hybridMultilevel"/>
    <w:tmpl w:val="3F6454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0337798">
    <w:abstractNumId w:val="2"/>
  </w:num>
  <w:num w:numId="2" w16cid:durableId="1847359796">
    <w:abstractNumId w:val="1"/>
  </w:num>
  <w:num w:numId="3" w16cid:durableId="725686811">
    <w:abstractNumId w:val="10"/>
  </w:num>
  <w:num w:numId="4" w16cid:durableId="1758599565">
    <w:abstractNumId w:val="13"/>
  </w:num>
  <w:num w:numId="5" w16cid:durableId="1751195345">
    <w:abstractNumId w:val="17"/>
  </w:num>
  <w:num w:numId="6" w16cid:durableId="82380664">
    <w:abstractNumId w:val="9"/>
  </w:num>
  <w:num w:numId="7" w16cid:durableId="875385348">
    <w:abstractNumId w:val="7"/>
  </w:num>
  <w:num w:numId="8" w16cid:durableId="770441398">
    <w:abstractNumId w:val="4"/>
  </w:num>
  <w:num w:numId="9" w16cid:durableId="945118558">
    <w:abstractNumId w:val="0"/>
  </w:num>
  <w:num w:numId="10" w16cid:durableId="1617908151">
    <w:abstractNumId w:val="6"/>
  </w:num>
  <w:num w:numId="11" w16cid:durableId="208104794">
    <w:abstractNumId w:val="3"/>
  </w:num>
  <w:num w:numId="12" w16cid:durableId="49689713">
    <w:abstractNumId w:val="15"/>
  </w:num>
  <w:num w:numId="13" w16cid:durableId="36704895">
    <w:abstractNumId w:val="5"/>
  </w:num>
  <w:num w:numId="14" w16cid:durableId="592053659">
    <w:abstractNumId w:val="14"/>
  </w:num>
  <w:num w:numId="15" w16cid:durableId="61493034">
    <w:abstractNumId w:val="11"/>
  </w:num>
  <w:num w:numId="16" w16cid:durableId="541479543">
    <w:abstractNumId w:val="12"/>
  </w:num>
  <w:num w:numId="17" w16cid:durableId="414282339">
    <w:abstractNumId w:val="16"/>
  </w:num>
  <w:num w:numId="18" w16cid:durableId="2091192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5F"/>
    <w:rsid w:val="000135BD"/>
    <w:rsid w:val="00026741"/>
    <w:rsid w:val="00034D20"/>
    <w:rsid w:val="00041C5E"/>
    <w:rsid w:val="0005691E"/>
    <w:rsid w:val="00081629"/>
    <w:rsid w:val="00095C0E"/>
    <w:rsid w:val="000B3008"/>
    <w:rsid w:val="000C3A20"/>
    <w:rsid w:val="000D0DC5"/>
    <w:rsid w:val="000D1C50"/>
    <w:rsid w:val="000E052D"/>
    <w:rsid w:val="001143E5"/>
    <w:rsid w:val="00114DC2"/>
    <w:rsid w:val="00122E9C"/>
    <w:rsid w:val="001238D5"/>
    <w:rsid w:val="001448E8"/>
    <w:rsid w:val="0016341D"/>
    <w:rsid w:val="00181AE3"/>
    <w:rsid w:val="00184E29"/>
    <w:rsid w:val="001860E6"/>
    <w:rsid w:val="001A0FDF"/>
    <w:rsid w:val="001B61F8"/>
    <w:rsid w:val="001F25AF"/>
    <w:rsid w:val="001F7920"/>
    <w:rsid w:val="00211BC2"/>
    <w:rsid w:val="00244971"/>
    <w:rsid w:val="00283FED"/>
    <w:rsid w:val="002B3AD3"/>
    <w:rsid w:val="002C2046"/>
    <w:rsid w:val="002D2062"/>
    <w:rsid w:val="002E78BE"/>
    <w:rsid w:val="003455AB"/>
    <w:rsid w:val="003874A7"/>
    <w:rsid w:val="0039234E"/>
    <w:rsid w:val="003D1815"/>
    <w:rsid w:val="003D4C2C"/>
    <w:rsid w:val="0041100C"/>
    <w:rsid w:val="00413728"/>
    <w:rsid w:val="0042244C"/>
    <w:rsid w:val="004376FA"/>
    <w:rsid w:val="00442ED0"/>
    <w:rsid w:val="0046566C"/>
    <w:rsid w:val="004B11F7"/>
    <w:rsid w:val="004C2537"/>
    <w:rsid w:val="004D6807"/>
    <w:rsid w:val="00500005"/>
    <w:rsid w:val="005075B1"/>
    <w:rsid w:val="00526C90"/>
    <w:rsid w:val="00537C4D"/>
    <w:rsid w:val="0057304A"/>
    <w:rsid w:val="00593F33"/>
    <w:rsid w:val="005D1973"/>
    <w:rsid w:val="005D1E56"/>
    <w:rsid w:val="005D70D4"/>
    <w:rsid w:val="005F6537"/>
    <w:rsid w:val="00602880"/>
    <w:rsid w:val="00612AF0"/>
    <w:rsid w:val="006475D9"/>
    <w:rsid w:val="006515CC"/>
    <w:rsid w:val="006727F8"/>
    <w:rsid w:val="006748C5"/>
    <w:rsid w:val="006E46C3"/>
    <w:rsid w:val="00701E3F"/>
    <w:rsid w:val="00711289"/>
    <w:rsid w:val="00712545"/>
    <w:rsid w:val="00720055"/>
    <w:rsid w:val="007318B2"/>
    <w:rsid w:val="00735DCC"/>
    <w:rsid w:val="007507F5"/>
    <w:rsid w:val="007559D6"/>
    <w:rsid w:val="00796915"/>
    <w:rsid w:val="007B07B5"/>
    <w:rsid w:val="007B7AC5"/>
    <w:rsid w:val="00837B9E"/>
    <w:rsid w:val="008515E3"/>
    <w:rsid w:val="00864981"/>
    <w:rsid w:val="00867972"/>
    <w:rsid w:val="008915F3"/>
    <w:rsid w:val="00897234"/>
    <w:rsid w:val="008C5047"/>
    <w:rsid w:val="008E1710"/>
    <w:rsid w:val="008E5FE8"/>
    <w:rsid w:val="008F2529"/>
    <w:rsid w:val="008F7E88"/>
    <w:rsid w:val="009077EE"/>
    <w:rsid w:val="00915B21"/>
    <w:rsid w:val="00926647"/>
    <w:rsid w:val="00930BE2"/>
    <w:rsid w:val="009347DD"/>
    <w:rsid w:val="00954B50"/>
    <w:rsid w:val="009842A2"/>
    <w:rsid w:val="009C00E8"/>
    <w:rsid w:val="009C4E0D"/>
    <w:rsid w:val="009E02D8"/>
    <w:rsid w:val="009E5DD9"/>
    <w:rsid w:val="009F1CA7"/>
    <w:rsid w:val="00A00EC4"/>
    <w:rsid w:val="00A02054"/>
    <w:rsid w:val="00A026C1"/>
    <w:rsid w:val="00A21375"/>
    <w:rsid w:val="00A23C6A"/>
    <w:rsid w:val="00A25788"/>
    <w:rsid w:val="00A27498"/>
    <w:rsid w:val="00A33DDE"/>
    <w:rsid w:val="00A530F5"/>
    <w:rsid w:val="00A53856"/>
    <w:rsid w:val="00A8311B"/>
    <w:rsid w:val="00A91BE8"/>
    <w:rsid w:val="00AC1E33"/>
    <w:rsid w:val="00AC2496"/>
    <w:rsid w:val="00AC6F72"/>
    <w:rsid w:val="00AE35E3"/>
    <w:rsid w:val="00AE4694"/>
    <w:rsid w:val="00B07717"/>
    <w:rsid w:val="00B1016C"/>
    <w:rsid w:val="00B11897"/>
    <w:rsid w:val="00B33266"/>
    <w:rsid w:val="00B33B3A"/>
    <w:rsid w:val="00B6641B"/>
    <w:rsid w:val="00B76B1A"/>
    <w:rsid w:val="00B84AD3"/>
    <w:rsid w:val="00B86AAB"/>
    <w:rsid w:val="00BC0E2D"/>
    <w:rsid w:val="00BCE90E"/>
    <w:rsid w:val="00BD678A"/>
    <w:rsid w:val="00BE4A7F"/>
    <w:rsid w:val="00BF8146"/>
    <w:rsid w:val="00C00AD6"/>
    <w:rsid w:val="00C15383"/>
    <w:rsid w:val="00C529CF"/>
    <w:rsid w:val="00C6275F"/>
    <w:rsid w:val="00C93B3E"/>
    <w:rsid w:val="00CA0392"/>
    <w:rsid w:val="00CA0C31"/>
    <w:rsid w:val="00CB0BDA"/>
    <w:rsid w:val="00CC6700"/>
    <w:rsid w:val="00CC7673"/>
    <w:rsid w:val="00D45D6A"/>
    <w:rsid w:val="00D535C1"/>
    <w:rsid w:val="00D5567E"/>
    <w:rsid w:val="00D67C17"/>
    <w:rsid w:val="00D73ECC"/>
    <w:rsid w:val="00D82A57"/>
    <w:rsid w:val="00D87E05"/>
    <w:rsid w:val="00D92CFC"/>
    <w:rsid w:val="00DA408D"/>
    <w:rsid w:val="00DE3245"/>
    <w:rsid w:val="00E02FF7"/>
    <w:rsid w:val="00E4708D"/>
    <w:rsid w:val="00E50E78"/>
    <w:rsid w:val="00E83770"/>
    <w:rsid w:val="00E900B2"/>
    <w:rsid w:val="00E90197"/>
    <w:rsid w:val="00EB1232"/>
    <w:rsid w:val="00EC2782"/>
    <w:rsid w:val="00ED0C4B"/>
    <w:rsid w:val="00EF3CDF"/>
    <w:rsid w:val="00EF3F49"/>
    <w:rsid w:val="00F1430A"/>
    <w:rsid w:val="00F5334B"/>
    <w:rsid w:val="00F842AC"/>
    <w:rsid w:val="00F96D09"/>
    <w:rsid w:val="00FC6914"/>
    <w:rsid w:val="00FD391E"/>
    <w:rsid w:val="00FE6459"/>
    <w:rsid w:val="01050E50"/>
    <w:rsid w:val="013F69FD"/>
    <w:rsid w:val="019EDBF8"/>
    <w:rsid w:val="01D5B3F7"/>
    <w:rsid w:val="01F0D6B7"/>
    <w:rsid w:val="0212554E"/>
    <w:rsid w:val="026B3344"/>
    <w:rsid w:val="02D77C04"/>
    <w:rsid w:val="02F09475"/>
    <w:rsid w:val="031CF490"/>
    <w:rsid w:val="033A15B0"/>
    <w:rsid w:val="044D6FBA"/>
    <w:rsid w:val="046F2B5D"/>
    <w:rsid w:val="04741054"/>
    <w:rsid w:val="04CA9133"/>
    <w:rsid w:val="04F713E8"/>
    <w:rsid w:val="052682C8"/>
    <w:rsid w:val="0565BC3D"/>
    <w:rsid w:val="05A19F4E"/>
    <w:rsid w:val="05A2F01A"/>
    <w:rsid w:val="05E9BE1E"/>
    <w:rsid w:val="05F0098E"/>
    <w:rsid w:val="05FC63DA"/>
    <w:rsid w:val="069848CE"/>
    <w:rsid w:val="06C53907"/>
    <w:rsid w:val="071EBE29"/>
    <w:rsid w:val="0753DC94"/>
    <w:rsid w:val="07AB1C4D"/>
    <w:rsid w:val="07D94C56"/>
    <w:rsid w:val="080DC398"/>
    <w:rsid w:val="086C44EB"/>
    <w:rsid w:val="095DD3E8"/>
    <w:rsid w:val="09E0D4F2"/>
    <w:rsid w:val="0A5F3433"/>
    <w:rsid w:val="0A6D46BE"/>
    <w:rsid w:val="0A7D1B89"/>
    <w:rsid w:val="0A90042C"/>
    <w:rsid w:val="0AB4CDC2"/>
    <w:rsid w:val="0B79BC2F"/>
    <w:rsid w:val="0BB8E9B1"/>
    <w:rsid w:val="0C8CFDC2"/>
    <w:rsid w:val="0C960699"/>
    <w:rsid w:val="0CCC7F10"/>
    <w:rsid w:val="0CE6B827"/>
    <w:rsid w:val="0D2A192D"/>
    <w:rsid w:val="0D58EB15"/>
    <w:rsid w:val="0DBE3448"/>
    <w:rsid w:val="0E600EA4"/>
    <w:rsid w:val="0ECB49ED"/>
    <w:rsid w:val="0F918F3A"/>
    <w:rsid w:val="11EE32B9"/>
    <w:rsid w:val="127E4F24"/>
    <w:rsid w:val="134D6673"/>
    <w:rsid w:val="14359E08"/>
    <w:rsid w:val="146ADD66"/>
    <w:rsid w:val="1494321C"/>
    <w:rsid w:val="15161ECB"/>
    <w:rsid w:val="154F88E6"/>
    <w:rsid w:val="155CD33F"/>
    <w:rsid w:val="15B1AABA"/>
    <w:rsid w:val="15FF78B2"/>
    <w:rsid w:val="16064540"/>
    <w:rsid w:val="161EB968"/>
    <w:rsid w:val="16976BB0"/>
    <w:rsid w:val="173DFE0A"/>
    <w:rsid w:val="1896B000"/>
    <w:rsid w:val="18D18991"/>
    <w:rsid w:val="1952DFF5"/>
    <w:rsid w:val="19ED69B4"/>
    <w:rsid w:val="1A566369"/>
    <w:rsid w:val="1A66331E"/>
    <w:rsid w:val="1AA49811"/>
    <w:rsid w:val="1AEB9205"/>
    <w:rsid w:val="1B9F318F"/>
    <w:rsid w:val="1BA31E4F"/>
    <w:rsid w:val="1BC41BA7"/>
    <w:rsid w:val="1C6D4172"/>
    <w:rsid w:val="1C9A4277"/>
    <w:rsid w:val="1D82F31A"/>
    <w:rsid w:val="1E18836F"/>
    <w:rsid w:val="1E60D1A8"/>
    <w:rsid w:val="1E6ABCCF"/>
    <w:rsid w:val="1E95F885"/>
    <w:rsid w:val="1EF47D31"/>
    <w:rsid w:val="1F033104"/>
    <w:rsid w:val="1F4A3BCB"/>
    <w:rsid w:val="1F531B2B"/>
    <w:rsid w:val="1F9541B6"/>
    <w:rsid w:val="20049BE1"/>
    <w:rsid w:val="202CD2F2"/>
    <w:rsid w:val="20EFA6CF"/>
    <w:rsid w:val="214EB20F"/>
    <w:rsid w:val="217C333A"/>
    <w:rsid w:val="218F201B"/>
    <w:rsid w:val="21E4D867"/>
    <w:rsid w:val="225BCB3B"/>
    <w:rsid w:val="2260ECF7"/>
    <w:rsid w:val="22B07358"/>
    <w:rsid w:val="22EDD23D"/>
    <w:rsid w:val="23853CDF"/>
    <w:rsid w:val="2397627B"/>
    <w:rsid w:val="246D84CA"/>
    <w:rsid w:val="2567BE24"/>
    <w:rsid w:val="25B35769"/>
    <w:rsid w:val="25CA3B76"/>
    <w:rsid w:val="266B00E1"/>
    <w:rsid w:val="26D5BD99"/>
    <w:rsid w:val="26F701A5"/>
    <w:rsid w:val="2750F1C7"/>
    <w:rsid w:val="27C7F5C0"/>
    <w:rsid w:val="27D8F5DB"/>
    <w:rsid w:val="286F22A0"/>
    <w:rsid w:val="2895D0F5"/>
    <w:rsid w:val="28971EA3"/>
    <w:rsid w:val="289E499E"/>
    <w:rsid w:val="291DF3D2"/>
    <w:rsid w:val="293136CD"/>
    <w:rsid w:val="2934C5B4"/>
    <w:rsid w:val="294A65A8"/>
    <w:rsid w:val="2964F19A"/>
    <w:rsid w:val="29D9BE8D"/>
    <w:rsid w:val="2A1A1D58"/>
    <w:rsid w:val="2B564D84"/>
    <w:rsid w:val="2B6E41DB"/>
    <w:rsid w:val="2C0000A6"/>
    <w:rsid w:val="2C2112A2"/>
    <w:rsid w:val="2C63C168"/>
    <w:rsid w:val="2C950902"/>
    <w:rsid w:val="2C9AD5DB"/>
    <w:rsid w:val="2D158392"/>
    <w:rsid w:val="2D9AF0F5"/>
    <w:rsid w:val="2DF922E0"/>
    <w:rsid w:val="2E03E03A"/>
    <w:rsid w:val="2E2E1E61"/>
    <w:rsid w:val="2E62DD11"/>
    <w:rsid w:val="2EF35D09"/>
    <w:rsid w:val="301D9DC2"/>
    <w:rsid w:val="303D0422"/>
    <w:rsid w:val="314526D9"/>
    <w:rsid w:val="3288E7EE"/>
    <w:rsid w:val="32BABDB1"/>
    <w:rsid w:val="33071899"/>
    <w:rsid w:val="330DE88D"/>
    <w:rsid w:val="34199716"/>
    <w:rsid w:val="3498D403"/>
    <w:rsid w:val="3507379E"/>
    <w:rsid w:val="358EA42E"/>
    <w:rsid w:val="35A36A25"/>
    <w:rsid w:val="35EC9A7E"/>
    <w:rsid w:val="367D4CB1"/>
    <w:rsid w:val="36806034"/>
    <w:rsid w:val="372383F9"/>
    <w:rsid w:val="3765ED7C"/>
    <w:rsid w:val="37831CFC"/>
    <w:rsid w:val="37C189C7"/>
    <w:rsid w:val="3842E0C3"/>
    <w:rsid w:val="386999B1"/>
    <w:rsid w:val="3899A3BF"/>
    <w:rsid w:val="38DD1B59"/>
    <w:rsid w:val="38FA9C00"/>
    <w:rsid w:val="3952B1F7"/>
    <w:rsid w:val="397183D6"/>
    <w:rsid w:val="3A260CB7"/>
    <w:rsid w:val="3AB7307D"/>
    <w:rsid w:val="3BB88CA5"/>
    <w:rsid w:val="3BB94ECC"/>
    <w:rsid w:val="3BDB61DD"/>
    <w:rsid w:val="3D6358CE"/>
    <w:rsid w:val="3D662AE5"/>
    <w:rsid w:val="3E041321"/>
    <w:rsid w:val="3E0F7924"/>
    <w:rsid w:val="3E16CDB1"/>
    <w:rsid w:val="3E60FB68"/>
    <w:rsid w:val="3E82D0AA"/>
    <w:rsid w:val="3E9AB585"/>
    <w:rsid w:val="3E9EFBB7"/>
    <w:rsid w:val="3F9C66E7"/>
    <w:rsid w:val="3FDD7A10"/>
    <w:rsid w:val="3FE675EA"/>
    <w:rsid w:val="400AF7EC"/>
    <w:rsid w:val="400D0C31"/>
    <w:rsid w:val="4025C64F"/>
    <w:rsid w:val="40965367"/>
    <w:rsid w:val="40B84CE4"/>
    <w:rsid w:val="410BAFC7"/>
    <w:rsid w:val="4110CC22"/>
    <w:rsid w:val="4224E388"/>
    <w:rsid w:val="42D59215"/>
    <w:rsid w:val="42F558D8"/>
    <w:rsid w:val="4443DCCC"/>
    <w:rsid w:val="4456AE87"/>
    <w:rsid w:val="4499FBD3"/>
    <w:rsid w:val="44E45DBF"/>
    <w:rsid w:val="45E7C4FE"/>
    <w:rsid w:val="45EBBCFD"/>
    <w:rsid w:val="45EC97AF"/>
    <w:rsid w:val="46136B6F"/>
    <w:rsid w:val="46F031B4"/>
    <w:rsid w:val="472232C7"/>
    <w:rsid w:val="47598CA7"/>
    <w:rsid w:val="475D0957"/>
    <w:rsid w:val="4823C5CE"/>
    <w:rsid w:val="484381BA"/>
    <w:rsid w:val="48460079"/>
    <w:rsid w:val="485AC3C7"/>
    <w:rsid w:val="486C3108"/>
    <w:rsid w:val="48C4DE33"/>
    <w:rsid w:val="48D21451"/>
    <w:rsid w:val="4900272A"/>
    <w:rsid w:val="495A590B"/>
    <w:rsid w:val="49C78E6C"/>
    <w:rsid w:val="4AAFBCFF"/>
    <w:rsid w:val="4AB7A433"/>
    <w:rsid w:val="4AC2A706"/>
    <w:rsid w:val="4AFCD216"/>
    <w:rsid w:val="4B78B23B"/>
    <w:rsid w:val="4BA12414"/>
    <w:rsid w:val="4BB98CF0"/>
    <w:rsid w:val="4BFAFF5F"/>
    <w:rsid w:val="4C0A5C3A"/>
    <w:rsid w:val="4C2C27DE"/>
    <w:rsid w:val="4D5EEF88"/>
    <w:rsid w:val="4D658993"/>
    <w:rsid w:val="4E1F4185"/>
    <w:rsid w:val="4ECF18D1"/>
    <w:rsid w:val="4EF96969"/>
    <w:rsid w:val="4F11921E"/>
    <w:rsid w:val="4FA39B24"/>
    <w:rsid w:val="4FB58B1D"/>
    <w:rsid w:val="4FD6D718"/>
    <w:rsid w:val="5014A809"/>
    <w:rsid w:val="51230A26"/>
    <w:rsid w:val="512B5CC4"/>
    <w:rsid w:val="51804299"/>
    <w:rsid w:val="51E3A6EC"/>
    <w:rsid w:val="51EADEF5"/>
    <w:rsid w:val="52CE6A49"/>
    <w:rsid w:val="52E53BDB"/>
    <w:rsid w:val="535A8B9F"/>
    <w:rsid w:val="535F91AD"/>
    <w:rsid w:val="544235DB"/>
    <w:rsid w:val="54770DE1"/>
    <w:rsid w:val="54EDE0C5"/>
    <w:rsid w:val="55190370"/>
    <w:rsid w:val="55471203"/>
    <w:rsid w:val="5594005A"/>
    <w:rsid w:val="55A0F48A"/>
    <w:rsid w:val="560D4599"/>
    <w:rsid w:val="56362E2F"/>
    <w:rsid w:val="5654F4BE"/>
    <w:rsid w:val="567466B4"/>
    <w:rsid w:val="57623615"/>
    <w:rsid w:val="57C64084"/>
    <w:rsid w:val="581A6CED"/>
    <w:rsid w:val="5908AA6E"/>
    <w:rsid w:val="5910C404"/>
    <w:rsid w:val="59AD1188"/>
    <w:rsid w:val="59C143B1"/>
    <w:rsid w:val="5A512AA3"/>
    <w:rsid w:val="5BE9A15B"/>
    <w:rsid w:val="5BF128B8"/>
    <w:rsid w:val="5C2FC734"/>
    <w:rsid w:val="5C4393A7"/>
    <w:rsid w:val="5C5DFD17"/>
    <w:rsid w:val="5CE4E911"/>
    <w:rsid w:val="5D304D61"/>
    <w:rsid w:val="5D4DB2F4"/>
    <w:rsid w:val="5D67B26E"/>
    <w:rsid w:val="5D70C991"/>
    <w:rsid w:val="5EB15DC0"/>
    <w:rsid w:val="5F07080D"/>
    <w:rsid w:val="5F15D8BB"/>
    <w:rsid w:val="5FB7658A"/>
    <w:rsid w:val="60288501"/>
    <w:rsid w:val="60A2BDA3"/>
    <w:rsid w:val="60C77526"/>
    <w:rsid w:val="613719D1"/>
    <w:rsid w:val="622754F7"/>
    <w:rsid w:val="6227B38C"/>
    <w:rsid w:val="62883E1B"/>
    <w:rsid w:val="62FCE39E"/>
    <w:rsid w:val="6355B5A2"/>
    <w:rsid w:val="635A2C0C"/>
    <w:rsid w:val="63D7B362"/>
    <w:rsid w:val="63EFCF6E"/>
    <w:rsid w:val="63F18DAA"/>
    <w:rsid w:val="6422F762"/>
    <w:rsid w:val="6470074F"/>
    <w:rsid w:val="64D47988"/>
    <w:rsid w:val="64E2CC0E"/>
    <w:rsid w:val="64F8A814"/>
    <w:rsid w:val="651E2106"/>
    <w:rsid w:val="661872E6"/>
    <w:rsid w:val="663347E3"/>
    <w:rsid w:val="66450B1F"/>
    <w:rsid w:val="668A3B0D"/>
    <w:rsid w:val="66A72F0B"/>
    <w:rsid w:val="66C0A805"/>
    <w:rsid w:val="66E16073"/>
    <w:rsid w:val="67358127"/>
    <w:rsid w:val="6792E8CA"/>
    <w:rsid w:val="67B64C59"/>
    <w:rsid w:val="68704B7E"/>
    <w:rsid w:val="687DB34F"/>
    <w:rsid w:val="68BE416C"/>
    <w:rsid w:val="68F011E0"/>
    <w:rsid w:val="69402ED0"/>
    <w:rsid w:val="6A044D19"/>
    <w:rsid w:val="6A544F4A"/>
    <w:rsid w:val="6AB353AB"/>
    <w:rsid w:val="6ABA3535"/>
    <w:rsid w:val="6AD60FA7"/>
    <w:rsid w:val="6B560C91"/>
    <w:rsid w:val="6B866B7D"/>
    <w:rsid w:val="6B9368C4"/>
    <w:rsid w:val="6C0449F2"/>
    <w:rsid w:val="6CBE4CB4"/>
    <w:rsid w:val="6CE6C0A7"/>
    <w:rsid w:val="6CFE7BE2"/>
    <w:rsid w:val="6D36C713"/>
    <w:rsid w:val="6DB31997"/>
    <w:rsid w:val="6E992773"/>
    <w:rsid w:val="6F8052C3"/>
    <w:rsid w:val="6FB33705"/>
    <w:rsid w:val="6FC2E48C"/>
    <w:rsid w:val="6FC6F2F1"/>
    <w:rsid w:val="6FDB0CAB"/>
    <w:rsid w:val="7005B8E6"/>
    <w:rsid w:val="700A5DEB"/>
    <w:rsid w:val="705A46E5"/>
    <w:rsid w:val="708929E3"/>
    <w:rsid w:val="70E74053"/>
    <w:rsid w:val="717E6CC3"/>
    <w:rsid w:val="71F8D42A"/>
    <w:rsid w:val="7260EA80"/>
    <w:rsid w:val="72CE57C4"/>
    <w:rsid w:val="73183E32"/>
    <w:rsid w:val="73D391D7"/>
    <w:rsid w:val="74577DB7"/>
    <w:rsid w:val="74A35B82"/>
    <w:rsid w:val="74AF2AE0"/>
    <w:rsid w:val="74C57966"/>
    <w:rsid w:val="7609AB29"/>
    <w:rsid w:val="7629F648"/>
    <w:rsid w:val="764BE4FE"/>
    <w:rsid w:val="764E287F"/>
    <w:rsid w:val="7684429D"/>
    <w:rsid w:val="76BEA643"/>
    <w:rsid w:val="7743F74C"/>
    <w:rsid w:val="77507417"/>
    <w:rsid w:val="775CD992"/>
    <w:rsid w:val="7811E2CD"/>
    <w:rsid w:val="78B021E4"/>
    <w:rsid w:val="78E7C04E"/>
    <w:rsid w:val="78F4986D"/>
    <w:rsid w:val="79171925"/>
    <w:rsid w:val="791F1BE2"/>
    <w:rsid w:val="793F3A56"/>
    <w:rsid w:val="795C0FBC"/>
    <w:rsid w:val="79C431DD"/>
    <w:rsid w:val="79E86037"/>
    <w:rsid w:val="7A8E8326"/>
    <w:rsid w:val="7AFCB866"/>
    <w:rsid w:val="7B2D5DDC"/>
    <w:rsid w:val="7C94E5CD"/>
    <w:rsid w:val="7CE7D522"/>
    <w:rsid w:val="7DBF54E5"/>
    <w:rsid w:val="7E16C317"/>
    <w:rsid w:val="7E5B32D2"/>
    <w:rsid w:val="7EBB0B99"/>
    <w:rsid w:val="7EC68216"/>
    <w:rsid w:val="7FD86AF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72A6"/>
  <w15:chartTrackingRefBased/>
  <w15:docId w15:val="{0574D288-8A52-4924-8F18-A611AC8B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0D4"/>
  </w:style>
  <w:style w:type="paragraph" w:styleId="Ttulo1">
    <w:name w:val="heading 1"/>
    <w:basedOn w:val="Normal"/>
    <w:next w:val="Normal"/>
    <w:link w:val="Ttulo1Car"/>
    <w:uiPriority w:val="9"/>
    <w:qFormat/>
    <w:rsid w:val="00C62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2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27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27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27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27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27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27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27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27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27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27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27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27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27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27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27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275F"/>
    <w:rPr>
      <w:rFonts w:eastAsiaTheme="majorEastAsia" w:cstheme="majorBidi"/>
      <w:color w:val="272727" w:themeColor="text1" w:themeTint="D8"/>
    </w:rPr>
  </w:style>
  <w:style w:type="paragraph" w:styleId="Ttulo">
    <w:name w:val="Title"/>
    <w:basedOn w:val="Normal"/>
    <w:next w:val="Normal"/>
    <w:link w:val="TtuloCar"/>
    <w:uiPriority w:val="10"/>
    <w:qFormat/>
    <w:rsid w:val="00C62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27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27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27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275F"/>
    <w:pPr>
      <w:spacing w:before="160"/>
      <w:jc w:val="center"/>
    </w:pPr>
    <w:rPr>
      <w:i/>
      <w:iCs/>
      <w:color w:val="404040" w:themeColor="text1" w:themeTint="BF"/>
    </w:rPr>
  </w:style>
  <w:style w:type="character" w:customStyle="1" w:styleId="CitaCar">
    <w:name w:val="Cita Car"/>
    <w:basedOn w:val="Fuentedeprrafopredeter"/>
    <w:link w:val="Cita"/>
    <w:uiPriority w:val="29"/>
    <w:rsid w:val="00C6275F"/>
    <w:rPr>
      <w:i/>
      <w:iCs/>
      <w:color w:val="404040" w:themeColor="text1" w:themeTint="BF"/>
    </w:rPr>
  </w:style>
  <w:style w:type="paragraph" w:styleId="Prrafodelista">
    <w:name w:val="List Paragraph"/>
    <w:basedOn w:val="Normal"/>
    <w:uiPriority w:val="34"/>
    <w:qFormat/>
    <w:rsid w:val="00C6275F"/>
    <w:pPr>
      <w:ind w:left="720"/>
      <w:contextualSpacing/>
    </w:pPr>
  </w:style>
  <w:style w:type="character" w:styleId="nfasisintenso">
    <w:name w:val="Intense Emphasis"/>
    <w:basedOn w:val="Fuentedeprrafopredeter"/>
    <w:uiPriority w:val="21"/>
    <w:qFormat/>
    <w:rsid w:val="00C6275F"/>
    <w:rPr>
      <w:i/>
      <w:iCs/>
      <w:color w:val="0F4761" w:themeColor="accent1" w:themeShade="BF"/>
    </w:rPr>
  </w:style>
  <w:style w:type="paragraph" w:styleId="Citadestacada">
    <w:name w:val="Intense Quote"/>
    <w:basedOn w:val="Normal"/>
    <w:next w:val="Normal"/>
    <w:link w:val="CitadestacadaCar"/>
    <w:uiPriority w:val="30"/>
    <w:qFormat/>
    <w:rsid w:val="00C62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275F"/>
    <w:rPr>
      <w:i/>
      <w:iCs/>
      <w:color w:val="0F4761" w:themeColor="accent1" w:themeShade="BF"/>
    </w:rPr>
  </w:style>
  <w:style w:type="character" w:styleId="Referenciaintensa">
    <w:name w:val="Intense Reference"/>
    <w:basedOn w:val="Fuentedeprrafopredeter"/>
    <w:uiPriority w:val="32"/>
    <w:qFormat/>
    <w:rsid w:val="00C6275F"/>
    <w:rPr>
      <w:b/>
      <w:bCs/>
      <w:smallCaps/>
      <w:color w:val="0F4761" w:themeColor="accent1" w:themeShade="BF"/>
      <w:spacing w:val="5"/>
    </w:rPr>
  </w:style>
  <w:style w:type="character" w:styleId="Hipervnculo">
    <w:name w:val="Hyperlink"/>
    <w:basedOn w:val="Fuentedeprrafopredeter"/>
    <w:uiPriority w:val="99"/>
    <w:unhideWhenUsed/>
    <w:rsid w:val="00C6275F"/>
    <w:rPr>
      <w:color w:val="467886" w:themeColor="hyperlink"/>
      <w:u w:val="single"/>
    </w:rPr>
  </w:style>
  <w:style w:type="character" w:styleId="Mencinsinresolver">
    <w:name w:val="Unresolved Mention"/>
    <w:basedOn w:val="Fuentedeprrafopredeter"/>
    <w:uiPriority w:val="99"/>
    <w:semiHidden/>
    <w:unhideWhenUsed/>
    <w:rsid w:val="00C6275F"/>
    <w:rPr>
      <w:color w:val="605E5C"/>
      <w:shd w:val="clear" w:color="auto" w:fill="E1DFDD"/>
    </w:rPr>
  </w:style>
  <w:style w:type="paragraph" w:styleId="Textonotapie">
    <w:name w:val="footnote text"/>
    <w:basedOn w:val="Normal"/>
    <w:link w:val="TextonotapieCar"/>
    <w:uiPriority w:val="99"/>
    <w:unhideWhenUsed/>
    <w:rsid w:val="006727F8"/>
    <w:pPr>
      <w:spacing w:after="0" w:line="240" w:lineRule="auto"/>
    </w:pPr>
    <w:rPr>
      <w:sz w:val="20"/>
      <w:szCs w:val="20"/>
    </w:rPr>
  </w:style>
  <w:style w:type="character" w:customStyle="1" w:styleId="TextonotapieCar">
    <w:name w:val="Texto nota pie Car"/>
    <w:basedOn w:val="Fuentedeprrafopredeter"/>
    <w:link w:val="Textonotapie"/>
    <w:uiPriority w:val="99"/>
    <w:rsid w:val="006727F8"/>
    <w:rPr>
      <w:sz w:val="20"/>
      <w:szCs w:val="20"/>
    </w:rPr>
  </w:style>
  <w:style w:type="character" w:styleId="Refdenotaalpie">
    <w:name w:val="footnote reference"/>
    <w:basedOn w:val="Fuentedeprrafopredeter"/>
    <w:uiPriority w:val="99"/>
    <w:semiHidden/>
    <w:unhideWhenUsed/>
    <w:rsid w:val="006727F8"/>
    <w:rPr>
      <w:vertAlign w:val="superscript"/>
    </w:rPr>
  </w:style>
  <w:style w:type="paragraph" w:styleId="Encabezado">
    <w:name w:val="header"/>
    <w:basedOn w:val="Normal"/>
    <w:link w:val="EncabezadoCar"/>
    <w:uiPriority w:val="99"/>
    <w:unhideWhenUsed/>
    <w:rsid w:val="00A026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6C1"/>
  </w:style>
  <w:style w:type="paragraph" w:styleId="Piedepgina">
    <w:name w:val="footer"/>
    <w:basedOn w:val="Normal"/>
    <w:link w:val="PiedepginaCar"/>
    <w:uiPriority w:val="99"/>
    <w:unhideWhenUsed/>
    <w:rsid w:val="00A026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6C1"/>
  </w:style>
  <w:style w:type="paragraph" w:styleId="Textonotaalfinal">
    <w:name w:val="endnote text"/>
    <w:basedOn w:val="Normal"/>
    <w:uiPriority w:val="99"/>
    <w:semiHidden/>
    <w:unhideWhenUsed/>
    <w:rsid w:val="62883E1B"/>
    <w:pPr>
      <w:spacing w:after="0" w:line="240" w:lineRule="auto"/>
    </w:pPr>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1B61F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4376FA"/>
    <w:rPr>
      <w:b/>
      <w:bCs/>
    </w:rPr>
  </w:style>
  <w:style w:type="character" w:customStyle="1" w:styleId="AsuntodelcomentarioCar">
    <w:name w:val="Asunto del comentario Car"/>
    <w:basedOn w:val="TextocomentarioCar"/>
    <w:link w:val="Asuntodelcomentario"/>
    <w:uiPriority w:val="99"/>
    <w:semiHidden/>
    <w:rsid w:val="004376FA"/>
    <w:rPr>
      <w:b/>
      <w:bCs/>
      <w:sz w:val="20"/>
      <w:szCs w:val="20"/>
    </w:rPr>
  </w:style>
  <w:style w:type="character" w:styleId="Hipervnculovisitado">
    <w:name w:val="FollowedHyperlink"/>
    <w:basedOn w:val="Fuentedeprrafopredeter"/>
    <w:uiPriority w:val="99"/>
    <w:semiHidden/>
    <w:unhideWhenUsed/>
    <w:rsid w:val="007318B2"/>
    <w:rPr>
      <w:color w:val="96607D" w:themeColor="followedHyperlink"/>
      <w:u w:val="single"/>
    </w:rPr>
  </w:style>
  <w:style w:type="paragraph" w:customStyle="1" w:styleId="my-2">
    <w:name w:val="my-2"/>
    <w:basedOn w:val="Normal"/>
    <w:rsid w:val="001F25AF"/>
    <w:pPr>
      <w:spacing w:before="100" w:beforeAutospacing="1" w:after="100" w:afterAutospacing="1" w:line="240" w:lineRule="auto"/>
    </w:pPr>
    <w:rPr>
      <w:rFonts w:ascii="Times New Roman" w:eastAsia="Times New Roman" w:hAnsi="Times New Roman" w:cs="Times New Roman"/>
      <w:sz w:val="24"/>
      <w:szCs w:val="24"/>
      <w:lang w:eastAsia="es-ES_tradnl" w:bidi="ar-SA"/>
    </w:rPr>
  </w:style>
  <w:style w:type="character" w:styleId="Textoennegrita">
    <w:name w:val="Strong"/>
    <w:basedOn w:val="Fuentedeprrafopredeter"/>
    <w:uiPriority w:val="22"/>
    <w:qFormat/>
    <w:rsid w:val="001F2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3743">
      <w:bodyDiv w:val="1"/>
      <w:marLeft w:val="0"/>
      <w:marRight w:val="0"/>
      <w:marTop w:val="0"/>
      <w:marBottom w:val="0"/>
      <w:divBdr>
        <w:top w:val="none" w:sz="0" w:space="0" w:color="auto"/>
        <w:left w:val="none" w:sz="0" w:space="0" w:color="auto"/>
        <w:bottom w:val="none" w:sz="0" w:space="0" w:color="auto"/>
        <w:right w:val="none" w:sz="0" w:space="0" w:color="auto"/>
      </w:divBdr>
      <w:divsChild>
        <w:div w:id="1520661608">
          <w:marLeft w:val="0"/>
          <w:marRight w:val="0"/>
          <w:marTop w:val="0"/>
          <w:marBottom w:val="0"/>
          <w:divBdr>
            <w:top w:val="none" w:sz="0" w:space="0" w:color="auto"/>
            <w:left w:val="none" w:sz="0" w:space="0" w:color="auto"/>
            <w:bottom w:val="none" w:sz="0" w:space="0" w:color="auto"/>
            <w:right w:val="none" w:sz="0" w:space="0" w:color="auto"/>
          </w:divBdr>
        </w:div>
        <w:div w:id="1397170936">
          <w:marLeft w:val="0"/>
          <w:marRight w:val="0"/>
          <w:marTop w:val="0"/>
          <w:marBottom w:val="0"/>
          <w:divBdr>
            <w:top w:val="none" w:sz="0" w:space="0" w:color="auto"/>
            <w:left w:val="none" w:sz="0" w:space="0" w:color="auto"/>
            <w:bottom w:val="none" w:sz="0" w:space="0" w:color="auto"/>
            <w:right w:val="none" w:sz="0" w:space="0" w:color="auto"/>
          </w:divBdr>
        </w:div>
        <w:div w:id="238902977">
          <w:marLeft w:val="0"/>
          <w:marRight w:val="0"/>
          <w:marTop w:val="0"/>
          <w:marBottom w:val="0"/>
          <w:divBdr>
            <w:top w:val="none" w:sz="0" w:space="0" w:color="auto"/>
            <w:left w:val="none" w:sz="0" w:space="0" w:color="auto"/>
            <w:bottom w:val="none" w:sz="0" w:space="0" w:color="auto"/>
            <w:right w:val="none" w:sz="0" w:space="0" w:color="auto"/>
          </w:divBdr>
        </w:div>
        <w:div w:id="864709576">
          <w:marLeft w:val="0"/>
          <w:marRight w:val="0"/>
          <w:marTop w:val="0"/>
          <w:marBottom w:val="0"/>
          <w:divBdr>
            <w:top w:val="none" w:sz="0" w:space="0" w:color="auto"/>
            <w:left w:val="none" w:sz="0" w:space="0" w:color="auto"/>
            <w:bottom w:val="none" w:sz="0" w:space="0" w:color="auto"/>
            <w:right w:val="none" w:sz="0" w:space="0" w:color="auto"/>
          </w:divBdr>
        </w:div>
        <w:div w:id="2034964108">
          <w:marLeft w:val="0"/>
          <w:marRight w:val="0"/>
          <w:marTop w:val="0"/>
          <w:marBottom w:val="0"/>
          <w:divBdr>
            <w:top w:val="none" w:sz="0" w:space="0" w:color="auto"/>
            <w:left w:val="none" w:sz="0" w:space="0" w:color="auto"/>
            <w:bottom w:val="none" w:sz="0" w:space="0" w:color="auto"/>
            <w:right w:val="none" w:sz="0" w:space="0" w:color="auto"/>
          </w:divBdr>
        </w:div>
        <w:div w:id="117920352">
          <w:marLeft w:val="0"/>
          <w:marRight w:val="0"/>
          <w:marTop w:val="0"/>
          <w:marBottom w:val="0"/>
          <w:divBdr>
            <w:top w:val="none" w:sz="0" w:space="0" w:color="auto"/>
            <w:left w:val="none" w:sz="0" w:space="0" w:color="auto"/>
            <w:bottom w:val="none" w:sz="0" w:space="0" w:color="auto"/>
            <w:right w:val="none" w:sz="0" w:space="0" w:color="auto"/>
          </w:divBdr>
        </w:div>
        <w:div w:id="1538397703">
          <w:marLeft w:val="0"/>
          <w:marRight w:val="0"/>
          <w:marTop w:val="0"/>
          <w:marBottom w:val="0"/>
          <w:divBdr>
            <w:top w:val="none" w:sz="0" w:space="0" w:color="auto"/>
            <w:left w:val="none" w:sz="0" w:space="0" w:color="auto"/>
            <w:bottom w:val="none" w:sz="0" w:space="0" w:color="auto"/>
            <w:right w:val="none" w:sz="0" w:space="0" w:color="auto"/>
          </w:divBdr>
        </w:div>
      </w:divsChild>
    </w:div>
    <w:div w:id="389226980">
      <w:bodyDiv w:val="1"/>
      <w:marLeft w:val="0"/>
      <w:marRight w:val="0"/>
      <w:marTop w:val="0"/>
      <w:marBottom w:val="0"/>
      <w:divBdr>
        <w:top w:val="none" w:sz="0" w:space="0" w:color="auto"/>
        <w:left w:val="none" w:sz="0" w:space="0" w:color="auto"/>
        <w:bottom w:val="none" w:sz="0" w:space="0" w:color="auto"/>
        <w:right w:val="none" w:sz="0" w:space="0" w:color="auto"/>
      </w:divBdr>
      <w:divsChild>
        <w:div w:id="469978408">
          <w:marLeft w:val="0"/>
          <w:marRight w:val="0"/>
          <w:marTop w:val="0"/>
          <w:marBottom w:val="0"/>
          <w:divBdr>
            <w:top w:val="none" w:sz="0" w:space="0" w:color="auto"/>
            <w:left w:val="none" w:sz="0" w:space="0" w:color="auto"/>
            <w:bottom w:val="none" w:sz="0" w:space="0" w:color="auto"/>
            <w:right w:val="none" w:sz="0" w:space="0" w:color="auto"/>
          </w:divBdr>
        </w:div>
        <w:div w:id="324556242">
          <w:marLeft w:val="0"/>
          <w:marRight w:val="0"/>
          <w:marTop w:val="0"/>
          <w:marBottom w:val="0"/>
          <w:divBdr>
            <w:top w:val="none" w:sz="0" w:space="0" w:color="auto"/>
            <w:left w:val="none" w:sz="0" w:space="0" w:color="auto"/>
            <w:bottom w:val="none" w:sz="0" w:space="0" w:color="auto"/>
            <w:right w:val="none" w:sz="0" w:space="0" w:color="auto"/>
          </w:divBdr>
        </w:div>
        <w:div w:id="163513676">
          <w:marLeft w:val="0"/>
          <w:marRight w:val="0"/>
          <w:marTop w:val="0"/>
          <w:marBottom w:val="0"/>
          <w:divBdr>
            <w:top w:val="none" w:sz="0" w:space="0" w:color="auto"/>
            <w:left w:val="none" w:sz="0" w:space="0" w:color="auto"/>
            <w:bottom w:val="none" w:sz="0" w:space="0" w:color="auto"/>
            <w:right w:val="none" w:sz="0" w:space="0" w:color="auto"/>
          </w:divBdr>
        </w:div>
        <w:div w:id="1188371314">
          <w:marLeft w:val="0"/>
          <w:marRight w:val="0"/>
          <w:marTop w:val="0"/>
          <w:marBottom w:val="0"/>
          <w:divBdr>
            <w:top w:val="none" w:sz="0" w:space="0" w:color="auto"/>
            <w:left w:val="none" w:sz="0" w:space="0" w:color="auto"/>
            <w:bottom w:val="none" w:sz="0" w:space="0" w:color="auto"/>
            <w:right w:val="none" w:sz="0" w:space="0" w:color="auto"/>
          </w:divBdr>
        </w:div>
        <w:div w:id="1644194960">
          <w:marLeft w:val="0"/>
          <w:marRight w:val="0"/>
          <w:marTop w:val="0"/>
          <w:marBottom w:val="0"/>
          <w:divBdr>
            <w:top w:val="none" w:sz="0" w:space="0" w:color="auto"/>
            <w:left w:val="none" w:sz="0" w:space="0" w:color="auto"/>
            <w:bottom w:val="none" w:sz="0" w:space="0" w:color="auto"/>
            <w:right w:val="none" w:sz="0" w:space="0" w:color="auto"/>
          </w:divBdr>
        </w:div>
        <w:div w:id="86854225">
          <w:marLeft w:val="0"/>
          <w:marRight w:val="0"/>
          <w:marTop w:val="0"/>
          <w:marBottom w:val="0"/>
          <w:divBdr>
            <w:top w:val="none" w:sz="0" w:space="0" w:color="auto"/>
            <w:left w:val="none" w:sz="0" w:space="0" w:color="auto"/>
            <w:bottom w:val="none" w:sz="0" w:space="0" w:color="auto"/>
            <w:right w:val="none" w:sz="0" w:space="0" w:color="auto"/>
          </w:divBdr>
        </w:div>
        <w:div w:id="496845671">
          <w:marLeft w:val="0"/>
          <w:marRight w:val="0"/>
          <w:marTop w:val="0"/>
          <w:marBottom w:val="0"/>
          <w:divBdr>
            <w:top w:val="none" w:sz="0" w:space="0" w:color="auto"/>
            <w:left w:val="none" w:sz="0" w:space="0" w:color="auto"/>
            <w:bottom w:val="none" w:sz="0" w:space="0" w:color="auto"/>
            <w:right w:val="none" w:sz="0" w:space="0" w:color="auto"/>
          </w:divBdr>
        </w:div>
        <w:div w:id="1827241030">
          <w:marLeft w:val="0"/>
          <w:marRight w:val="0"/>
          <w:marTop w:val="0"/>
          <w:marBottom w:val="0"/>
          <w:divBdr>
            <w:top w:val="none" w:sz="0" w:space="0" w:color="auto"/>
            <w:left w:val="none" w:sz="0" w:space="0" w:color="auto"/>
            <w:bottom w:val="none" w:sz="0" w:space="0" w:color="auto"/>
            <w:right w:val="none" w:sz="0" w:space="0" w:color="auto"/>
          </w:divBdr>
        </w:div>
        <w:div w:id="1198935802">
          <w:marLeft w:val="0"/>
          <w:marRight w:val="0"/>
          <w:marTop w:val="0"/>
          <w:marBottom w:val="0"/>
          <w:divBdr>
            <w:top w:val="none" w:sz="0" w:space="0" w:color="auto"/>
            <w:left w:val="none" w:sz="0" w:space="0" w:color="auto"/>
            <w:bottom w:val="none" w:sz="0" w:space="0" w:color="auto"/>
            <w:right w:val="none" w:sz="0" w:space="0" w:color="auto"/>
          </w:divBdr>
        </w:div>
        <w:div w:id="1557932723">
          <w:marLeft w:val="0"/>
          <w:marRight w:val="0"/>
          <w:marTop w:val="0"/>
          <w:marBottom w:val="0"/>
          <w:divBdr>
            <w:top w:val="none" w:sz="0" w:space="0" w:color="auto"/>
            <w:left w:val="none" w:sz="0" w:space="0" w:color="auto"/>
            <w:bottom w:val="none" w:sz="0" w:space="0" w:color="auto"/>
            <w:right w:val="none" w:sz="0" w:space="0" w:color="auto"/>
          </w:divBdr>
        </w:div>
      </w:divsChild>
    </w:div>
    <w:div w:id="604074909">
      <w:bodyDiv w:val="1"/>
      <w:marLeft w:val="0"/>
      <w:marRight w:val="0"/>
      <w:marTop w:val="0"/>
      <w:marBottom w:val="0"/>
      <w:divBdr>
        <w:top w:val="none" w:sz="0" w:space="0" w:color="auto"/>
        <w:left w:val="none" w:sz="0" w:space="0" w:color="auto"/>
        <w:bottom w:val="none" w:sz="0" w:space="0" w:color="auto"/>
        <w:right w:val="none" w:sz="0" w:space="0" w:color="auto"/>
      </w:divBdr>
      <w:divsChild>
        <w:div w:id="1989673588">
          <w:marLeft w:val="0"/>
          <w:marRight w:val="0"/>
          <w:marTop w:val="0"/>
          <w:marBottom w:val="0"/>
          <w:divBdr>
            <w:top w:val="none" w:sz="0" w:space="0" w:color="auto"/>
            <w:left w:val="none" w:sz="0" w:space="0" w:color="auto"/>
            <w:bottom w:val="none" w:sz="0" w:space="0" w:color="auto"/>
            <w:right w:val="none" w:sz="0" w:space="0" w:color="auto"/>
          </w:divBdr>
        </w:div>
        <w:div w:id="728721903">
          <w:marLeft w:val="0"/>
          <w:marRight w:val="0"/>
          <w:marTop w:val="0"/>
          <w:marBottom w:val="0"/>
          <w:divBdr>
            <w:top w:val="none" w:sz="0" w:space="0" w:color="auto"/>
            <w:left w:val="none" w:sz="0" w:space="0" w:color="auto"/>
            <w:bottom w:val="none" w:sz="0" w:space="0" w:color="auto"/>
            <w:right w:val="none" w:sz="0" w:space="0" w:color="auto"/>
          </w:divBdr>
        </w:div>
      </w:divsChild>
    </w:div>
    <w:div w:id="643582173">
      <w:bodyDiv w:val="1"/>
      <w:marLeft w:val="0"/>
      <w:marRight w:val="0"/>
      <w:marTop w:val="0"/>
      <w:marBottom w:val="0"/>
      <w:divBdr>
        <w:top w:val="none" w:sz="0" w:space="0" w:color="auto"/>
        <w:left w:val="none" w:sz="0" w:space="0" w:color="auto"/>
        <w:bottom w:val="none" w:sz="0" w:space="0" w:color="auto"/>
        <w:right w:val="none" w:sz="0" w:space="0" w:color="auto"/>
      </w:divBdr>
      <w:divsChild>
        <w:div w:id="1200700611">
          <w:marLeft w:val="0"/>
          <w:marRight w:val="0"/>
          <w:marTop w:val="0"/>
          <w:marBottom w:val="0"/>
          <w:divBdr>
            <w:top w:val="none" w:sz="0" w:space="0" w:color="auto"/>
            <w:left w:val="none" w:sz="0" w:space="0" w:color="auto"/>
            <w:bottom w:val="none" w:sz="0" w:space="0" w:color="auto"/>
            <w:right w:val="none" w:sz="0" w:space="0" w:color="auto"/>
          </w:divBdr>
        </w:div>
        <w:div w:id="435908647">
          <w:marLeft w:val="0"/>
          <w:marRight w:val="0"/>
          <w:marTop w:val="0"/>
          <w:marBottom w:val="0"/>
          <w:divBdr>
            <w:top w:val="none" w:sz="0" w:space="0" w:color="auto"/>
            <w:left w:val="none" w:sz="0" w:space="0" w:color="auto"/>
            <w:bottom w:val="none" w:sz="0" w:space="0" w:color="auto"/>
            <w:right w:val="none" w:sz="0" w:space="0" w:color="auto"/>
          </w:divBdr>
        </w:div>
        <w:div w:id="975529205">
          <w:marLeft w:val="0"/>
          <w:marRight w:val="0"/>
          <w:marTop w:val="0"/>
          <w:marBottom w:val="0"/>
          <w:divBdr>
            <w:top w:val="none" w:sz="0" w:space="0" w:color="auto"/>
            <w:left w:val="none" w:sz="0" w:space="0" w:color="auto"/>
            <w:bottom w:val="none" w:sz="0" w:space="0" w:color="auto"/>
            <w:right w:val="none" w:sz="0" w:space="0" w:color="auto"/>
          </w:divBdr>
        </w:div>
        <w:div w:id="1037966667">
          <w:marLeft w:val="0"/>
          <w:marRight w:val="0"/>
          <w:marTop w:val="0"/>
          <w:marBottom w:val="0"/>
          <w:divBdr>
            <w:top w:val="none" w:sz="0" w:space="0" w:color="auto"/>
            <w:left w:val="none" w:sz="0" w:space="0" w:color="auto"/>
            <w:bottom w:val="none" w:sz="0" w:space="0" w:color="auto"/>
            <w:right w:val="none" w:sz="0" w:space="0" w:color="auto"/>
          </w:divBdr>
        </w:div>
        <w:div w:id="1403143066">
          <w:marLeft w:val="0"/>
          <w:marRight w:val="0"/>
          <w:marTop w:val="0"/>
          <w:marBottom w:val="0"/>
          <w:divBdr>
            <w:top w:val="none" w:sz="0" w:space="0" w:color="auto"/>
            <w:left w:val="none" w:sz="0" w:space="0" w:color="auto"/>
            <w:bottom w:val="none" w:sz="0" w:space="0" w:color="auto"/>
            <w:right w:val="none" w:sz="0" w:space="0" w:color="auto"/>
          </w:divBdr>
        </w:div>
        <w:div w:id="22444449">
          <w:marLeft w:val="0"/>
          <w:marRight w:val="0"/>
          <w:marTop w:val="0"/>
          <w:marBottom w:val="0"/>
          <w:divBdr>
            <w:top w:val="none" w:sz="0" w:space="0" w:color="auto"/>
            <w:left w:val="none" w:sz="0" w:space="0" w:color="auto"/>
            <w:bottom w:val="none" w:sz="0" w:space="0" w:color="auto"/>
            <w:right w:val="none" w:sz="0" w:space="0" w:color="auto"/>
          </w:divBdr>
        </w:div>
        <w:div w:id="1126700251">
          <w:marLeft w:val="0"/>
          <w:marRight w:val="0"/>
          <w:marTop w:val="0"/>
          <w:marBottom w:val="0"/>
          <w:divBdr>
            <w:top w:val="none" w:sz="0" w:space="0" w:color="auto"/>
            <w:left w:val="none" w:sz="0" w:space="0" w:color="auto"/>
            <w:bottom w:val="none" w:sz="0" w:space="0" w:color="auto"/>
            <w:right w:val="none" w:sz="0" w:space="0" w:color="auto"/>
          </w:divBdr>
        </w:div>
        <w:div w:id="691497047">
          <w:marLeft w:val="0"/>
          <w:marRight w:val="0"/>
          <w:marTop w:val="0"/>
          <w:marBottom w:val="0"/>
          <w:divBdr>
            <w:top w:val="none" w:sz="0" w:space="0" w:color="auto"/>
            <w:left w:val="none" w:sz="0" w:space="0" w:color="auto"/>
            <w:bottom w:val="none" w:sz="0" w:space="0" w:color="auto"/>
            <w:right w:val="none" w:sz="0" w:space="0" w:color="auto"/>
          </w:divBdr>
        </w:div>
        <w:div w:id="2076120743">
          <w:marLeft w:val="0"/>
          <w:marRight w:val="0"/>
          <w:marTop w:val="0"/>
          <w:marBottom w:val="0"/>
          <w:divBdr>
            <w:top w:val="none" w:sz="0" w:space="0" w:color="auto"/>
            <w:left w:val="none" w:sz="0" w:space="0" w:color="auto"/>
            <w:bottom w:val="none" w:sz="0" w:space="0" w:color="auto"/>
            <w:right w:val="none" w:sz="0" w:space="0" w:color="auto"/>
          </w:divBdr>
        </w:div>
        <w:div w:id="6836848">
          <w:marLeft w:val="0"/>
          <w:marRight w:val="0"/>
          <w:marTop w:val="0"/>
          <w:marBottom w:val="0"/>
          <w:divBdr>
            <w:top w:val="none" w:sz="0" w:space="0" w:color="auto"/>
            <w:left w:val="none" w:sz="0" w:space="0" w:color="auto"/>
            <w:bottom w:val="none" w:sz="0" w:space="0" w:color="auto"/>
            <w:right w:val="none" w:sz="0" w:space="0" w:color="auto"/>
          </w:divBdr>
        </w:div>
        <w:div w:id="1043670487">
          <w:marLeft w:val="0"/>
          <w:marRight w:val="0"/>
          <w:marTop w:val="0"/>
          <w:marBottom w:val="0"/>
          <w:divBdr>
            <w:top w:val="none" w:sz="0" w:space="0" w:color="auto"/>
            <w:left w:val="none" w:sz="0" w:space="0" w:color="auto"/>
            <w:bottom w:val="none" w:sz="0" w:space="0" w:color="auto"/>
            <w:right w:val="none" w:sz="0" w:space="0" w:color="auto"/>
          </w:divBdr>
        </w:div>
        <w:div w:id="817768175">
          <w:marLeft w:val="0"/>
          <w:marRight w:val="0"/>
          <w:marTop w:val="0"/>
          <w:marBottom w:val="0"/>
          <w:divBdr>
            <w:top w:val="none" w:sz="0" w:space="0" w:color="auto"/>
            <w:left w:val="none" w:sz="0" w:space="0" w:color="auto"/>
            <w:bottom w:val="none" w:sz="0" w:space="0" w:color="auto"/>
            <w:right w:val="none" w:sz="0" w:space="0" w:color="auto"/>
          </w:divBdr>
        </w:div>
      </w:divsChild>
    </w:div>
    <w:div w:id="707879174">
      <w:bodyDiv w:val="1"/>
      <w:marLeft w:val="0"/>
      <w:marRight w:val="0"/>
      <w:marTop w:val="0"/>
      <w:marBottom w:val="0"/>
      <w:divBdr>
        <w:top w:val="none" w:sz="0" w:space="0" w:color="auto"/>
        <w:left w:val="none" w:sz="0" w:space="0" w:color="auto"/>
        <w:bottom w:val="none" w:sz="0" w:space="0" w:color="auto"/>
        <w:right w:val="none" w:sz="0" w:space="0" w:color="auto"/>
      </w:divBdr>
      <w:divsChild>
        <w:div w:id="1328750174">
          <w:marLeft w:val="0"/>
          <w:marRight w:val="0"/>
          <w:marTop w:val="0"/>
          <w:marBottom w:val="0"/>
          <w:divBdr>
            <w:top w:val="none" w:sz="0" w:space="0" w:color="auto"/>
            <w:left w:val="none" w:sz="0" w:space="0" w:color="auto"/>
            <w:bottom w:val="none" w:sz="0" w:space="0" w:color="auto"/>
            <w:right w:val="none" w:sz="0" w:space="0" w:color="auto"/>
          </w:divBdr>
        </w:div>
        <w:div w:id="273098614">
          <w:marLeft w:val="0"/>
          <w:marRight w:val="0"/>
          <w:marTop w:val="0"/>
          <w:marBottom w:val="0"/>
          <w:divBdr>
            <w:top w:val="none" w:sz="0" w:space="0" w:color="auto"/>
            <w:left w:val="none" w:sz="0" w:space="0" w:color="auto"/>
            <w:bottom w:val="none" w:sz="0" w:space="0" w:color="auto"/>
            <w:right w:val="none" w:sz="0" w:space="0" w:color="auto"/>
          </w:divBdr>
        </w:div>
        <w:div w:id="2102413701">
          <w:marLeft w:val="0"/>
          <w:marRight w:val="0"/>
          <w:marTop w:val="0"/>
          <w:marBottom w:val="0"/>
          <w:divBdr>
            <w:top w:val="none" w:sz="0" w:space="0" w:color="auto"/>
            <w:left w:val="none" w:sz="0" w:space="0" w:color="auto"/>
            <w:bottom w:val="none" w:sz="0" w:space="0" w:color="auto"/>
            <w:right w:val="none" w:sz="0" w:space="0" w:color="auto"/>
          </w:divBdr>
        </w:div>
        <w:div w:id="364140134">
          <w:marLeft w:val="0"/>
          <w:marRight w:val="0"/>
          <w:marTop w:val="0"/>
          <w:marBottom w:val="0"/>
          <w:divBdr>
            <w:top w:val="none" w:sz="0" w:space="0" w:color="auto"/>
            <w:left w:val="none" w:sz="0" w:space="0" w:color="auto"/>
            <w:bottom w:val="none" w:sz="0" w:space="0" w:color="auto"/>
            <w:right w:val="none" w:sz="0" w:space="0" w:color="auto"/>
          </w:divBdr>
        </w:div>
      </w:divsChild>
    </w:div>
    <w:div w:id="723219020">
      <w:bodyDiv w:val="1"/>
      <w:marLeft w:val="0"/>
      <w:marRight w:val="0"/>
      <w:marTop w:val="0"/>
      <w:marBottom w:val="0"/>
      <w:divBdr>
        <w:top w:val="none" w:sz="0" w:space="0" w:color="auto"/>
        <w:left w:val="none" w:sz="0" w:space="0" w:color="auto"/>
        <w:bottom w:val="none" w:sz="0" w:space="0" w:color="auto"/>
        <w:right w:val="none" w:sz="0" w:space="0" w:color="auto"/>
      </w:divBdr>
      <w:divsChild>
        <w:div w:id="820465037">
          <w:marLeft w:val="0"/>
          <w:marRight w:val="0"/>
          <w:marTop w:val="0"/>
          <w:marBottom w:val="0"/>
          <w:divBdr>
            <w:top w:val="none" w:sz="0" w:space="0" w:color="auto"/>
            <w:left w:val="none" w:sz="0" w:space="0" w:color="auto"/>
            <w:bottom w:val="none" w:sz="0" w:space="0" w:color="auto"/>
            <w:right w:val="none" w:sz="0" w:space="0" w:color="auto"/>
          </w:divBdr>
        </w:div>
        <w:div w:id="1039017037">
          <w:marLeft w:val="0"/>
          <w:marRight w:val="0"/>
          <w:marTop w:val="0"/>
          <w:marBottom w:val="0"/>
          <w:divBdr>
            <w:top w:val="none" w:sz="0" w:space="0" w:color="auto"/>
            <w:left w:val="none" w:sz="0" w:space="0" w:color="auto"/>
            <w:bottom w:val="none" w:sz="0" w:space="0" w:color="auto"/>
            <w:right w:val="none" w:sz="0" w:space="0" w:color="auto"/>
          </w:divBdr>
        </w:div>
      </w:divsChild>
    </w:div>
    <w:div w:id="851722742">
      <w:bodyDiv w:val="1"/>
      <w:marLeft w:val="0"/>
      <w:marRight w:val="0"/>
      <w:marTop w:val="0"/>
      <w:marBottom w:val="0"/>
      <w:divBdr>
        <w:top w:val="none" w:sz="0" w:space="0" w:color="auto"/>
        <w:left w:val="none" w:sz="0" w:space="0" w:color="auto"/>
        <w:bottom w:val="none" w:sz="0" w:space="0" w:color="auto"/>
        <w:right w:val="none" w:sz="0" w:space="0" w:color="auto"/>
      </w:divBdr>
      <w:divsChild>
        <w:div w:id="148794099">
          <w:marLeft w:val="0"/>
          <w:marRight w:val="0"/>
          <w:marTop w:val="0"/>
          <w:marBottom w:val="0"/>
          <w:divBdr>
            <w:top w:val="none" w:sz="0" w:space="0" w:color="auto"/>
            <w:left w:val="none" w:sz="0" w:space="0" w:color="auto"/>
            <w:bottom w:val="none" w:sz="0" w:space="0" w:color="auto"/>
            <w:right w:val="none" w:sz="0" w:space="0" w:color="auto"/>
          </w:divBdr>
        </w:div>
        <w:div w:id="631209042">
          <w:marLeft w:val="0"/>
          <w:marRight w:val="0"/>
          <w:marTop w:val="0"/>
          <w:marBottom w:val="0"/>
          <w:divBdr>
            <w:top w:val="none" w:sz="0" w:space="0" w:color="auto"/>
            <w:left w:val="none" w:sz="0" w:space="0" w:color="auto"/>
            <w:bottom w:val="none" w:sz="0" w:space="0" w:color="auto"/>
            <w:right w:val="none" w:sz="0" w:space="0" w:color="auto"/>
          </w:divBdr>
        </w:div>
        <w:div w:id="2045518623">
          <w:marLeft w:val="0"/>
          <w:marRight w:val="0"/>
          <w:marTop w:val="0"/>
          <w:marBottom w:val="0"/>
          <w:divBdr>
            <w:top w:val="none" w:sz="0" w:space="0" w:color="auto"/>
            <w:left w:val="none" w:sz="0" w:space="0" w:color="auto"/>
            <w:bottom w:val="none" w:sz="0" w:space="0" w:color="auto"/>
            <w:right w:val="none" w:sz="0" w:space="0" w:color="auto"/>
          </w:divBdr>
        </w:div>
        <w:div w:id="1615400562">
          <w:marLeft w:val="0"/>
          <w:marRight w:val="0"/>
          <w:marTop w:val="0"/>
          <w:marBottom w:val="0"/>
          <w:divBdr>
            <w:top w:val="none" w:sz="0" w:space="0" w:color="auto"/>
            <w:left w:val="none" w:sz="0" w:space="0" w:color="auto"/>
            <w:bottom w:val="none" w:sz="0" w:space="0" w:color="auto"/>
            <w:right w:val="none" w:sz="0" w:space="0" w:color="auto"/>
          </w:divBdr>
        </w:div>
        <w:div w:id="722800875">
          <w:marLeft w:val="0"/>
          <w:marRight w:val="0"/>
          <w:marTop w:val="0"/>
          <w:marBottom w:val="0"/>
          <w:divBdr>
            <w:top w:val="none" w:sz="0" w:space="0" w:color="auto"/>
            <w:left w:val="none" w:sz="0" w:space="0" w:color="auto"/>
            <w:bottom w:val="none" w:sz="0" w:space="0" w:color="auto"/>
            <w:right w:val="none" w:sz="0" w:space="0" w:color="auto"/>
          </w:divBdr>
        </w:div>
        <w:div w:id="496920037">
          <w:marLeft w:val="0"/>
          <w:marRight w:val="0"/>
          <w:marTop w:val="0"/>
          <w:marBottom w:val="0"/>
          <w:divBdr>
            <w:top w:val="none" w:sz="0" w:space="0" w:color="auto"/>
            <w:left w:val="none" w:sz="0" w:space="0" w:color="auto"/>
            <w:bottom w:val="none" w:sz="0" w:space="0" w:color="auto"/>
            <w:right w:val="none" w:sz="0" w:space="0" w:color="auto"/>
          </w:divBdr>
        </w:div>
        <w:div w:id="919950207">
          <w:marLeft w:val="0"/>
          <w:marRight w:val="0"/>
          <w:marTop w:val="0"/>
          <w:marBottom w:val="0"/>
          <w:divBdr>
            <w:top w:val="none" w:sz="0" w:space="0" w:color="auto"/>
            <w:left w:val="none" w:sz="0" w:space="0" w:color="auto"/>
            <w:bottom w:val="none" w:sz="0" w:space="0" w:color="auto"/>
            <w:right w:val="none" w:sz="0" w:space="0" w:color="auto"/>
          </w:divBdr>
        </w:div>
        <w:div w:id="1405490646">
          <w:marLeft w:val="0"/>
          <w:marRight w:val="0"/>
          <w:marTop w:val="0"/>
          <w:marBottom w:val="0"/>
          <w:divBdr>
            <w:top w:val="none" w:sz="0" w:space="0" w:color="auto"/>
            <w:left w:val="none" w:sz="0" w:space="0" w:color="auto"/>
            <w:bottom w:val="none" w:sz="0" w:space="0" w:color="auto"/>
            <w:right w:val="none" w:sz="0" w:space="0" w:color="auto"/>
          </w:divBdr>
        </w:div>
        <w:div w:id="1129589315">
          <w:marLeft w:val="0"/>
          <w:marRight w:val="0"/>
          <w:marTop w:val="0"/>
          <w:marBottom w:val="0"/>
          <w:divBdr>
            <w:top w:val="none" w:sz="0" w:space="0" w:color="auto"/>
            <w:left w:val="none" w:sz="0" w:space="0" w:color="auto"/>
            <w:bottom w:val="none" w:sz="0" w:space="0" w:color="auto"/>
            <w:right w:val="none" w:sz="0" w:space="0" w:color="auto"/>
          </w:divBdr>
        </w:div>
        <w:div w:id="1920095771">
          <w:marLeft w:val="0"/>
          <w:marRight w:val="0"/>
          <w:marTop w:val="0"/>
          <w:marBottom w:val="0"/>
          <w:divBdr>
            <w:top w:val="none" w:sz="0" w:space="0" w:color="auto"/>
            <w:left w:val="none" w:sz="0" w:space="0" w:color="auto"/>
            <w:bottom w:val="none" w:sz="0" w:space="0" w:color="auto"/>
            <w:right w:val="none" w:sz="0" w:space="0" w:color="auto"/>
          </w:divBdr>
        </w:div>
        <w:div w:id="1925602249">
          <w:marLeft w:val="0"/>
          <w:marRight w:val="0"/>
          <w:marTop w:val="0"/>
          <w:marBottom w:val="0"/>
          <w:divBdr>
            <w:top w:val="none" w:sz="0" w:space="0" w:color="auto"/>
            <w:left w:val="none" w:sz="0" w:space="0" w:color="auto"/>
            <w:bottom w:val="none" w:sz="0" w:space="0" w:color="auto"/>
            <w:right w:val="none" w:sz="0" w:space="0" w:color="auto"/>
          </w:divBdr>
        </w:div>
        <w:div w:id="1349287619">
          <w:marLeft w:val="0"/>
          <w:marRight w:val="0"/>
          <w:marTop w:val="0"/>
          <w:marBottom w:val="0"/>
          <w:divBdr>
            <w:top w:val="none" w:sz="0" w:space="0" w:color="auto"/>
            <w:left w:val="none" w:sz="0" w:space="0" w:color="auto"/>
            <w:bottom w:val="none" w:sz="0" w:space="0" w:color="auto"/>
            <w:right w:val="none" w:sz="0" w:space="0" w:color="auto"/>
          </w:divBdr>
        </w:div>
      </w:divsChild>
    </w:div>
    <w:div w:id="1140533986">
      <w:bodyDiv w:val="1"/>
      <w:marLeft w:val="0"/>
      <w:marRight w:val="0"/>
      <w:marTop w:val="0"/>
      <w:marBottom w:val="0"/>
      <w:divBdr>
        <w:top w:val="none" w:sz="0" w:space="0" w:color="auto"/>
        <w:left w:val="none" w:sz="0" w:space="0" w:color="auto"/>
        <w:bottom w:val="none" w:sz="0" w:space="0" w:color="auto"/>
        <w:right w:val="none" w:sz="0" w:space="0" w:color="auto"/>
      </w:divBdr>
      <w:divsChild>
        <w:div w:id="950942788">
          <w:marLeft w:val="0"/>
          <w:marRight w:val="0"/>
          <w:marTop w:val="0"/>
          <w:marBottom w:val="0"/>
          <w:divBdr>
            <w:top w:val="none" w:sz="0" w:space="0" w:color="auto"/>
            <w:left w:val="none" w:sz="0" w:space="0" w:color="auto"/>
            <w:bottom w:val="none" w:sz="0" w:space="0" w:color="auto"/>
            <w:right w:val="none" w:sz="0" w:space="0" w:color="auto"/>
          </w:divBdr>
        </w:div>
        <w:div w:id="464810941">
          <w:marLeft w:val="0"/>
          <w:marRight w:val="0"/>
          <w:marTop w:val="0"/>
          <w:marBottom w:val="0"/>
          <w:divBdr>
            <w:top w:val="none" w:sz="0" w:space="0" w:color="auto"/>
            <w:left w:val="none" w:sz="0" w:space="0" w:color="auto"/>
            <w:bottom w:val="none" w:sz="0" w:space="0" w:color="auto"/>
            <w:right w:val="none" w:sz="0" w:space="0" w:color="auto"/>
          </w:divBdr>
        </w:div>
        <w:div w:id="1462454197">
          <w:marLeft w:val="0"/>
          <w:marRight w:val="0"/>
          <w:marTop w:val="0"/>
          <w:marBottom w:val="0"/>
          <w:divBdr>
            <w:top w:val="none" w:sz="0" w:space="0" w:color="auto"/>
            <w:left w:val="none" w:sz="0" w:space="0" w:color="auto"/>
            <w:bottom w:val="none" w:sz="0" w:space="0" w:color="auto"/>
            <w:right w:val="none" w:sz="0" w:space="0" w:color="auto"/>
          </w:divBdr>
        </w:div>
        <w:div w:id="44136978">
          <w:marLeft w:val="0"/>
          <w:marRight w:val="0"/>
          <w:marTop w:val="0"/>
          <w:marBottom w:val="0"/>
          <w:divBdr>
            <w:top w:val="none" w:sz="0" w:space="0" w:color="auto"/>
            <w:left w:val="none" w:sz="0" w:space="0" w:color="auto"/>
            <w:bottom w:val="none" w:sz="0" w:space="0" w:color="auto"/>
            <w:right w:val="none" w:sz="0" w:space="0" w:color="auto"/>
          </w:divBdr>
        </w:div>
        <w:div w:id="863440108">
          <w:marLeft w:val="0"/>
          <w:marRight w:val="0"/>
          <w:marTop w:val="0"/>
          <w:marBottom w:val="0"/>
          <w:divBdr>
            <w:top w:val="none" w:sz="0" w:space="0" w:color="auto"/>
            <w:left w:val="none" w:sz="0" w:space="0" w:color="auto"/>
            <w:bottom w:val="none" w:sz="0" w:space="0" w:color="auto"/>
            <w:right w:val="none" w:sz="0" w:space="0" w:color="auto"/>
          </w:divBdr>
        </w:div>
        <w:div w:id="1094396783">
          <w:marLeft w:val="0"/>
          <w:marRight w:val="0"/>
          <w:marTop w:val="0"/>
          <w:marBottom w:val="0"/>
          <w:divBdr>
            <w:top w:val="none" w:sz="0" w:space="0" w:color="auto"/>
            <w:left w:val="none" w:sz="0" w:space="0" w:color="auto"/>
            <w:bottom w:val="none" w:sz="0" w:space="0" w:color="auto"/>
            <w:right w:val="none" w:sz="0" w:space="0" w:color="auto"/>
          </w:divBdr>
        </w:div>
        <w:div w:id="1268538398">
          <w:marLeft w:val="0"/>
          <w:marRight w:val="0"/>
          <w:marTop w:val="0"/>
          <w:marBottom w:val="0"/>
          <w:divBdr>
            <w:top w:val="none" w:sz="0" w:space="0" w:color="auto"/>
            <w:left w:val="none" w:sz="0" w:space="0" w:color="auto"/>
            <w:bottom w:val="none" w:sz="0" w:space="0" w:color="auto"/>
            <w:right w:val="none" w:sz="0" w:space="0" w:color="auto"/>
          </w:divBdr>
        </w:div>
        <w:div w:id="554970791">
          <w:marLeft w:val="0"/>
          <w:marRight w:val="0"/>
          <w:marTop w:val="0"/>
          <w:marBottom w:val="0"/>
          <w:divBdr>
            <w:top w:val="none" w:sz="0" w:space="0" w:color="auto"/>
            <w:left w:val="none" w:sz="0" w:space="0" w:color="auto"/>
            <w:bottom w:val="none" w:sz="0" w:space="0" w:color="auto"/>
            <w:right w:val="none" w:sz="0" w:space="0" w:color="auto"/>
          </w:divBdr>
        </w:div>
        <w:div w:id="1407608627">
          <w:marLeft w:val="0"/>
          <w:marRight w:val="0"/>
          <w:marTop w:val="0"/>
          <w:marBottom w:val="0"/>
          <w:divBdr>
            <w:top w:val="none" w:sz="0" w:space="0" w:color="auto"/>
            <w:left w:val="none" w:sz="0" w:space="0" w:color="auto"/>
            <w:bottom w:val="none" w:sz="0" w:space="0" w:color="auto"/>
            <w:right w:val="none" w:sz="0" w:space="0" w:color="auto"/>
          </w:divBdr>
        </w:div>
        <w:div w:id="1171214520">
          <w:marLeft w:val="0"/>
          <w:marRight w:val="0"/>
          <w:marTop w:val="0"/>
          <w:marBottom w:val="0"/>
          <w:divBdr>
            <w:top w:val="none" w:sz="0" w:space="0" w:color="auto"/>
            <w:left w:val="none" w:sz="0" w:space="0" w:color="auto"/>
            <w:bottom w:val="none" w:sz="0" w:space="0" w:color="auto"/>
            <w:right w:val="none" w:sz="0" w:space="0" w:color="auto"/>
          </w:divBdr>
        </w:div>
      </w:divsChild>
    </w:div>
    <w:div w:id="1495143123">
      <w:bodyDiv w:val="1"/>
      <w:marLeft w:val="0"/>
      <w:marRight w:val="0"/>
      <w:marTop w:val="0"/>
      <w:marBottom w:val="0"/>
      <w:divBdr>
        <w:top w:val="none" w:sz="0" w:space="0" w:color="auto"/>
        <w:left w:val="none" w:sz="0" w:space="0" w:color="auto"/>
        <w:bottom w:val="none" w:sz="0" w:space="0" w:color="auto"/>
        <w:right w:val="none" w:sz="0" w:space="0" w:color="auto"/>
      </w:divBdr>
      <w:divsChild>
        <w:div w:id="515583276">
          <w:marLeft w:val="0"/>
          <w:marRight w:val="0"/>
          <w:marTop w:val="0"/>
          <w:marBottom w:val="0"/>
          <w:divBdr>
            <w:top w:val="none" w:sz="0" w:space="0" w:color="auto"/>
            <w:left w:val="none" w:sz="0" w:space="0" w:color="auto"/>
            <w:bottom w:val="none" w:sz="0" w:space="0" w:color="auto"/>
            <w:right w:val="none" w:sz="0" w:space="0" w:color="auto"/>
          </w:divBdr>
        </w:div>
        <w:div w:id="2065911177">
          <w:marLeft w:val="0"/>
          <w:marRight w:val="0"/>
          <w:marTop w:val="0"/>
          <w:marBottom w:val="0"/>
          <w:divBdr>
            <w:top w:val="none" w:sz="0" w:space="0" w:color="auto"/>
            <w:left w:val="none" w:sz="0" w:space="0" w:color="auto"/>
            <w:bottom w:val="none" w:sz="0" w:space="0" w:color="auto"/>
            <w:right w:val="none" w:sz="0" w:space="0" w:color="auto"/>
          </w:divBdr>
        </w:div>
        <w:div w:id="820390305">
          <w:marLeft w:val="0"/>
          <w:marRight w:val="0"/>
          <w:marTop w:val="0"/>
          <w:marBottom w:val="0"/>
          <w:divBdr>
            <w:top w:val="none" w:sz="0" w:space="0" w:color="auto"/>
            <w:left w:val="none" w:sz="0" w:space="0" w:color="auto"/>
            <w:bottom w:val="none" w:sz="0" w:space="0" w:color="auto"/>
            <w:right w:val="none" w:sz="0" w:space="0" w:color="auto"/>
          </w:divBdr>
        </w:div>
        <w:div w:id="151068049">
          <w:marLeft w:val="0"/>
          <w:marRight w:val="0"/>
          <w:marTop w:val="0"/>
          <w:marBottom w:val="0"/>
          <w:divBdr>
            <w:top w:val="none" w:sz="0" w:space="0" w:color="auto"/>
            <w:left w:val="none" w:sz="0" w:space="0" w:color="auto"/>
            <w:bottom w:val="none" w:sz="0" w:space="0" w:color="auto"/>
            <w:right w:val="none" w:sz="0" w:space="0" w:color="auto"/>
          </w:divBdr>
        </w:div>
        <w:div w:id="1230769887">
          <w:marLeft w:val="0"/>
          <w:marRight w:val="0"/>
          <w:marTop w:val="0"/>
          <w:marBottom w:val="0"/>
          <w:divBdr>
            <w:top w:val="none" w:sz="0" w:space="0" w:color="auto"/>
            <w:left w:val="none" w:sz="0" w:space="0" w:color="auto"/>
            <w:bottom w:val="none" w:sz="0" w:space="0" w:color="auto"/>
            <w:right w:val="none" w:sz="0" w:space="0" w:color="auto"/>
          </w:divBdr>
        </w:div>
        <w:div w:id="229271784">
          <w:marLeft w:val="0"/>
          <w:marRight w:val="0"/>
          <w:marTop w:val="0"/>
          <w:marBottom w:val="0"/>
          <w:divBdr>
            <w:top w:val="none" w:sz="0" w:space="0" w:color="auto"/>
            <w:left w:val="none" w:sz="0" w:space="0" w:color="auto"/>
            <w:bottom w:val="none" w:sz="0" w:space="0" w:color="auto"/>
            <w:right w:val="none" w:sz="0" w:space="0" w:color="auto"/>
          </w:divBdr>
        </w:div>
        <w:div w:id="1086150782">
          <w:marLeft w:val="0"/>
          <w:marRight w:val="0"/>
          <w:marTop w:val="0"/>
          <w:marBottom w:val="0"/>
          <w:divBdr>
            <w:top w:val="none" w:sz="0" w:space="0" w:color="auto"/>
            <w:left w:val="none" w:sz="0" w:space="0" w:color="auto"/>
            <w:bottom w:val="none" w:sz="0" w:space="0" w:color="auto"/>
            <w:right w:val="none" w:sz="0" w:space="0" w:color="auto"/>
          </w:divBdr>
        </w:div>
        <w:div w:id="1840581557">
          <w:marLeft w:val="0"/>
          <w:marRight w:val="0"/>
          <w:marTop w:val="0"/>
          <w:marBottom w:val="0"/>
          <w:divBdr>
            <w:top w:val="none" w:sz="0" w:space="0" w:color="auto"/>
            <w:left w:val="none" w:sz="0" w:space="0" w:color="auto"/>
            <w:bottom w:val="none" w:sz="0" w:space="0" w:color="auto"/>
            <w:right w:val="none" w:sz="0" w:space="0" w:color="auto"/>
          </w:divBdr>
        </w:div>
        <w:div w:id="719596526">
          <w:marLeft w:val="0"/>
          <w:marRight w:val="0"/>
          <w:marTop w:val="0"/>
          <w:marBottom w:val="0"/>
          <w:divBdr>
            <w:top w:val="none" w:sz="0" w:space="0" w:color="auto"/>
            <w:left w:val="none" w:sz="0" w:space="0" w:color="auto"/>
            <w:bottom w:val="none" w:sz="0" w:space="0" w:color="auto"/>
            <w:right w:val="none" w:sz="0" w:space="0" w:color="auto"/>
          </w:divBdr>
        </w:div>
        <w:div w:id="1905749225">
          <w:marLeft w:val="0"/>
          <w:marRight w:val="0"/>
          <w:marTop w:val="0"/>
          <w:marBottom w:val="0"/>
          <w:divBdr>
            <w:top w:val="none" w:sz="0" w:space="0" w:color="auto"/>
            <w:left w:val="none" w:sz="0" w:space="0" w:color="auto"/>
            <w:bottom w:val="none" w:sz="0" w:space="0" w:color="auto"/>
            <w:right w:val="none" w:sz="0" w:space="0" w:color="auto"/>
          </w:divBdr>
        </w:div>
      </w:divsChild>
    </w:div>
    <w:div w:id="1526211249">
      <w:bodyDiv w:val="1"/>
      <w:marLeft w:val="0"/>
      <w:marRight w:val="0"/>
      <w:marTop w:val="0"/>
      <w:marBottom w:val="0"/>
      <w:divBdr>
        <w:top w:val="none" w:sz="0" w:space="0" w:color="auto"/>
        <w:left w:val="none" w:sz="0" w:space="0" w:color="auto"/>
        <w:bottom w:val="none" w:sz="0" w:space="0" w:color="auto"/>
        <w:right w:val="none" w:sz="0" w:space="0" w:color="auto"/>
      </w:divBdr>
      <w:divsChild>
        <w:div w:id="1049064004">
          <w:marLeft w:val="0"/>
          <w:marRight w:val="0"/>
          <w:marTop w:val="0"/>
          <w:marBottom w:val="0"/>
          <w:divBdr>
            <w:top w:val="none" w:sz="0" w:space="0" w:color="auto"/>
            <w:left w:val="none" w:sz="0" w:space="0" w:color="auto"/>
            <w:bottom w:val="none" w:sz="0" w:space="0" w:color="auto"/>
            <w:right w:val="none" w:sz="0" w:space="0" w:color="auto"/>
          </w:divBdr>
        </w:div>
        <w:div w:id="1198347839">
          <w:marLeft w:val="0"/>
          <w:marRight w:val="0"/>
          <w:marTop w:val="0"/>
          <w:marBottom w:val="0"/>
          <w:divBdr>
            <w:top w:val="none" w:sz="0" w:space="0" w:color="auto"/>
            <w:left w:val="none" w:sz="0" w:space="0" w:color="auto"/>
            <w:bottom w:val="none" w:sz="0" w:space="0" w:color="auto"/>
            <w:right w:val="none" w:sz="0" w:space="0" w:color="auto"/>
          </w:divBdr>
        </w:div>
        <w:div w:id="1088383800">
          <w:marLeft w:val="0"/>
          <w:marRight w:val="0"/>
          <w:marTop w:val="0"/>
          <w:marBottom w:val="0"/>
          <w:divBdr>
            <w:top w:val="none" w:sz="0" w:space="0" w:color="auto"/>
            <w:left w:val="none" w:sz="0" w:space="0" w:color="auto"/>
            <w:bottom w:val="none" w:sz="0" w:space="0" w:color="auto"/>
            <w:right w:val="none" w:sz="0" w:space="0" w:color="auto"/>
          </w:divBdr>
        </w:div>
        <w:div w:id="1487937818">
          <w:marLeft w:val="0"/>
          <w:marRight w:val="0"/>
          <w:marTop w:val="0"/>
          <w:marBottom w:val="0"/>
          <w:divBdr>
            <w:top w:val="none" w:sz="0" w:space="0" w:color="auto"/>
            <w:left w:val="none" w:sz="0" w:space="0" w:color="auto"/>
            <w:bottom w:val="none" w:sz="0" w:space="0" w:color="auto"/>
            <w:right w:val="none" w:sz="0" w:space="0" w:color="auto"/>
          </w:divBdr>
        </w:div>
        <w:div w:id="2004383836">
          <w:marLeft w:val="0"/>
          <w:marRight w:val="0"/>
          <w:marTop w:val="0"/>
          <w:marBottom w:val="0"/>
          <w:divBdr>
            <w:top w:val="none" w:sz="0" w:space="0" w:color="auto"/>
            <w:left w:val="none" w:sz="0" w:space="0" w:color="auto"/>
            <w:bottom w:val="none" w:sz="0" w:space="0" w:color="auto"/>
            <w:right w:val="none" w:sz="0" w:space="0" w:color="auto"/>
          </w:divBdr>
        </w:div>
        <w:div w:id="73935674">
          <w:marLeft w:val="0"/>
          <w:marRight w:val="0"/>
          <w:marTop w:val="0"/>
          <w:marBottom w:val="0"/>
          <w:divBdr>
            <w:top w:val="none" w:sz="0" w:space="0" w:color="auto"/>
            <w:left w:val="none" w:sz="0" w:space="0" w:color="auto"/>
            <w:bottom w:val="none" w:sz="0" w:space="0" w:color="auto"/>
            <w:right w:val="none" w:sz="0" w:space="0" w:color="auto"/>
          </w:divBdr>
        </w:div>
      </w:divsChild>
    </w:div>
    <w:div w:id="1612280351">
      <w:bodyDiv w:val="1"/>
      <w:marLeft w:val="0"/>
      <w:marRight w:val="0"/>
      <w:marTop w:val="0"/>
      <w:marBottom w:val="0"/>
      <w:divBdr>
        <w:top w:val="none" w:sz="0" w:space="0" w:color="auto"/>
        <w:left w:val="none" w:sz="0" w:space="0" w:color="auto"/>
        <w:bottom w:val="none" w:sz="0" w:space="0" w:color="auto"/>
        <w:right w:val="none" w:sz="0" w:space="0" w:color="auto"/>
      </w:divBdr>
      <w:divsChild>
        <w:div w:id="1247156396">
          <w:marLeft w:val="0"/>
          <w:marRight w:val="0"/>
          <w:marTop w:val="0"/>
          <w:marBottom w:val="0"/>
          <w:divBdr>
            <w:top w:val="none" w:sz="0" w:space="0" w:color="auto"/>
            <w:left w:val="none" w:sz="0" w:space="0" w:color="auto"/>
            <w:bottom w:val="none" w:sz="0" w:space="0" w:color="auto"/>
            <w:right w:val="none" w:sz="0" w:space="0" w:color="auto"/>
          </w:divBdr>
        </w:div>
        <w:div w:id="2126338853">
          <w:marLeft w:val="0"/>
          <w:marRight w:val="0"/>
          <w:marTop w:val="0"/>
          <w:marBottom w:val="0"/>
          <w:divBdr>
            <w:top w:val="none" w:sz="0" w:space="0" w:color="auto"/>
            <w:left w:val="none" w:sz="0" w:space="0" w:color="auto"/>
            <w:bottom w:val="none" w:sz="0" w:space="0" w:color="auto"/>
            <w:right w:val="none" w:sz="0" w:space="0" w:color="auto"/>
          </w:divBdr>
        </w:div>
        <w:div w:id="1085036716">
          <w:marLeft w:val="0"/>
          <w:marRight w:val="0"/>
          <w:marTop w:val="0"/>
          <w:marBottom w:val="0"/>
          <w:divBdr>
            <w:top w:val="none" w:sz="0" w:space="0" w:color="auto"/>
            <w:left w:val="none" w:sz="0" w:space="0" w:color="auto"/>
            <w:bottom w:val="none" w:sz="0" w:space="0" w:color="auto"/>
            <w:right w:val="none" w:sz="0" w:space="0" w:color="auto"/>
          </w:divBdr>
        </w:div>
        <w:div w:id="1555894317">
          <w:marLeft w:val="0"/>
          <w:marRight w:val="0"/>
          <w:marTop w:val="0"/>
          <w:marBottom w:val="0"/>
          <w:divBdr>
            <w:top w:val="none" w:sz="0" w:space="0" w:color="auto"/>
            <w:left w:val="none" w:sz="0" w:space="0" w:color="auto"/>
            <w:bottom w:val="none" w:sz="0" w:space="0" w:color="auto"/>
            <w:right w:val="none" w:sz="0" w:space="0" w:color="auto"/>
          </w:divBdr>
        </w:div>
        <w:div w:id="273901368">
          <w:marLeft w:val="0"/>
          <w:marRight w:val="0"/>
          <w:marTop w:val="0"/>
          <w:marBottom w:val="0"/>
          <w:divBdr>
            <w:top w:val="none" w:sz="0" w:space="0" w:color="auto"/>
            <w:left w:val="none" w:sz="0" w:space="0" w:color="auto"/>
            <w:bottom w:val="none" w:sz="0" w:space="0" w:color="auto"/>
            <w:right w:val="none" w:sz="0" w:space="0" w:color="auto"/>
          </w:divBdr>
        </w:div>
        <w:div w:id="2097822909">
          <w:marLeft w:val="0"/>
          <w:marRight w:val="0"/>
          <w:marTop w:val="0"/>
          <w:marBottom w:val="0"/>
          <w:divBdr>
            <w:top w:val="none" w:sz="0" w:space="0" w:color="auto"/>
            <w:left w:val="none" w:sz="0" w:space="0" w:color="auto"/>
            <w:bottom w:val="none" w:sz="0" w:space="0" w:color="auto"/>
            <w:right w:val="none" w:sz="0" w:space="0" w:color="auto"/>
          </w:divBdr>
        </w:div>
        <w:div w:id="884752741">
          <w:marLeft w:val="0"/>
          <w:marRight w:val="0"/>
          <w:marTop w:val="0"/>
          <w:marBottom w:val="0"/>
          <w:divBdr>
            <w:top w:val="none" w:sz="0" w:space="0" w:color="auto"/>
            <w:left w:val="none" w:sz="0" w:space="0" w:color="auto"/>
            <w:bottom w:val="none" w:sz="0" w:space="0" w:color="auto"/>
            <w:right w:val="none" w:sz="0" w:space="0" w:color="auto"/>
          </w:divBdr>
        </w:div>
        <w:div w:id="1547448597">
          <w:marLeft w:val="0"/>
          <w:marRight w:val="0"/>
          <w:marTop w:val="0"/>
          <w:marBottom w:val="0"/>
          <w:divBdr>
            <w:top w:val="none" w:sz="0" w:space="0" w:color="auto"/>
            <w:left w:val="none" w:sz="0" w:space="0" w:color="auto"/>
            <w:bottom w:val="none" w:sz="0" w:space="0" w:color="auto"/>
            <w:right w:val="none" w:sz="0" w:space="0" w:color="auto"/>
          </w:divBdr>
        </w:div>
        <w:div w:id="2082554748">
          <w:marLeft w:val="0"/>
          <w:marRight w:val="0"/>
          <w:marTop w:val="0"/>
          <w:marBottom w:val="0"/>
          <w:divBdr>
            <w:top w:val="none" w:sz="0" w:space="0" w:color="auto"/>
            <w:left w:val="none" w:sz="0" w:space="0" w:color="auto"/>
            <w:bottom w:val="none" w:sz="0" w:space="0" w:color="auto"/>
            <w:right w:val="none" w:sz="0" w:space="0" w:color="auto"/>
          </w:divBdr>
        </w:div>
        <w:div w:id="2009209086">
          <w:marLeft w:val="0"/>
          <w:marRight w:val="0"/>
          <w:marTop w:val="0"/>
          <w:marBottom w:val="0"/>
          <w:divBdr>
            <w:top w:val="none" w:sz="0" w:space="0" w:color="auto"/>
            <w:left w:val="none" w:sz="0" w:space="0" w:color="auto"/>
            <w:bottom w:val="none" w:sz="0" w:space="0" w:color="auto"/>
            <w:right w:val="none" w:sz="0" w:space="0" w:color="auto"/>
          </w:divBdr>
        </w:div>
      </w:divsChild>
    </w:div>
    <w:div w:id="1816219594">
      <w:bodyDiv w:val="1"/>
      <w:marLeft w:val="0"/>
      <w:marRight w:val="0"/>
      <w:marTop w:val="0"/>
      <w:marBottom w:val="0"/>
      <w:divBdr>
        <w:top w:val="none" w:sz="0" w:space="0" w:color="auto"/>
        <w:left w:val="none" w:sz="0" w:space="0" w:color="auto"/>
        <w:bottom w:val="none" w:sz="0" w:space="0" w:color="auto"/>
        <w:right w:val="none" w:sz="0" w:space="0" w:color="auto"/>
      </w:divBdr>
      <w:divsChild>
        <w:div w:id="2063479371">
          <w:marLeft w:val="0"/>
          <w:marRight w:val="0"/>
          <w:marTop w:val="0"/>
          <w:marBottom w:val="0"/>
          <w:divBdr>
            <w:top w:val="none" w:sz="0" w:space="0" w:color="auto"/>
            <w:left w:val="none" w:sz="0" w:space="0" w:color="auto"/>
            <w:bottom w:val="none" w:sz="0" w:space="0" w:color="auto"/>
            <w:right w:val="none" w:sz="0" w:space="0" w:color="auto"/>
          </w:divBdr>
        </w:div>
        <w:div w:id="2062168276">
          <w:marLeft w:val="0"/>
          <w:marRight w:val="0"/>
          <w:marTop w:val="0"/>
          <w:marBottom w:val="0"/>
          <w:divBdr>
            <w:top w:val="none" w:sz="0" w:space="0" w:color="auto"/>
            <w:left w:val="none" w:sz="0" w:space="0" w:color="auto"/>
            <w:bottom w:val="none" w:sz="0" w:space="0" w:color="auto"/>
            <w:right w:val="none" w:sz="0" w:space="0" w:color="auto"/>
          </w:divBdr>
        </w:div>
        <w:div w:id="995651607">
          <w:marLeft w:val="0"/>
          <w:marRight w:val="0"/>
          <w:marTop w:val="0"/>
          <w:marBottom w:val="0"/>
          <w:divBdr>
            <w:top w:val="none" w:sz="0" w:space="0" w:color="auto"/>
            <w:left w:val="none" w:sz="0" w:space="0" w:color="auto"/>
            <w:bottom w:val="none" w:sz="0" w:space="0" w:color="auto"/>
            <w:right w:val="none" w:sz="0" w:space="0" w:color="auto"/>
          </w:divBdr>
        </w:div>
        <w:div w:id="1085111347">
          <w:marLeft w:val="0"/>
          <w:marRight w:val="0"/>
          <w:marTop w:val="0"/>
          <w:marBottom w:val="0"/>
          <w:divBdr>
            <w:top w:val="none" w:sz="0" w:space="0" w:color="auto"/>
            <w:left w:val="none" w:sz="0" w:space="0" w:color="auto"/>
            <w:bottom w:val="none" w:sz="0" w:space="0" w:color="auto"/>
            <w:right w:val="none" w:sz="0" w:space="0" w:color="auto"/>
          </w:divBdr>
        </w:div>
      </w:divsChild>
    </w:div>
    <w:div w:id="1881279200">
      <w:bodyDiv w:val="1"/>
      <w:marLeft w:val="0"/>
      <w:marRight w:val="0"/>
      <w:marTop w:val="0"/>
      <w:marBottom w:val="0"/>
      <w:divBdr>
        <w:top w:val="none" w:sz="0" w:space="0" w:color="auto"/>
        <w:left w:val="none" w:sz="0" w:space="0" w:color="auto"/>
        <w:bottom w:val="none" w:sz="0" w:space="0" w:color="auto"/>
        <w:right w:val="none" w:sz="0" w:space="0" w:color="auto"/>
      </w:divBdr>
      <w:divsChild>
        <w:div w:id="1316448420">
          <w:marLeft w:val="0"/>
          <w:marRight w:val="0"/>
          <w:marTop w:val="0"/>
          <w:marBottom w:val="0"/>
          <w:divBdr>
            <w:top w:val="none" w:sz="0" w:space="0" w:color="auto"/>
            <w:left w:val="none" w:sz="0" w:space="0" w:color="auto"/>
            <w:bottom w:val="none" w:sz="0" w:space="0" w:color="auto"/>
            <w:right w:val="none" w:sz="0" w:space="0" w:color="auto"/>
          </w:divBdr>
        </w:div>
        <w:div w:id="77869342">
          <w:marLeft w:val="0"/>
          <w:marRight w:val="0"/>
          <w:marTop w:val="0"/>
          <w:marBottom w:val="0"/>
          <w:divBdr>
            <w:top w:val="none" w:sz="0" w:space="0" w:color="auto"/>
            <w:left w:val="none" w:sz="0" w:space="0" w:color="auto"/>
            <w:bottom w:val="none" w:sz="0" w:space="0" w:color="auto"/>
            <w:right w:val="none" w:sz="0" w:space="0" w:color="auto"/>
          </w:divBdr>
        </w:div>
        <w:div w:id="1528179941">
          <w:marLeft w:val="0"/>
          <w:marRight w:val="0"/>
          <w:marTop w:val="0"/>
          <w:marBottom w:val="0"/>
          <w:divBdr>
            <w:top w:val="none" w:sz="0" w:space="0" w:color="auto"/>
            <w:left w:val="none" w:sz="0" w:space="0" w:color="auto"/>
            <w:bottom w:val="none" w:sz="0" w:space="0" w:color="auto"/>
            <w:right w:val="none" w:sz="0" w:space="0" w:color="auto"/>
          </w:divBdr>
        </w:div>
        <w:div w:id="1502894860">
          <w:marLeft w:val="0"/>
          <w:marRight w:val="0"/>
          <w:marTop w:val="0"/>
          <w:marBottom w:val="0"/>
          <w:divBdr>
            <w:top w:val="none" w:sz="0" w:space="0" w:color="auto"/>
            <w:left w:val="none" w:sz="0" w:space="0" w:color="auto"/>
            <w:bottom w:val="none" w:sz="0" w:space="0" w:color="auto"/>
            <w:right w:val="none" w:sz="0" w:space="0" w:color="auto"/>
          </w:divBdr>
        </w:div>
        <w:div w:id="237718429">
          <w:marLeft w:val="0"/>
          <w:marRight w:val="0"/>
          <w:marTop w:val="0"/>
          <w:marBottom w:val="0"/>
          <w:divBdr>
            <w:top w:val="none" w:sz="0" w:space="0" w:color="auto"/>
            <w:left w:val="none" w:sz="0" w:space="0" w:color="auto"/>
            <w:bottom w:val="none" w:sz="0" w:space="0" w:color="auto"/>
            <w:right w:val="none" w:sz="0" w:space="0" w:color="auto"/>
          </w:divBdr>
        </w:div>
      </w:divsChild>
    </w:div>
    <w:div w:id="1994872815">
      <w:bodyDiv w:val="1"/>
      <w:marLeft w:val="0"/>
      <w:marRight w:val="0"/>
      <w:marTop w:val="0"/>
      <w:marBottom w:val="0"/>
      <w:divBdr>
        <w:top w:val="none" w:sz="0" w:space="0" w:color="auto"/>
        <w:left w:val="none" w:sz="0" w:space="0" w:color="auto"/>
        <w:bottom w:val="none" w:sz="0" w:space="0" w:color="auto"/>
        <w:right w:val="none" w:sz="0" w:space="0" w:color="auto"/>
      </w:divBdr>
      <w:divsChild>
        <w:div w:id="1661427674">
          <w:marLeft w:val="0"/>
          <w:marRight w:val="0"/>
          <w:marTop w:val="0"/>
          <w:marBottom w:val="0"/>
          <w:divBdr>
            <w:top w:val="none" w:sz="0" w:space="0" w:color="auto"/>
            <w:left w:val="none" w:sz="0" w:space="0" w:color="auto"/>
            <w:bottom w:val="none" w:sz="0" w:space="0" w:color="auto"/>
            <w:right w:val="none" w:sz="0" w:space="0" w:color="auto"/>
          </w:divBdr>
        </w:div>
        <w:div w:id="1603565356">
          <w:marLeft w:val="0"/>
          <w:marRight w:val="0"/>
          <w:marTop w:val="0"/>
          <w:marBottom w:val="0"/>
          <w:divBdr>
            <w:top w:val="none" w:sz="0" w:space="0" w:color="auto"/>
            <w:left w:val="none" w:sz="0" w:space="0" w:color="auto"/>
            <w:bottom w:val="none" w:sz="0" w:space="0" w:color="auto"/>
            <w:right w:val="none" w:sz="0" w:space="0" w:color="auto"/>
          </w:divBdr>
        </w:div>
        <w:div w:id="195428955">
          <w:marLeft w:val="0"/>
          <w:marRight w:val="0"/>
          <w:marTop w:val="0"/>
          <w:marBottom w:val="0"/>
          <w:divBdr>
            <w:top w:val="none" w:sz="0" w:space="0" w:color="auto"/>
            <w:left w:val="none" w:sz="0" w:space="0" w:color="auto"/>
            <w:bottom w:val="none" w:sz="0" w:space="0" w:color="auto"/>
            <w:right w:val="none" w:sz="0" w:space="0" w:color="auto"/>
          </w:divBdr>
        </w:div>
        <w:div w:id="1923296408">
          <w:marLeft w:val="0"/>
          <w:marRight w:val="0"/>
          <w:marTop w:val="0"/>
          <w:marBottom w:val="0"/>
          <w:divBdr>
            <w:top w:val="none" w:sz="0" w:space="0" w:color="auto"/>
            <w:left w:val="none" w:sz="0" w:space="0" w:color="auto"/>
            <w:bottom w:val="none" w:sz="0" w:space="0" w:color="auto"/>
            <w:right w:val="none" w:sz="0" w:space="0" w:color="auto"/>
          </w:divBdr>
        </w:div>
        <w:div w:id="1731534138">
          <w:marLeft w:val="0"/>
          <w:marRight w:val="0"/>
          <w:marTop w:val="0"/>
          <w:marBottom w:val="0"/>
          <w:divBdr>
            <w:top w:val="none" w:sz="0" w:space="0" w:color="auto"/>
            <w:left w:val="none" w:sz="0" w:space="0" w:color="auto"/>
            <w:bottom w:val="none" w:sz="0" w:space="0" w:color="auto"/>
            <w:right w:val="none" w:sz="0" w:space="0" w:color="auto"/>
          </w:divBdr>
        </w:div>
        <w:div w:id="996570849">
          <w:marLeft w:val="0"/>
          <w:marRight w:val="0"/>
          <w:marTop w:val="0"/>
          <w:marBottom w:val="0"/>
          <w:divBdr>
            <w:top w:val="none" w:sz="0" w:space="0" w:color="auto"/>
            <w:left w:val="none" w:sz="0" w:space="0" w:color="auto"/>
            <w:bottom w:val="none" w:sz="0" w:space="0" w:color="auto"/>
            <w:right w:val="none" w:sz="0" w:space="0" w:color="auto"/>
          </w:divBdr>
        </w:div>
        <w:div w:id="775100828">
          <w:marLeft w:val="0"/>
          <w:marRight w:val="0"/>
          <w:marTop w:val="0"/>
          <w:marBottom w:val="0"/>
          <w:divBdr>
            <w:top w:val="none" w:sz="0" w:space="0" w:color="auto"/>
            <w:left w:val="none" w:sz="0" w:space="0" w:color="auto"/>
            <w:bottom w:val="none" w:sz="0" w:space="0" w:color="auto"/>
            <w:right w:val="none" w:sz="0" w:space="0" w:color="auto"/>
          </w:divBdr>
        </w:div>
      </w:divsChild>
    </w:div>
    <w:div w:id="2005891123">
      <w:bodyDiv w:val="1"/>
      <w:marLeft w:val="0"/>
      <w:marRight w:val="0"/>
      <w:marTop w:val="0"/>
      <w:marBottom w:val="0"/>
      <w:divBdr>
        <w:top w:val="none" w:sz="0" w:space="0" w:color="auto"/>
        <w:left w:val="none" w:sz="0" w:space="0" w:color="auto"/>
        <w:bottom w:val="none" w:sz="0" w:space="0" w:color="auto"/>
        <w:right w:val="none" w:sz="0" w:space="0" w:color="auto"/>
      </w:divBdr>
      <w:divsChild>
        <w:div w:id="1009989968">
          <w:marLeft w:val="0"/>
          <w:marRight w:val="0"/>
          <w:marTop w:val="0"/>
          <w:marBottom w:val="0"/>
          <w:divBdr>
            <w:top w:val="none" w:sz="0" w:space="0" w:color="auto"/>
            <w:left w:val="none" w:sz="0" w:space="0" w:color="auto"/>
            <w:bottom w:val="none" w:sz="0" w:space="0" w:color="auto"/>
            <w:right w:val="none" w:sz="0" w:space="0" w:color="auto"/>
          </w:divBdr>
        </w:div>
        <w:div w:id="1569805612">
          <w:marLeft w:val="0"/>
          <w:marRight w:val="0"/>
          <w:marTop w:val="0"/>
          <w:marBottom w:val="0"/>
          <w:divBdr>
            <w:top w:val="none" w:sz="0" w:space="0" w:color="auto"/>
            <w:left w:val="none" w:sz="0" w:space="0" w:color="auto"/>
            <w:bottom w:val="none" w:sz="0" w:space="0" w:color="auto"/>
            <w:right w:val="none" w:sz="0" w:space="0" w:color="auto"/>
          </w:divBdr>
        </w:div>
        <w:div w:id="590941432">
          <w:marLeft w:val="0"/>
          <w:marRight w:val="0"/>
          <w:marTop w:val="0"/>
          <w:marBottom w:val="0"/>
          <w:divBdr>
            <w:top w:val="none" w:sz="0" w:space="0" w:color="auto"/>
            <w:left w:val="none" w:sz="0" w:space="0" w:color="auto"/>
            <w:bottom w:val="none" w:sz="0" w:space="0" w:color="auto"/>
            <w:right w:val="none" w:sz="0" w:space="0" w:color="auto"/>
          </w:divBdr>
        </w:div>
        <w:div w:id="330185478">
          <w:marLeft w:val="0"/>
          <w:marRight w:val="0"/>
          <w:marTop w:val="0"/>
          <w:marBottom w:val="0"/>
          <w:divBdr>
            <w:top w:val="none" w:sz="0" w:space="0" w:color="auto"/>
            <w:left w:val="none" w:sz="0" w:space="0" w:color="auto"/>
            <w:bottom w:val="none" w:sz="0" w:space="0" w:color="auto"/>
            <w:right w:val="none" w:sz="0" w:space="0" w:color="auto"/>
          </w:divBdr>
        </w:div>
        <w:div w:id="1911690685">
          <w:marLeft w:val="0"/>
          <w:marRight w:val="0"/>
          <w:marTop w:val="0"/>
          <w:marBottom w:val="0"/>
          <w:divBdr>
            <w:top w:val="none" w:sz="0" w:space="0" w:color="auto"/>
            <w:left w:val="none" w:sz="0" w:space="0" w:color="auto"/>
            <w:bottom w:val="none" w:sz="0" w:space="0" w:color="auto"/>
            <w:right w:val="none" w:sz="0" w:space="0" w:color="auto"/>
          </w:divBdr>
        </w:div>
      </w:divsChild>
    </w:div>
    <w:div w:id="2092967875">
      <w:bodyDiv w:val="1"/>
      <w:marLeft w:val="0"/>
      <w:marRight w:val="0"/>
      <w:marTop w:val="0"/>
      <w:marBottom w:val="0"/>
      <w:divBdr>
        <w:top w:val="none" w:sz="0" w:space="0" w:color="auto"/>
        <w:left w:val="none" w:sz="0" w:space="0" w:color="auto"/>
        <w:bottom w:val="none" w:sz="0" w:space="0" w:color="auto"/>
        <w:right w:val="none" w:sz="0" w:space="0" w:color="auto"/>
      </w:divBdr>
      <w:divsChild>
        <w:div w:id="1492789491">
          <w:marLeft w:val="0"/>
          <w:marRight w:val="0"/>
          <w:marTop w:val="0"/>
          <w:marBottom w:val="0"/>
          <w:divBdr>
            <w:top w:val="none" w:sz="0" w:space="0" w:color="auto"/>
            <w:left w:val="none" w:sz="0" w:space="0" w:color="auto"/>
            <w:bottom w:val="none" w:sz="0" w:space="0" w:color="auto"/>
            <w:right w:val="none" w:sz="0" w:space="0" w:color="auto"/>
          </w:divBdr>
        </w:div>
        <w:div w:id="2096046430">
          <w:marLeft w:val="0"/>
          <w:marRight w:val="0"/>
          <w:marTop w:val="0"/>
          <w:marBottom w:val="0"/>
          <w:divBdr>
            <w:top w:val="none" w:sz="0" w:space="0" w:color="auto"/>
            <w:left w:val="none" w:sz="0" w:space="0" w:color="auto"/>
            <w:bottom w:val="none" w:sz="0" w:space="0" w:color="auto"/>
            <w:right w:val="none" w:sz="0" w:space="0" w:color="auto"/>
          </w:divBdr>
        </w:div>
        <w:div w:id="854467679">
          <w:marLeft w:val="0"/>
          <w:marRight w:val="0"/>
          <w:marTop w:val="0"/>
          <w:marBottom w:val="0"/>
          <w:divBdr>
            <w:top w:val="none" w:sz="0" w:space="0" w:color="auto"/>
            <w:left w:val="none" w:sz="0" w:space="0" w:color="auto"/>
            <w:bottom w:val="none" w:sz="0" w:space="0" w:color="auto"/>
            <w:right w:val="none" w:sz="0" w:space="0" w:color="auto"/>
          </w:divBdr>
        </w:div>
        <w:div w:id="1839534954">
          <w:marLeft w:val="0"/>
          <w:marRight w:val="0"/>
          <w:marTop w:val="0"/>
          <w:marBottom w:val="0"/>
          <w:divBdr>
            <w:top w:val="none" w:sz="0" w:space="0" w:color="auto"/>
            <w:left w:val="none" w:sz="0" w:space="0" w:color="auto"/>
            <w:bottom w:val="none" w:sz="0" w:space="0" w:color="auto"/>
            <w:right w:val="none" w:sz="0" w:space="0" w:color="auto"/>
          </w:divBdr>
        </w:div>
        <w:div w:id="1509252581">
          <w:marLeft w:val="0"/>
          <w:marRight w:val="0"/>
          <w:marTop w:val="0"/>
          <w:marBottom w:val="0"/>
          <w:divBdr>
            <w:top w:val="none" w:sz="0" w:space="0" w:color="auto"/>
            <w:left w:val="none" w:sz="0" w:space="0" w:color="auto"/>
            <w:bottom w:val="none" w:sz="0" w:space="0" w:color="auto"/>
            <w:right w:val="none" w:sz="0" w:space="0" w:color="auto"/>
          </w:divBdr>
        </w:div>
        <w:div w:id="891229262">
          <w:marLeft w:val="0"/>
          <w:marRight w:val="0"/>
          <w:marTop w:val="0"/>
          <w:marBottom w:val="0"/>
          <w:divBdr>
            <w:top w:val="none" w:sz="0" w:space="0" w:color="auto"/>
            <w:left w:val="none" w:sz="0" w:space="0" w:color="auto"/>
            <w:bottom w:val="none" w:sz="0" w:space="0" w:color="auto"/>
            <w:right w:val="none" w:sz="0" w:space="0" w:color="auto"/>
          </w:divBdr>
        </w:div>
      </w:divsChild>
    </w:div>
    <w:div w:id="2104645571">
      <w:bodyDiv w:val="1"/>
      <w:marLeft w:val="0"/>
      <w:marRight w:val="0"/>
      <w:marTop w:val="0"/>
      <w:marBottom w:val="0"/>
      <w:divBdr>
        <w:top w:val="none" w:sz="0" w:space="0" w:color="auto"/>
        <w:left w:val="none" w:sz="0" w:space="0" w:color="auto"/>
        <w:bottom w:val="none" w:sz="0" w:space="0" w:color="auto"/>
        <w:right w:val="none" w:sz="0" w:space="0" w:color="auto"/>
      </w:divBdr>
      <w:divsChild>
        <w:div w:id="1114715251">
          <w:marLeft w:val="0"/>
          <w:marRight w:val="0"/>
          <w:marTop w:val="0"/>
          <w:marBottom w:val="0"/>
          <w:divBdr>
            <w:top w:val="none" w:sz="0" w:space="0" w:color="auto"/>
            <w:left w:val="none" w:sz="0" w:space="0" w:color="auto"/>
            <w:bottom w:val="none" w:sz="0" w:space="0" w:color="auto"/>
            <w:right w:val="none" w:sz="0" w:space="0" w:color="auto"/>
          </w:divBdr>
        </w:div>
        <w:div w:id="104536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uderow@suderowfernande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uel.canadas@callolcoca.com"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h@competition-litigat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tzailiana@icam.es" TargetMode="External"/><Relationship Id="rId4" Type="http://schemas.openxmlformats.org/officeDocument/2006/relationships/settings" Target="settings.xml"/><Relationship Id="rId9" Type="http://schemas.openxmlformats.org/officeDocument/2006/relationships/hyperlink" Target="mailto:amartinez@suderowfernandez.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mc.es/sites/default/files/555528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D9B6-51D7-44C5-AD38-F54D703A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9984</Words>
  <Characters>54915</Characters>
  <Application>Microsoft Office Word</Application>
  <DocSecurity>0</DocSecurity>
  <Lines>457</Lines>
  <Paragraphs>129</Paragraphs>
  <ScaleCrop>false</ScaleCrop>
  <Company/>
  <LinksUpToDate>false</LinksUpToDate>
  <CharactersWithSpaces>64770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Martínez Luna</dc:creator>
  <cp:keywords/>
  <dc:description/>
  <cp:lastModifiedBy>Manuel Cañadas Bouwen</cp:lastModifiedBy>
  <cp:revision>2</cp:revision>
  <dcterms:created xsi:type="dcterms:W3CDTF">2025-09-18T07:16:00Z</dcterms:created>
  <dcterms:modified xsi:type="dcterms:W3CDTF">2025-09-18T07:16:00Z</dcterms:modified>
</cp:coreProperties>
</file>