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4EA05" w14:textId="64E31DFA" w:rsidR="006133D1" w:rsidRPr="00F53942" w:rsidRDefault="006133D1" w:rsidP="00243179">
      <w:pPr>
        <w:widowControl/>
        <w:shd w:val="clear" w:color="auto" w:fill="FFFFFF"/>
        <w:autoSpaceDE/>
        <w:autoSpaceDN/>
        <w:spacing w:after="140" w:line="290" w:lineRule="auto"/>
        <w:ind w:left="3"/>
        <w:jc w:val="right"/>
        <w:rPr>
          <w:b/>
          <w:bCs/>
          <w:color w:val="000000"/>
          <w:sz w:val="20"/>
          <w:szCs w:val="20"/>
        </w:rPr>
      </w:pPr>
      <w:r w:rsidRPr="00F53942">
        <w:rPr>
          <w:b/>
          <w:bCs/>
          <w:color w:val="000000"/>
          <w:sz w:val="20"/>
          <w:szCs w:val="20"/>
        </w:rPr>
        <w:t xml:space="preserve">Abuse of Economic Dependence under Belgian law: </w:t>
      </w:r>
      <w:r w:rsidR="00061E16" w:rsidRPr="00F53942">
        <w:rPr>
          <w:b/>
          <w:bCs/>
          <w:color w:val="000000"/>
          <w:sz w:val="20"/>
          <w:szCs w:val="20"/>
        </w:rPr>
        <w:t>Origins, Application and Critical Reflections</w:t>
      </w:r>
    </w:p>
    <w:p w14:paraId="305E69A4" w14:textId="071781D9" w:rsidR="006133D1" w:rsidRPr="00F53942" w:rsidRDefault="006133D1" w:rsidP="00243179">
      <w:pPr>
        <w:widowControl/>
        <w:shd w:val="clear" w:color="auto" w:fill="FFFFFF"/>
        <w:autoSpaceDE/>
        <w:autoSpaceDN/>
        <w:spacing w:after="140" w:line="290" w:lineRule="auto"/>
        <w:ind w:left="3"/>
        <w:jc w:val="right"/>
        <w:rPr>
          <w:color w:val="000000"/>
          <w:sz w:val="20"/>
          <w:szCs w:val="20"/>
        </w:rPr>
      </w:pPr>
      <w:r w:rsidRPr="00F53942">
        <w:rPr>
          <w:color w:val="000000"/>
          <w:sz w:val="20"/>
          <w:szCs w:val="20"/>
        </w:rPr>
        <w:t>Bo De Clercq</w:t>
      </w:r>
      <w:r w:rsidR="00F720A7" w:rsidRPr="00F53942">
        <w:rPr>
          <w:color w:val="000000"/>
          <w:sz w:val="20"/>
          <w:szCs w:val="20"/>
          <w:vertAlign w:val="superscript"/>
        </w:rPr>
        <w:footnoteReference w:id="1"/>
      </w:r>
    </w:p>
    <w:sdt>
      <w:sdtPr>
        <w:rPr>
          <w:rFonts w:ascii="Times New Roman" w:eastAsia="Times New Roman" w:hAnsi="Times New Roman" w:cs="Times New Roman"/>
          <w:color w:val="auto"/>
          <w:sz w:val="20"/>
          <w:szCs w:val="20"/>
          <w:lang w:val="en-GB"/>
        </w:rPr>
        <w:id w:val="-469209445"/>
        <w:docPartObj>
          <w:docPartGallery w:val="Table of Contents"/>
          <w:docPartUnique/>
        </w:docPartObj>
      </w:sdtPr>
      <w:sdtEndPr>
        <w:rPr>
          <w:b/>
          <w:bCs/>
          <w:noProof/>
        </w:rPr>
      </w:sdtEndPr>
      <w:sdtContent>
        <w:p w14:paraId="19F88A2D" w14:textId="24913756" w:rsidR="00243179" w:rsidRPr="00F53942" w:rsidRDefault="00243179" w:rsidP="00243179">
          <w:pPr>
            <w:pStyle w:val="TOCHeading"/>
            <w:jc w:val="center"/>
            <w:rPr>
              <w:rFonts w:ascii="Times New Roman" w:hAnsi="Times New Roman" w:cs="Times New Roman"/>
              <w:b/>
              <w:bCs/>
              <w:color w:val="auto"/>
              <w:sz w:val="20"/>
              <w:szCs w:val="20"/>
              <w:lang w:val="en-GB"/>
            </w:rPr>
          </w:pPr>
          <w:r w:rsidRPr="00F53942">
            <w:rPr>
              <w:rFonts w:ascii="Times New Roman" w:hAnsi="Times New Roman" w:cs="Times New Roman"/>
              <w:b/>
              <w:bCs/>
              <w:color w:val="auto"/>
              <w:sz w:val="20"/>
              <w:szCs w:val="20"/>
              <w:lang w:val="en-GB"/>
            </w:rPr>
            <w:t>Table of Contents</w:t>
          </w:r>
        </w:p>
        <w:p w14:paraId="6A27A3A6" w14:textId="349ED878" w:rsidR="00F10409" w:rsidRDefault="00243179">
          <w:pPr>
            <w:pStyle w:val="TOC1"/>
            <w:tabs>
              <w:tab w:val="left" w:pos="480"/>
              <w:tab w:val="right" w:leader="dot" w:pos="9208"/>
            </w:tabs>
            <w:rPr>
              <w:rFonts w:asciiTheme="minorHAnsi" w:eastAsiaTheme="minorEastAsia" w:hAnsiTheme="minorHAnsi" w:cstheme="minorBidi"/>
              <w:noProof/>
              <w:kern w:val="2"/>
              <w:sz w:val="24"/>
              <w:szCs w:val="24"/>
              <w:lang w:val="en-US"/>
              <w14:ligatures w14:val="standardContextual"/>
            </w:rPr>
          </w:pPr>
          <w:r w:rsidRPr="00F53942">
            <w:rPr>
              <w:szCs w:val="20"/>
            </w:rPr>
            <w:fldChar w:fldCharType="begin"/>
          </w:r>
          <w:r w:rsidRPr="00F53942">
            <w:rPr>
              <w:szCs w:val="20"/>
            </w:rPr>
            <w:instrText xml:space="preserve"> TOC \o "1-3" \h \z \u </w:instrText>
          </w:r>
          <w:r w:rsidRPr="00F53942">
            <w:rPr>
              <w:szCs w:val="20"/>
            </w:rPr>
            <w:fldChar w:fldCharType="separate"/>
          </w:r>
          <w:hyperlink w:anchor="_Toc209451778" w:history="1">
            <w:r w:rsidR="00F10409" w:rsidRPr="00D529C2">
              <w:rPr>
                <w:rStyle w:val="Hyperlink"/>
                <w:noProof/>
                <w:lang w:val="en-US"/>
              </w:rPr>
              <w:t>1.</w:t>
            </w:r>
            <w:r w:rsidR="00F10409">
              <w:rPr>
                <w:rFonts w:asciiTheme="minorHAnsi" w:eastAsiaTheme="minorEastAsia" w:hAnsiTheme="minorHAnsi" w:cstheme="minorBidi"/>
                <w:noProof/>
                <w:kern w:val="2"/>
                <w:sz w:val="24"/>
                <w:szCs w:val="24"/>
                <w:lang w:val="en-US"/>
                <w14:ligatures w14:val="standardContextual"/>
              </w:rPr>
              <w:tab/>
            </w:r>
            <w:r w:rsidR="00F10409" w:rsidRPr="00D529C2">
              <w:rPr>
                <w:rStyle w:val="Hyperlink"/>
                <w:noProof/>
              </w:rPr>
              <w:t>Introduction</w:t>
            </w:r>
            <w:r w:rsidR="00F10409">
              <w:rPr>
                <w:noProof/>
                <w:webHidden/>
              </w:rPr>
              <w:tab/>
            </w:r>
            <w:r w:rsidR="00F10409">
              <w:rPr>
                <w:noProof/>
                <w:webHidden/>
              </w:rPr>
              <w:fldChar w:fldCharType="begin"/>
            </w:r>
            <w:r w:rsidR="00F10409">
              <w:rPr>
                <w:noProof/>
                <w:webHidden/>
              </w:rPr>
              <w:instrText xml:space="preserve"> PAGEREF _Toc209451778 \h </w:instrText>
            </w:r>
            <w:r w:rsidR="00F10409">
              <w:rPr>
                <w:noProof/>
                <w:webHidden/>
              </w:rPr>
            </w:r>
            <w:r w:rsidR="00F10409">
              <w:rPr>
                <w:noProof/>
                <w:webHidden/>
              </w:rPr>
              <w:fldChar w:fldCharType="separate"/>
            </w:r>
            <w:r w:rsidR="00F10409">
              <w:rPr>
                <w:noProof/>
                <w:webHidden/>
              </w:rPr>
              <w:t>2</w:t>
            </w:r>
            <w:r w:rsidR="00F10409">
              <w:rPr>
                <w:noProof/>
                <w:webHidden/>
              </w:rPr>
              <w:fldChar w:fldCharType="end"/>
            </w:r>
          </w:hyperlink>
        </w:p>
        <w:p w14:paraId="0DBDFBB6" w14:textId="48605E83" w:rsidR="00F10409" w:rsidRDefault="00F10409">
          <w:pPr>
            <w:pStyle w:val="TOC1"/>
            <w:tabs>
              <w:tab w:val="left" w:pos="48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779" w:history="1">
            <w:r w:rsidRPr="00D529C2">
              <w:rPr>
                <w:rStyle w:val="Hyperlink"/>
                <w:noProof/>
                <w:lang w:val="en-US"/>
              </w:rPr>
              <w:t>2.</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spacing w:val="-2"/>
              </w:rPr>
              <w:t>Legislative Framework and Background</w:t>
            </w:r>
            <w:r>
              <w:rPr>
                <w:noProof/>
                <w:webHidden/>
              </w:rPr>
              <w:tab/>
            </w:r>
            <w:r>
              <w:rPr>
                <w:noProof/>
                <w:webHidden/>
              </w:rPr>
              <w:fldChar w:fldCharType="begin"/>
            </w:r>
            <w:r>
              <w:rPr>
                <w:noProof/>
                <w:webHidden/>
              </w:rPr>
              <w:instrText xml:space="preserve"> PAGEREF _Toc209451779 \h </w:instrText>
            </w:r>
            <w:r>
              <w:rPr>
                <w:noProof/>
                <w:webHidden/>
              </w:rPr>
            </w:r>
            <w:r>
              <w:rPr>
                <w:noProof/>
                <w:webHidden/>
              </w:rPr>
              <w:fldChar w:fldCharType="separate"/>
            </w:r>
            <w:r>
              <w:rPr>
                <w:noProof/>
                <w:webHidden/>
              </w:rPr>
              <w:t>2</w:t>
            </w:r>
            <w:r>
              <w:rPr>
                <w:noProof/>
                <w:webHidden/>
              </w:rPr>
              <w:fldChar w:fldCharType="end"/>
            </w:r>
          </w:hyperlink>
        </w:p>
        <w:p w14:paraId="4C6E37E1" w14:textId="62FC8D7A" w:rsidR="00F10409" w:rsidRDefault="00F10409">
          <w:pPr>
            <w:pStyle w:val="TOC1"/>
            <w:tabs>
              <w:tab w:val="left" w:pos="48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780" w:history="1">
            <w:r w:rsidRPr="00D529C2">
              <w:rPr>
                <w:rStyle w:val="Hyperlink"/>
                <w:noProof/>
                <w:lang w:val="en-US"/>
              </w:rPr>
              <w:t>3.</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spacing w:val="-2"/>
              </w:rPr>
              <w:t>Criteria for the Definition of Abuse of Economic Dependence</w:t>
            </w:r>
            <w:r>
              <w:rPr>
                <w:noProof/>
                <w:webHidden/>
              </w:rPr>
              <w:tab/>
            </w:r>
            <w:r>
              <w:rPr>
                <w:noProof/>
                <w:webHidden/>
              </w:rPr>
              <w:fldChar w:fldCharType="begin"/>
            </w:r>
            <w:r>
              <w:rPr>
                <w:noProof/>
                <w:webHidden/>
              </w:rPr>
              <w:instrText xml:space="preserve"> PAGEREF _Toc209451780 \h </w:instrText>
            </w:r>
            <w:r>
              <w:rPr>
                <w:noProof/>
                <w:webHidden/>
              </w:rPr>
            </w:r>
            <w:r>
              <w:rPr>
                <w:noProof/>
                <w:webHidden/>
              </w:rPr>
              <w:fldChar w:fldCharType="separate"/>
            </w:r>
            <w:r>
              <w:rPr>
                <w:noProof/>
                <w:webHidden/>
              </w:rPr>
              <w:t>3</w:t>
            </w:r>
            <w:r>
              <w:rPr>
                <w:noProof/>
                <w:webHidden/>
              </w:rPr>
              <w:fldChar w:fldCharType="end"/>
            </w:r>
          </w:hyperlink>
        </w:p>
        <w:p w14:paraId="3B628682" w14:textId="75D76E49" w:rsidR="00F10409" w:rsidRDefault="00F10409">
          <w:pPr>
            <w:pStyle w:val="TOC1"/>
            <w:tabs>
              <w:tab w:val="left" w:pos="72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781" w:history="1">
            <w:r w:rsidRPr="00D529C2">
              <w:rPr>
                <w:rStyle w:val="Hyperlink"/>
                <w:noProof/>
                <w:lang w:val="en-US"/>
              </w:rPr>
              <w:t>3.1.</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rPr>
              <w:t>Legal Definition</w:t>
            </w:r>
            <w:r>
              <w:rPr>
                <w:noProof/>
                <w:webHidden/>
              </w:rPr>
              <w:tab/>
            </w:r>
            <w:r>
              <w:rPr>
                <w:noProof/>
                <w:webHidden/>
              </w:rPr>
              <w:fldChar w:fldCharType="begin"/>
            </w:r>
            <w:r>
              <w:rPr>
                <w:noProof/>
                <w:webHidden/>
              </w:rPr>
              <w:instrText xml:space="preserve"> PAGEREF _Toc209451781 \h </w:instrText>
            </w:r>
            <w:r>
              <w:rPr>
                <w:noProof/>
                <w:webHidden/>
              </w:rPr>
            </w:r>
            <w:r>
              <w:rPr>
                <w:noProof/>
                <w:webHidden/>
              </w:rPr>
              <w:fldChar w:fldCharType="separate"/>
            </w:r>
            <w:r>
              <w:rPr>
                <w:noProof/>
                <w:webHidden/>
              </w:rPr>
              <w:t>3</w:t>
            </w:r>
            <w:r>
              <w:rPr>
                <w:noProof/>
                <w:webHidden/>
              </w:rPr>
              <w:fldChar w:fldCharType="end"/>
            </w:r>
          </w:hyperlink>
        </w:p>
        <w:p w14:paraId="4DCF05EA" w14:textId="22D66FFA" w:rsidR="00F10409" w:rsidRDefault="00F10409">
          <w:pPr>
            <w:pStyle w:val="TOC1"/>
            <w:tabs>
              <w:tab w:val="left" w:pos="72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782" w:history="1">
            <w:r w:rsidRPr="00D529C2">
              <w:rPr>
                <w:rStyle w:val="Hyperlink"/>
                <w:noProof/>
                <w:lang w:val="en-US"/>
              </w:rPr>
              <w:t>3.2.</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rPr>
              <w:t>Position of Economic Dependency</w:t>
            </w:r>
            <w:r>
              <w:rPr>
                <w:noProof/>
                <w:webHidden/>
              </w:rPr>
              <w:tab/>
            </w:r>
            <w:r>
              <w:rPr>
                <w:noProof/>
                <w:webHidden/>
              </w:rPr>
              <w:fldChar w:fldCharType="begin"/>
            </w:r>
            <w:r>
              <w:rPr>
                <w:noProof/>
                <w:webHidden/>
              </w:rPr>
              <w:instrText xml:space="preserve"> PAGEREF _Toc209451782 \h </w:instrText>
            </w:r>
            <w:r>
              <w:rPr>
                <w:noProof/>
                <w:webHidden/>
              </w:rPr>
            </w:r>
            <w:r>
              <w:rPr>
                <w:noProof/>
                <w:webHidden/>
              </w:rPr>
              <w:fldChar w:fldCharType="separate"/>
            </w:r>
            <w:r>
              <w:rPr>
                <w:noProof/>
                <w:webHidden/>
              </w:rPr>
              <w:t>3</w:t>
            </w:r>
            <w:r>
              <w:rPr>
                <w:noProof/>
                <w:webHidden/>
              </w:rPr>
              <w:fldChar w:fldCharType="end"/>
            </w:r>
          </w:hyperlink>
        </w:p>
        <w:p w14:paraId="1A22AFF0" w14:textId="6B89EB02" w:rsidR="00F10409" w:rsidRDefault="00F10409">
          <w:pPr>
            <w:pStyle w:val="TOC1"/>
            <w:tabs>
              <w:tab w:val="left" w:pos="72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783" w:history="1">
            <w:r w:rsidRPr="00D529C2">
              <w:rPr>
                <w:rStyle w:val="Hyperlink"/>
                <w:noProof/>
                <w:lang w:val="en-US"/>
              </w:rPr>
              <w:t>3.2.1.</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rPr>
              <w:t>Absence of a Reasonable Equivalent Alternative</w:t>
            </w:r>
            <w:r>
              <w:rPr>
                <w:noProof/>
                <w:webHidden/>
              </w:rPr>
              <w:tab/>
            </w:r>
            <w:r>
              <w:rPr>
                <w:noProof/>
                <w:webHidden/>
              </w:rPr>
              <w:fldChar w:fldCharType="begin"/>
            </w:r>
            <w:r>
              <w:rPr>
                <w:noProof/>
                <w:webHidden/>
              </w:rPr>
              <w:instrText xml:space="preserve"> PAGEREF _Toc209451783 \h </w:instrText>
            </w:r>
            <w:r>
              <w:rPr>
                <w:noProof/>
                <w:webHidden/>
              </w:rPr>
            </w:r>
            <w:r>
              <w:rPr>
                <w:noProof/>
                <w:webHidden/>
              </w:rPr>
              <w:fldChar w:fldCharType="separate"/>
            </w:r>
            <w:r>
              <w:rPr>
                <w:noProof/>
                <w:webHidden/>
              </w:rPr>
              <w:t>4</w:t>
            </w:r>
            <w:r>
              <w:rPr>
                <w:noProof/>
                <w:webHidden/>
              </w:rPr>
              <w:fldChar w:fldCharType="end"/>
            </w:r>
          </w:hyperlink>
        </w:p>
        <w:p w14:paraId="3FC43A11" w14:textId="7EFBBC71" w:rsidR="00F10409" w:rsidRDefault="00F10409">
          <w:pPr>
            <w:pStyle w:val="TOC1"/>
            <w:tabs>
              <w:tab w:val="left" w:pos="72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784" w:history="1">
            <w:r w:rsidRPr="00D529C2">
              <w:rPr>
                <w:rStyle w:val="Hyperlink"/>
                <w:noProof/>
                <w:lang w:val="en-US"/>
              </w:rPr>
              <w:t>3.2.2.</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rPr>
              <w:t>… Enabling the Dominating Undertaking to Impose Certain Performances or Conditions</w:t>
            </w:r>
            <w:r>
              <w:rPr>
                <w:noProof/>
                <w:webHidden/>
              </w:rPr>
              <w:tab/>
            </w:r>
            <w:r>
              <w:rPr>
                <w:noProof/>
                <w:webHidden/>
              </w:rPr>
              <w:fldChar w:fldCharType="begin"/>
            </w:r>
            <w:r>
              <w:rPr>
                <w:noProof/>
                <w:webHidden/>
              </w:rPr>
              <w:instrText xml:space="preserve"> PAGEREF _Toc209451784 \h </w:instrText>
            </w:r>
            <w:r>
              <w:rPr>
                <w:noProof/>
                <w:webHidden/>
              </w:rPr>
            </w:r>
            <w:r>
              <w:rPr>
                <w:noProof/>
                <w:webHidden/>
              </w:rPr>
              <w:fldChar w:fldCharType="separate"/>
            </w:r>
            <w:r>
              <w:rPr>
                <w:noProof/>
                <w:webHidden/>
              </w:rPr>
              <w:t>4</w:t>
            </w:r>
            <w:r>
              <w:rPr>
                <w:noProof/>
                <w:webHidden/>
              </w:rPr>
              <w:fldChar w:fldCharType="end"/>
            </w:r>
          </w:hyperlink>
        </w:p>
        <w:p w14:paraId="65F47AA3" w14:textId="39B7895B" w:rsidR="00F10409" w:rsidRDefault="00F10409">
          <w:pPr>
            <w:pStyle w:val="TOC1"/>
            <w:tabs>
              <w:tab w:val="left" w:pos="72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785" w:history="1">
            <w:r w:rsidRPr="00D529C2">
              <w:rPr>
                <w:rStyle w:val="Hyperlink"/>
                <w:noProof/>
                <w:lang w:val="en-US"/>
              </w:rPr>
              <w:t>3.2.3.</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rPr>
              <w:t>Non-Limitative List of Indicative Factors</w:t>
            </w:r>
            <w:r>
              <w:rPr>
                <w:noProof/>
                <w:webHidden/>
              </w:rPr>
              <w:tab/>
            </w:r>
            <w:r>
              <w:rPr>
                <w:noProof/>
                <w:webHidden/>
              </w:rPr>
              <w:fldChar w:fldCharType="begin"/>
            </w:r>
            <w:r>
              <w:rPr>
                <w:noProof/>
                <w:webHidden/>
              </w:rPr>
              <w:instrText xml:space="preserve"> PAGEREF _Toc209451785 \h </w:instrText>
            </w:r>
            <w:r>
              <w:rPr>
                <w:noProof/>
                <w:webHidden/>
              </w:rPr>
            </w:r>
            <w:r>
              <w:rPr>
                <w:noProof/>
                <w:webHidden/>
              </w:rPr>
              <w:fldChar w:fldCharType="separate"/>
            </w:r>
            <w:r>
              <w:rPr>
                <w:noProof/>
                <w:webHidden/>
              </w:rPr>
              <w:t>4</w:t>
            </w:r>
            <w:r>
              <w:rPr>
                <w:noProof/>
                <w:webHidden/>
              </w:rPr>
              <w:fldChar w:fldCharType="end"/>
            </w:r>
          </w:hyperlink>
        </w:p>
        <w:p w14:paraId="6F119E99" w14:textId="698D10B3" w:rsidR="00F10409" w:rsidRDefault="00F10409">
          <w:pPr>
            <w:pStyle w:val="TOC1"/>
            <w:tabs>
              <w:tab w:val="left" w:pos="72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786" w:history="1">
            <w:r w:rsidRPr="00D529C2">
              <w:rPr>
                <w:rStyle w:val="Hyperlink"/>
                <w:noProof/>
                <w:lang w:val="en-US"/>
              </w:rPr>
              <w:t>3.2.4.</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rPr>
              <w:t>Putting into Practice</w:t>
            </w:r>
            <w:r>
              <w:rPr>
                <w:noProof/>
                <w:webHidden/>
              </w:rPr>
              <w:tab/>
            </w:r>
            <w:r>
              <w:rPr>
                <w:noProof/>
                <w:webHidden/>
              </w:rPr>
              <w:fldChar w:fldCharType="begin"/>
            </w:r>
            <w:r>
              <w:rPr>
                <w:noProof/>
                <w:webHidden/>
              </w:rPr>
              <w:instrText xml:space="preserve"> PAGEREF _Toc209451786 \h </w:instrText>
            </w:r>
            <w:r>
              <w:rPr>
                <w:noProof/>
                <w:webHidden/>
              </w:rPr>
            </w:r>
            <w:r>
              <w:rPr>
                <w:noProof/>
                <w:webHidden/>
              </w:rPr>
              <w:fldChar w:fldCharType="separate"/>
            </w:r>
            <w:r>
              <w:rPr>
                <w:noProof/>
                <w:webHidden/>
              </w:rPr>
              <w:t>5</w:t>
            </w:r>
            <w:r>
              <w:rPr>
                <w:noProof/>
                <w:webHidden/>
              </w:rPr>
              <w:fldChar w:fldCharType="end"/>
            </w:r>
          </w:hyperlink>
        </w:p>
        <w:p w14:paraId="11FE3631" w14:textId="54A7D4AB" w:rsidR="00F10409" w:rsidRDefault="00F10409">
          <w:pPr>
            <w:pStyle w:val="TOC1"/>
            <w:tabs>
              <w:tab w:val="left" w:pos="72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787" w:history="1">
            <w:r w:rsidRPr="00D529C2">
              <w:rPr>
                <w:rStyle w:val="Hyperlink"/>
                <w:noProof/>
                <w:lang w:val="en-US"/>
              </w:rPr>
              <w:t>3.3.</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rPr>
              <w:t>Abuse of the Position of Economic Dependence</w:t>
            </w:r>
            <w:r>
              <w:rPr>
                <w:noProof/>
                <w:webHidden/>
              </w:rPr>
              <w:tab/>
            </w:r>
            <w:r>
              <w:rPr>
                <w:noProof/>
                <w:webHidden/>
              </w:rPr>
              <w:fldChar w:fldCharType="begin"/>
            </w:r>
            <w:r>
              <w:rPr>
                <w:noProof/>
                <w:webHidden/>
              </w:rPr>
              <w:instrText xml:space="preserve"> PAGEREF _Toc209451787 \h </w:instrText>
            </w:r>
            <w:r>
              <w:rPr>
                <w:noProof/>
                <w:webHidden/>
              </w:rPr>
            </w:r>
            <w:r>
              <w:rPr>
                <w:noProof/>
                <w:webHidden/>
              </w:rPr>
              <w:fldChar w:fldCharType="separate"/>
            </w:r>
            <w:r>
              <w:rPr>
                <w:noProof/>
                <w:webHidden/>
              </w:rPr>
              <w:t>6</w:t>
            </w:r>
            <w:r>
              <w:rPr>
                <w:noProof/>
                <w:webHidden/>
              </w:rPr>
              <w:fldChar w:fldCharType="end"/>
            </w:r>
          </w:hyperlink>
        </w:p>
        <w:p w14:paraId="6071AAC6" w14:textId="39CFB383" w:rsidR="00F10409" w:rsidRDefault="00F10409">
          <w:pPr>
            <w:pStyle w:val="TOC1"/>
            <w:tabs>
              <w:tab w:val="left" w:pos="72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788" w:history="1">
            <w:r w:rsidRPr="00D529C2">
              <w:rPr>
                <w:rStyle w:val="Hyperlink"/>
                <w:noProof/>
                <w:lang w:val="en-US"/>
              </w:rPr>
              <w:t>3.3.1.</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rPr>
              <w:t>Absence of a Legal Definition</w:t>
            </w:r>
            <w:r>
              <w:rPr>
                <w:noProof/>
                <w:webHidden/>
              </w:rPr>
              <w:tab/>
            </w:r>
            <w:r>
              <w:rPr>
                <w:noProof/>
                <w:webHidden/>
              </w:rPr>
              <w:fldChar w:fldCharType="begin"/>
            </w:r>
            <w:r>
              <w:rPr>
                <w:noProof/>
                <w:webHidden/>
              </w:rPr>
              <w:instrText xml:space="preserve"> PAGEREF _Toc209451788 \h </w:instrText>
            </w:r>
            <w:r>
              <w:rPr>
                <w:noProof/>
                <w:webHidden/>
              </w:rPr>
            </w:r>
            <w:r>
              <w:rPr>
                <w:noProof/>
                <w:webHidden/>
              </w:rPr>
              <w:fldChar w:fldCharType="separate"/>
            </w:r>
            <w:r>
              <w:rPr>
                <w:noProof/>
                <w:webHidden/>
              </w:rPr>
              <w:t>6</w:t>
            </w:r>
            <w:r>
              <w:rPr>
                <w:noProof/>
                <w:webHidden/>
              </w:rPr>
              <w:fldChar w:fldCharType="end"/>
            </w:r>
          </w:hyperlink>
        </w:p>
        <w:p w14:paraId="03B157E2" w14:textId="11B6D881" w:rsidR="00F10409" w:rsidRDefault="00F10409">
          <w:pPr>
            <w:pStyle w:val="TOC1"/>
            <w:tabs>
              <w:tab w:val="left" w:pos="72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789" w:history="1">
            <w:r w:rsidRPr="00D529C2">
              <w:rPr>
                <w:rStyle w:val="Hyperlink"/>
                <w:noProof/>
                <w:lang w:val="en-US"/>
              </w:rPr>
              <w:t>3.3.2.</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rPr>
              <w:t>Non-Exhaustive List of Situations</w:t>
            </w:r>
            <w:r>
              <w:rPr>
                <w:noProof/>
                <w:webHidden/>
              </w:rPr>
              <w:tab/>
            </w:r>
            <w:r>
              <w:rPr>
                <w:noProof/>
                <w:webHidden/>
              </w:rPr>
              <w:fldChar w:fldCharType="begin"/>
            </w:r>
            <w:r>
              <w:rPr>
                <w:noProof/>
                <w:webHidden/>
              </w:rPr>
              <w:instrText xml:space="preserve"> PAGEREF _Toc209451789 \h </w:instrText>
            </w:r>
            <w:r>
              <w:rPr>
                <w:noProof/>
                <w:webHidden/>
              </w:rPr>
            </w:r>
            <w:r>
              <w:rPr>
                <w:noProof/>
                <w:webHidden/>
              </w:rPr>
              <w:fldChar w:fldCharType="separate"/>
            </w:r>
            <w:r>
              <w:rPr>
                <w:noProof/>
                <w:webHidden/>
              </w:rPr>
              <w:t>7</w:t>
            </w:r>
            <w:r>
              <w:rPr>
                <w:noProof/>
                <w:webHidden/>
              </w:rPr>
              <w:fldChar w:fldCharType="end"/>
            </w:r>
          </w:hyperlink>
        </w:p>
        <w:p w14:paraId="4585266F" w14:textId="47613F58" w:rsidR="00F10409" w:rsidRDefault="00F10409">
          <w:pPr>
            <w:pStyle w:val="TOC1"/>
            <w:tabs>
              <w:tab w:val="left" w:pos="72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790" w:history="1">
            <w:r w:rsidRPr="00D529C2">
              <w:rPr>
                <w:rStyle w:val="Hyperlink"/>
                <w:noProof/>
                <w:lang w:val="en-US"/>
              </w:rPr>
              <w:t>3.3.3.</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rPr>
              <w:t>Particularity of Refusal to Contract</w:t>
            </w:r>
            <w:r>
              <w:rPr>
                <w:noProof/>
                <w:webHidden/>
              </w:rPr>
              <w:tab/>
            </w:r>
            <w:r>
              <w:rPr>
                <w:noProof/>
                <w:webHidden/>
              </w:rPr>
              <w:fldChar w:fldCharType="begin"/>
            </w:r>
            <w:r>
              <w:rPr>
                <w:noProof/>
                <w:webHidden/>
              </w:rPr>
              <w:instrText xml:space="preserve"> PAGEREF _Toc209451790 \h </w:instrText>
            </w:r>
            <w:r>
              <w:rPr>
                <w:noProof/>
                <w:webHidden/>
              </w:rPr>
            </w:r>
            <w:r>
              <w:rPr>
                <w:noProof/>
                <w:webHidden/>
              </w:rPr>
              <w:fldChar w:fldCharType="separate"/>
            </w:r>
            <w:r>
              <w:rPr>
                <w:noProof/>
                <w:webHidden/>
              </w:rPr>
              <w:t>7</w:t>
            </w:r>
            <w:r>
              <w:rPr>
                <w:noProof/>
                <w:webHidden/>
              </w:rPr>
              <w:fldChar w:fldCharType="end"/>
            </w:r>
          </w:hyperlink>
        </w:p>
        <w:p w14:paraId="2020460B" w14:textId="27986119" w:rsidR="00F10409" w:rsidRDefault="00F10409">
          <w:pPr>
            <w:pStyle w:val="TOC1"/>
            <w:tabs>
              <w:tab w:val="left" w:pos="72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791" w:history="1">
            <w:r w:rsidRPr="00D529C2">
              <w:rPr>
                <w:rStyle w:val="Hyperlink"/>
                <w:noProof/>
                <w:lang w:val="en-US"/>
              </w:rPr>
              <w:t>3.3.4.</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rPr>
              <w:t>A Relative Position of Dominance Suffices</w:t>
            </w:r>
            <w:r>
              <w:rPr>
                <w:noProof/>
                <w:webHidden/>
              </w:rPr>
              <w:tab/>
            </w:r>
            <w:r>
              <w:rPr>
                <w:noProof/>
                <w:webHidden/>
              </w:rPr>
              <w:fldChar w:fldCharType="begin"/>
            </w:r>
            <w:r>
              <w:rPr>
                <w:noProof/>
                <w:webHidden/>
              </w:rPr>
              <w:instrText xml:space="preserve"> PAGEREF _Toc209451791 \h </w:instrText>
            </w:r>
            <w:r>
              <w:rPr>
                <w:noProof/>
                <w:webHidden/>
              </w:rPr>
            </w:r>
            <w:r>
              <w:rPr>
                <w:noProof/>
                <w:webHidden/>
              </w:rPr>
              <w:fldChar w:fldCharType="separate"/>
            </w:r>
            <w:r>
              <w:rPr>
                <w:noProof/>
                <w:webHidden/>
              </w:rPr>
              <w:t>8</w:t>
            </w:r>
            <w:r>
              <w:rPr>
                <w:noProof/>
                <w:webHidden/>
              </w:rPr>
              <w:fldChar w:fldCharType="end"/>
            </w:r>
          </w:hyperlink>
        </w:p>
        <w:p w14:paraId="112BE60C" w14:textId="5AE91D56" w:rsidR="00F10409" w:rsidRDefault="00F10409">
          <w:pPr>
            <w:pStyle w:val="TOC1"/>
            <w:tabs>
              <w:tab w:val="left" w:pos="72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792" w:history="1">
            <w:r w:rsidRPr="00D529C2">
              <w:rPr>
                <w:rStyle w:val="Hyperlink"/>
                <w:noProof/>
                <w:lang w:val="en-US"/>
              </w:rPr>
              <w:t>3.4.</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rPr>
              <w:t>Potential Effect on Competition on the Belgian Market</w:t>
            </w:r>
            <w:r>
              <w:rPr>
                <w:noProof/>
                <w:webHidden/>
              </w:rPr>
              <w:tab/>
            </w:r>
            <w:r>
              <w:rPr>
                <w:noProof/>
                <w:webHidden/>
              </w:rPr>
              <w:fldChar w:fldCharType="begin"/>
            </w:r>
            <w:r>
              <w:rPr>
                <w:noProof/>
                <w:webHidden/>
              </w:rPr>
              <w:instrText xml:space="preserve"> PAGEREF _Toc209451792 \h </w:instrText>
            </w:r>
            <w:r>
              <w:rPr>
                <w:noProof/>
                <w:webHidden/>
              </w:rPr>
            </w:r>
            <w:r>
              <w:rPr>
                <w:noProof/>
                <w:webHidden/>
              </w:rPr>
              <w:fldChar w:fldCharType="separate"/>
            </w:r>
            <w:r>
              <w:rPr>
                <w:noProof/>
                <w:webHidden/>
              </w:rPr>
              <w:t>8</w:t>
            </w:r>
            <w:r>
              <w:rPr>
                <w:noProof/>
                <w:webHidden/>
              </w:rPr>
              <w:fldChar w:fldCharType="end"/>
            </w:r>
          </w:hyperlink>
        </w:p>
        <w:p w14:paraId="5C2509DD" w14:textId="681B74EE" w:rsidR="00F10409" w:rsidRDefault="00F10409">
          <w:pPr>
            <w:pStyle w:val="TOC1"/>
            <w:tabs>
              <w:tab w:val="left" w:pos="48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793" w:history="1">
            <w:r w:rsidRPr="00D529C2">
              <w:rPr>
                <w:rStyle w:val="Hyperlink"/>
                <w:noProof/>
                <w:lang w:val="en-US"/>
              </w:rPr>
              <w:t>4.</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rPr>
              <w:t>General, Sector-wide, Competition Law Concept</w:t>
            </w:r>
            <w:r>
              <w:rPr>
                <w:noProof/>
                <w:webHidden/>
              </w:rPr>
              <w:tab/>
            </w:r>
            <w:r>
              <w:rPr>
                <w:noProof/>
                <w:webHidden/>
              </w:rPr>
              <w:fldChar w:fldCharType="begin"/>
            </w:r>
            <w:r>
              <w:rPr>
                <w:noProof/>
                <w:webHidden/>
              </w:rPr>
              <w:instrText xml:space="preserve"> PAGEREF _Toc209451793 \h </w:instrText>
            </w:r>
            <w:r>
              <w:rPr>
                <w:noProof/>
                <w:webHidden/>
              </w:rPr>
            </w:r>
            <w:r>
              <w:rPr>
                <w:noProof/>
                <w:webHidden/>
              </w:rPr>
              <w:fldChar w:fldCharType="separate"/>
            </w:r>
            <w:r>
              <w:rPr>
                <w:noProof/>
                <w:webHidden/>
              </w:rPr>
              <w:t>9</w:t>
            </w:r>
            <w:r>
              <w:rPr>
                <w:noProof/>
                <w:webHidden/>
              </w:rPr>
              <w:fldChar w:fldCharType="end"/>
            </w:r>
          </w:hyperlink>
        </w:p>
        <w:p w14:paraId="13F84345" w14:textId="422E2DD8" w:rsidR="00F10409" w:rsidRDefault="00F10409">
          <w:pPr>
            <w:pStyle w:val="TOC1"/>
            <w:tabs>
              <w:tab w:val="left" w:pos="48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794" w:history="1">
            <w:r w:rsidRPr="00D529C2">
              <w:rPr>
                <w:rStyle w:val="Hyperlink"/>
                <w:noProof/>
                <w:lang w:val="en-US"/>
              </w:rPr>
              <w:t>5.</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rPr>
              <w:t>Enforcement</w:t>
            </w:r>
            <w:r>
              <w:rPr>
                <w:noProof/>
                <w:webHidden/>
              </w:rPr>
              <w:tab/>
            </w:r>
            <w:r>
              <w:rPr>
                <w:noProof/>
                <w:webHidden/>
              </w:rPr>
              <w:fldChar w:fldCharType="begin"/>
            </w:r>
            <w:r>
              <w:rPr>
                <w:noProof/>
                <w:webHidden/>
              </w:rPr>
              <w:instrText xml:space="preserve"> PAGEREF _Toc209451794 \h </w:instrText>
            </w:r>
            <w:r>
              <w:rPr>
                <w:noProof/>
                <w:webHidden/>
              </w:rPr>
            </w:r>
            <w:r>
              <w:rPr>
                <w:noProof/>
                <w:webHidden/>
              </w:rPr>
              <w:fldChar w:fldCharType="separate"/>
            </w:r>
            <w:r>
              <w:rPr>
                <w:noProof/>
                <w:webHidden/>
              </w:rPr>
              <w:t>10</w:t>
            </w:r>
            <w:r>
              <w:rPr>
                <w:noProof/>
                <w:webHidden/>
              </w:rPr>
              <w:fldChar w:fldCharType="end"/>
            </w:r>
          </w:hyperlink>
        </w:p>
        <w:p w14:paraId="36397BB1" w14:textId="530B0FD7" w:rsidR="00F10409" w:rsidRDefault="00F10409">
          <w:pPr>
            <w:pStyle w:val="TOC1"/>
            <w:tabs>
              <w:tab w:val="left" w:pos="72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795" w:history="1">
            <w:r w:rsidRPr="00D529C2">
              <w:rPr>
                <w:rStyle w:val="Hyperlink"/>
                <w:noProof/>
                <w:lang w:val="en-US"/>
              </w:rPr>
              <w:t>5.1.</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rPr>
              <w:t>Public Enforcement by the Belgian Competition Authority</w:t>
            </w:r>
            <w:r>
              <w:rPr>
                <w:noProof/>
                <w:webHidden/>
              </w:rPr>
              <w:tab/>
            </w:r>
            <w:r>
              <w:rPr>
                <w:noProof/>
                <w:webHidden/>
              </w:rPr>
              <w:fldChar w:fldCharType="begin"/>
            </w:r>
            <w:r>
              <w:rPr>
                <w:noProof/>
                <w:webHidden/>
              </w:rPr>
              <w:instrText xml:space="preserve"> PAGEREF _Toc209451795 \h </w:instrText>
            </w:r>
            <w:r>
              <w:rPr>
                <w:noProof/>
                <w:webHidden/>
              </w:rPr>
            </w:r>
            <w:r>
              <w:rPr>
                <w:noProof/>
                <w:webHidden/>
              </w:rPr>
              <w:fldChar w:fldCharType="separate"/>
            </w:r>
            <w:r>
              <w:rPr>
                <w:noProof/>
                <w:webHidden/>
              </w:rPr>
              <w:t>10</w:t>
            </w:r>
            <w:r>
              <w:rPr>
                <w:noProof/>
                <w:webHidden/>
              </w:rPr>
              <w:fldChar w:fldCharType="end"/>
            </w:r>
          </w:hyperlink>
        </w:p>
        <w:p w14:paraId="564B1608" w14:textId="3BAF7FD7" w:rsidR="00F10409" w:rsidRDefault="00F10409">
          <w:pPr>
            <w:pStyle w:val="TOC1"/>
            <w:tabs>
              <w:tab w:val="left" w:pos="72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796" w:history="1">
            <w:r w:rsidRPr="00D529C2">
              <w:rPr>
                <w:rStyle w:val="Hyperlink"/>
                <w:noProof/>
                <w:lang w:val="en-US"/>
              </w:rPr>
              <w:t>5.2.</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rPr>
              <w:t>Private Enforcement by Belgian Courts</w:t>
            </w:r>
            <w:r>
              <w:rPr>
                <w:noProof/>
                <w:webHidden/>
              </w:rPr>
              <w:tab/>
            </w:r>
            <w:r>
              <w:rPr>
                <w:noProof/>
                <w:webHidden/>
              </w:rPr>
              <w:fldChar w:fldCharType="begin"/>
            </w:r>
            <w:r>
              <w:rPr>
                <w:noProof/>
                <w:webHidden/>
              </w:rPr>
              <w:instrText xml:space="preserve"> PAGEREF _Toc209451796 \h </w:instrText>
            </w:r>
            <w:r>
              <w:rPr>
                <w:noProof/>
                <w:webHidden/>
              </w:rPr>
            </w:r>
            <w:r>
              <w:rPr>
                <w:noProof/>
                <w:webHidden/>
              </w:rPr>
              <w:fldChar w:fldCharType="separate"/>
            </w:r>
            <w:r>
              <w:rPr>
                <w:noProof/>
                <w:webHidden/>
              </w:rPr>
              <w:t>10</w:t>
            </w:r>
            <w:r>
              <w:rPr>
                <w:noProof/>
                <w:webHidden/>
              </w:rPr>
              <w:fldChar w:fldCharType="end"/>
            </w:r>
          </w:hyperlink>
        </w:p>
        <w:p w14:paraId="19991DDB" w14:textId="5A928EDA" w:rsidR="00F10409" w:rsidRDefault="00F10409">
          <w:pPr>
            <w:pStyle w:val="TOC1"/>
            <w:tabs>
              <w:tab w:val="left" w:pos="48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797" w:history="1">
            <w:r w:rsidRPr="00D529C2">
              <w:rPr>
                <w:rStyle w:val="Hyperlink"/>
                <w:noProof/>
                <w:lang w:val="en-US"/>
              </w:rPr>
              <w:t>6.</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rPr>
              <w:t>Critical Assessment</w:t>
            </w:r>
            <w:r>
              <w:rPr>
                <w:noProof/>
                <w:webHidden/>
              </w:rPr>
              <w:tab/>
            </w:r>
            <w:r>
              <w:rPr>
                <w:noProof/>
                <w:webHidden/>
              </w:rPr>
              <w:fldChar w:fldCharType="begin"/>
            </w:r>
            <w:r>
              <w:rPr>
                <w:noProof/>
                <w:webHidden/>
              </w:rPr>
              <w:instrText xml:space="preserve"> PAGEREF _Toc209451797 \h </w:instrText>
            </w:r>
            <w:r>
              <w:rPr>
                <w:noProof/>
                <w:webHidden/>
              </w:rPr>
            </w:r>
            <w:r>
              <w:rPr>
                <w:noProof/>
                <w:webHidden/>
              </w:rPr>
              <w:fldChar w:fldCharType="separate"/>
            </w:r>
            <w:r>
              <w:rPr>
                <w:noProof/>
                <w:webHidden/>
              </w:rPr>
              <w:t>12</w:t>
            </w:r>
            <w:r>
              <w:rPr>
                <w:noProof/>
                <w:webHidden/>
              </w:rPr>
              <w:fldChar w:fldCharType="end"/>
            </w:r>
          </w:hyperlink>
        </w:p>
        <w:p w14:paraId="221B1215" w14:textId="7EA75527" w:rsidR="00F10409" w:rsidRDefault="00F10409">
          <w:pPr>
            <w:pStyle w:val="TOC1"/>
            <w:tabs>
              <w:tab w:val="left" w:pos="72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798" w:history="1">
            <w:r w:rsidRPr="00D529C2">
              <w:rPr>
                <w:rStyle w:val="Hyperlink"/>
                <w:noProof/>
                <w:lang w:val="en-US"/>
              </w:rPr>
              <w:t>6.1.</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rPr>
              <w:t>Divergencies in Case Law due to Legal Uncertainty</w:t>
            </w:r>
            <w:r>
              <w:rPr>
                <w:noProof/>
                <w:webHidden/>
              </w:rPr>
              <w:tab/>
            </w:r>
            <w:r>
              <w:rPr>
                <w:noProof/>
                <w:webHidden/>
              </w:rPr>
              <w:fldChar w:fldCharType="begin"/>
            </w:r>
            <w:r>
              <w:rPr>
                <w:noProof/>
                <w:webHidden/>
              </w:rPr>
              <w:instrText xml:space="preserve"> PAGEREF _Toc209451798 \h </w:instrText>
            </w:r>
            <w:r>
              <w:rPr>
                <w:noProof/>
                <w:webHidden/>
              </w:rPr>
            </w:r>
            <w:r>
              <w:rPr>
                <w:noProof/>
                <w:webHidden/>
              </w:rPr>
              <w:fldChar w:fldCharType="separate"/>
            </w:r>
            <w:r>
              <w:rPr>
                <w:noProof/>
                <w:webHidden/>
              </w:rPr>
              <w:t>12</w:t>
            </w:r>
            <w:r>
              <w:rPr>
                <w:noProof/>
                <w:webHidden/>
              </w:rPr>
              <w:fldChar w:fldCharType="end"/>
            </w:r>
          </w:hyperlink>
        </w:p>
        <w:p w14:paraId="039179F6" w14:textId="233A626E" w:rsidR="00F10409" w:rsidRDefault="00F10409">
          <w:pPr>
            <w:pStyle w:val="TOC1"/>
            <w:tabs>
              <w:tab w:val="left" w:pos="72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799" w:history="1">
            <w:r w:rsidRPr="00D529C2">
              <w:rPr>
                <w:rStyle w:val="Hyperlink"/>
                <w:noProof/>
                <w:lang w:val="en-US"/>
              </w:rPr>
              <w:t>6.1.1.</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rPr>
              <w:t>Limitations and Uncertainties in Defining Economic Dependence and Establishing the Causal Link with Abusive Conduct</w:t>
            </w:r>
            <w:r>
              <w:rPr>
                <w:noProof/>
                <w:webHidden/>
              </w:rPr>
              <w:tab/>
            </w:r>
            <w:r>
              <w:rPr>
                <w:noProof/>
                <w:webHidden/>
              </w:rPr>
              <w:fldChar w:fldCharType="begin"/>
            </w:r>
            <w:r>
              <w:rPr>
                <w:noProof/>
                <w:webHidden/>
              </w:rPr>
              <w:instrText xml:space="preserve"> PAGEREF _Toc209451799 \h </w:instrText>
            </w:r>
            <w:r>
              <w:rPr>
                <w:noProof/>
                <w:webHidden/>
              </w:rPr>
            </w:r>
            <w:r>
              <w:rPr>
                <w:noProof/>
                <w:webHidden/>
              </w:rPr>
              <w:fldChar w:fldCharType="separate"/>
            </w:r>
            <w:r>
              <w:rPr>
                <w:noProof/>
                <w:webHidden/>
              </w:rPr>
              <w:t>12</w:t>
            </w:r>
            <w:r>
              <w:rPr>
                <w:noProof/>
                <w:webHidden/>
              </w:rPr>
              <w:fldChar w:fldCharType="end"/>
            </w:r>
          </w:hyperlink>
        </w:p>
        <w:p w14:paraId="7F008D08" w14:textId="2E57F787" w:rsidR="00F10409" w:rsidRDefault="00F10409">
          <w:pPr>
            <w:pStyle w:val="TOC1"/>
            <w:tabs>
              <w:tab w:val="left" w:pos="72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800" w:history="1">
            <w:r w:rsidRPr="00D529C2">
              <w:rPr>
                <w:rStyle w:val="Hyperlink"/>
                <w:noProof/>
                <w:lang w:val="en-US"/>
              </w:rPr>
              <w:t>6.1.2.</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rPr>
              <w:t>Different Interpretations of the Notion “Abuse”</w:t>
            </w:r>
            <w:r>
              <w:rPr>
                <w:noProof/>
                <w:webHidden/>
              </w:rPr>
              <w:tab/>
            </w:r>
            <w:r>
              <w:rPr>
                <w:noProof/>
                <w:webHidden/>
              </w:rPr>
              <w:fldChar w:fldCharType="begin"/>
            </w:r>
            <w:r>
              <w:rPr>
                <w:noProof/>
                <w:webHidden/>
              </w:rPr>
              <w:instrText xml:space="preserve"> PAGEREF _Toc209451800 \h </w:instrText>
            </w:r>
            <w:r>
              <w:rPr>
                <w:noProof/>
                <w:webHidden/>
              </w:rPr>
            </w:r>
            <w:r>
              <w:rPr>
                <w:noProof/>
                <w:webHidden/>
              </w:rPr>
              <w:fldChar w:fldCharType="separate"/>
            </w:r>
            <w:r>
              <w:rPr>
                <w:noProof/>
                <w:webHidden/>
              </w:rPr>
              <w:t>12</w:t>
            </w:r>
            <w:r>
              <w:rPr>
                <w:noProof/>
                <w:webHidden/>
              </w:rPr>
              <w:fldChar w:fldCharType="end"/>
            </w:r>
          </w:hyperlink>
        </w:p>
        <w:p w14:paraId="532F74B9" w14:textId="7C07293D" w:rsidR="00F10409" w:rsidRDefault="00F10409">
          <w:pPr>
            <w:pStyle w:val="TOC1"/>
            <w:tabs>
              <w:tab w:val="left" w:pos="72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801" w:history="1">
            <w:r w:rsidRPr="00D529C2">
              <w:rPr>
                <w:rStyle w:val="Hyperlink"/>
                <w:noProof/>
                <w:lang w:val="en-US"/>
              </w:rPr>
              <w:t>6.1.3.</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rPr>
              <w:t>Ignoring the Potential Impairment of Belgian Competition</w:t>
            </w:r>
            <w:r>
              <w:rPr>
                <w:noProof/>
                <w:webHidden/>
              </w:rPr>
              <w:tab/>
            </w:r>
            <w:r>
              <w:rPr>
                <w:noProof/>
                <w:webHidden/>
              </w:rPr>
              <w:fldChar w:fldCharType="begin"/>
            </w:r>
            <w:r>
              <w:rPr>
                <w:noProof/>
                <w:webHidden/>
              </w:rPr>
              <w:instrText xml:space="preserve"> PAGEREF _Toc209451801 \h </w:instrText>
            </w:r>
            <w:r>
              <w:rPr>
                <w:noProof/>
                <w:webHidden/>
              </w:rPr>
            </w:r>
            <w:r>
              <w:rPr>
                <w:noProof/>
                <w:webHidden/>
              </w:rPr>
              <w:fldChar w:fldCharType="separate"/>
            </w:r>
            <w:r>
              <w:rPr>
                <w:noProof/>
                <w:webHidden/>
              </w:rPr>
              <w:t>13</w:t>
            </w:r>
            <w:r>
              <w:rPr>
                <w:noProof/>
                <w:webHidden/>
              </w:rPr>
              <w:fldChar w:fldCharType="end"/>
            </w:r>
          </w:hyperlink>
        </w:p>
        <w:p w14:paraId="5E9DD11F" w14:textId="79B330F3" w:rsidR="00F10409" w:rsidRDefault="00F10409">
          <w:pPr>
            <w:pStyle w:val="TOC1"/>
            <w:tabs>
              <w:tab w:val="left" w:pos="72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802" w:history="1">
            <w:r w:rsidRPr="00D529C2">
              <w:rPr>
                <w:rStyle w:val="Hyperlink"/>
                <w:noProof/>
                <w:lang w:val="en-US"/>
              </w:rPr>
              <w:t>6.2.</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rPr>
              <w:t>Parallels with Other Legal Concepts</w:t>
            </w:r>
            <w:r>
              <w:rPr>
                <w:noProof/>
                <w:webHidden/>
              </w:rPr>
              <w:tab/>
            </w:r>
            <w:r>
              <w:rPr>
                <w:noProof/>
                <w:webHidden/>
              </w:rPr>
              <w:fldChar w:fldCharType="begin"/>
            </w:r>
            <w:r>
              <w:rPr>
                <w:noProof/>
                <w:webHidden/>
              </w:rPr>
              <w:instrText xml:space="preserve"> PAGEREF _Toc209451802 \h </w:instrText>
            </w:r>
            <w:r>
              <w:rPr>
                <w:noProof/>
                <w:webHidden/>
              </w:rPr>
            </w:r>
            <w:r>
              <w:rPr>
                <w:noProof/>
                <w:webHidden/>
              </w:rPr>
              <w:fldChar w:fldCharType="separate"/>
            </w:r>
            <w:r>
              <w:rPr>
                <w:noProof/>
                <w:webHidden/>
              </w:rPr>
              <w:t>14</w:t>
            </w:r>
            <w:r>
              <w:rPr>
                <w:noProof/>
                <w:webHidden/>
              </w:rPr>
              <w:fldChar w:fldCharType="end"/>
            </w:r>
          </w:hyperlink>
        </w:p>
        <w:p w14:paraId="676C6C06" w14:textId="7682B9F2" w:rsidR="00F10409" w:rsidRDefault="00F10409">
          <w:pPr>
            <w:pStyle w:val="TOC1"/>
            <w:tabs>
              <w:tab w:val="left" w:pos="480"/>
              <w:tab w:val="right" w:leader="dot" w:pos="9208"/>
            </w:tabs>
            <w:rPr>
              <w:rFonts w:asciiTheme="minorHAnsi" w:eastAsiaTheme="minorEastAsia" w:hAnsiTheme="minorHAnsi" w:cstheme="minorBidi"/>
              <w:noProof/>
              <w:kern w:val="2"/>
              <w:sz w:val="24"/>
              <w:szCs w:val="24"/>
              <w:lang w:val="en-US"/>
              <w14:ligatures w14:val="standardContextual"/>
            </w:rPr>
          </w:pPr>
          <w:hyperlink w:anchor="_Toc209451803" w:history="1">
            <w:r w:rsidRPr="00D529C2">
              <w:rPr>
                <w:rStyle w:val="Hyperlink"/>
                <w:noProof/>
                <w:lang w:val="en-US"/>
              </w:rPr>
              <w:t>7.</w:t>
            </w:r>
            <w:r>
              <w:rPr>
                <w:rFonts w:asciiTheme="minorHAnsi" w:eastAsiaTheme="minorEastAsia" w:hAnsiTheme="minorHAnsi" w:cstheme="minorBidi"/>
                <w:noProof/>
                <w:kern w:val="2"/>
                <w:sz w:val="24"/>
                <w:szCs w:val="24"/>
                <w:lang w:val="en-US"/>
                <w14:ligatures w14:val="standardContextual"/>
              </w:rPr>
              <w:tab/>
            </w:r>
            <w:r w:rsidRPr="00D529C2">
              <w:rPr>
                <w:rStyle w:val="Hyperlink"/>
                <w:noProof/>
              </w:rPr>
              <w:t>Conclusion: Necessity of a Prohibition on Abuse of Economic Dependence?</w:t>
            </w:r>
            <w:r>
              <w:rPr>
                <w:noProof/>
                <w:webHidden/>
              </w:rPr>
              <w:tab/>
            </w:r>
            <w:r>
              <w:rPr>
                <w:noProof/>
                <w:webHidden/>
              </w:rPr>
              <w:fldChar w:fldCharType="begin"/>
            </w:r>
            <w:r>
              <w:rPr>
                <w:noProof/>
                <w:webHidden/>
              </w:rPr>
              <w:instrText xml:space="preserve"> PAGEREF _Toc209451803 \h </w:instrText>
            </w:r>
            <w:r>
              <w:rPr>
                <w:noProof/>
                <w:webHidden/>
              </w:rPr>
            </w:r>
            <w:r>
              <w:rPr>
                <w:noProof/>
                <w:webHidden/>
              </w:rPr>
              <w:fldChar w:fldCharType="separate"/>
            </w:r>
            <w:r>
              <w:rPr>
                <w:noProof/>
                <w:webHidden/>
              </w:rPr>
              <w:t>15</w:t>
            </w:r>
            <w:r>
              <w:rPr>
                <w:noProof/>
                <w:webHidden/>
              </w:rPr>
              <w:fldChar w:fldCharType="end"/>
            </w:r>
          </w:hyperlink>
        </w:p>
        <w:p w14:paraId="6ED9AC19" w14:textId="4579133F" w:rsidR="00243179" w:rsidRPr="00F53942" w:rsidRDefault="00243179">
          <w:pPr>
            <w:rPr>
              <w:sz w:val="20"/>
              <w:szCs w:val="20"/>
            </w:rPr>
          </w:pPr>
          <w:r w:rsidRPr="00F53942">
            <w:rPr>
              <w:sz w:val="20"/>
              <w:szCs w:val="20"/>
            </w:rPr>
            <w:fldChar w:fldCharType="end"/>
          </w:r>
        </w:p>
      </w:sdtContent>
    </w:sdt>
    <w:p w14:paraId="43ABBA2A" w14:textId="77777777" w:rsidR="00243179" w:rsidRPr="00F53942" w:rsidRDefault="00243179">
      <w:pPr>
        <w:rPr>
          <w:b/>
          <w:bCs/>
          <w:sz w:val="20"/>
          <w:szCs w:val="20"/>
        </w:rPr>
      </w:pPr>
      <w:r w:rsidRPr="00F53942">
        <w:rPr>
          <w:sz w:val="20"/>
          <w:szCs w:val="20"/>
        </w:rPr>
        <w:br w:type="page"/>
      </w:r>
    </w:p>
    <w:p w14:paraId="7969B2BA" w14:textId="34377CC3" w:rsidR="00AC0084" w:rsidRPr="00F53942" w:rsidRDefault="006133D1" w:rsidP="00545012">
      <w:pPr>
        <w:pStyle w:val="Heading1"/>
        <w:numPr>
          <w:ilvl w:val="0"/>
          <w:numId w:val="1"/>
        </w:numPr>
        <w:tabs>
          <w:tab w:val="left" w:pos="363"/>
        </w:tabs>
        <w:spacing w:after="140" w:line="290" w:lineRule="auto"/>
        <w:ind w:right="6"/>
        <w:jc w:val="both"/>
        <w:rPr>
          <w:sz w:val="20"/>
          <w:szCs w:val="20"/>
        </w:rPr>
      </w:pPr>
      <w:bookmarkStart w:id="0" w:name="_Toc209451778"/>
      <w:r w:rsidRPr="00F53942">
        <w:rPr>
          <w:sz w:val="20"/>
          <w:szCs w:val="20"/>
        </w:rPr>
        <w:lastRenderedPageBreak/>
        <w:t>I</w:t>
      </w:r>
      <w:r w:rsidR="00AC0084" w:rsidRPr="00F53942">
        <w:rPr>
          <w:sz w:val="20"/>
          <w:szCs w:val="20"/>
        </w:rPr>
        <w:t>ntroduction</w:t>
      </w:r>
      <w:bookmarkEnd w:id="0"/>
    </w:p>
    <w:p w14:paraId="71964FCA" w14:textId="77777777" w:rsidR="00BC445C" w:rsidRPr="00F53942" w:rsidRDefault="00BC445C" w:rsidP="00BC445C">
      <w:pPr>
        <w:widowControl/>
        <w:shd w:val="clear" w:color="auto" w:fill="FFFFFF"/>
        <w:autoSpaceDE/>
        <w:autoSpaceDN/>
        <w:spacing w:after="140" w:line="290" w:lineRule="auto"/>
        <w:ind w:left="3"/>
        <w:jc w:val="both"/>
        <w:rPr>
          <w:color w:val="000000"/>
          <w:sz w:val="20"/>
          <w:szCs w:val="20"/>
        </w:rPr>
      </w:pPr>
      <w:r w:rsidRPr="00F53942">
        <w:rPr>
          <w:color w:val="000000"/>
          <w:sz w:val="20"/>
          <w:szCs w:val="20"/>
        </w:rPr>
        <w:t>The emergence of the prohibition on abuse of economic dependence under Belgian law represents a significant evolution in the field of competition and business-to-business (B2B) relations. Historically, the focus in both Belgian and European competition law was placed squarely on abusive conduct by undertakings holding a dominant position within a relevant market. However, the novel Belgian approach, drawing on developments in France, Germany and other legal orders, responds to perceived gaps in the law: instances where a business is unable to act independently due to the relative bargaining position of a trading partner, even in the absence of classical market dominance.</w:t>
      </w:r>
    </w:p>
    <w:p w14:paraId="2E7FFF08" w14:textId="1B164D34" w:rsidR="00BC445C" w:rsidRPr="00F53942" w:rsidRDefault="00BC445C" w:rsidP="00BC445C">
      <w:pPr>
        <w:widowControl/>
        <w:shd w:val="clear" w:color="auto" w:fill="FFFFFF"/>
        <w:autoSpaceDE/>
        <w:autoSpaceDN/>
        <w:spacing w:after="140" w:line="290" w:lineRule="auto"/>
        <w:jc w:val="both"/>
        <w:rPr>
          <w:color w:val="000000"/>
          <w:sz w:val="20"/>
          <w:szCs w:val="20"/>
        </w:rPr>
      </w:pPr>
      <w:r w:rsidRPr="00F53942">
        <w:rPr>
          <w:color w:val="000000"/>
          <w:sz w:val="20"/>
          <w:szCs w:val="20"/>
        </w:rPr>
        <w:t>This chapter offers an in-depth exploration of the prohibition as codified in Article IV.2/1 of the Belgian Code of Economic Law (BCEL), tracking its legislative origins, analytic framework, enforcement mechanisms, and practical application in Belgian courts. Special attention is given to issues of legal certainty</w:t>
      </w:r>
      <w:r w:rsidR="000D0E4D" w:rsidRPr="00F53942">
        <w:rPr>
          <w:color w:val="000000"/>
          <w:sz w:val="20"/>
          <w:szCs w:val="20"/>
        </w:rPr>
        <w:t xml:space="preserve"> and</w:t>
      </w:r>
      <w:r w:rsidRPr="00F53942">
        <w:rPr>
          <w:color w:val="000000"/>
          <w:sz w:val="20"/>
          <w:szCs w:val="20"/>
        </w:rPr>
        <w:t xml:space="preserve"> overlap with other legal provisions. The analysis draws extensively on academic and practical commentary, as well as the latest case law.</w:t>
      </w:r>
    </w:p>
    <w:p w14:paraId="6ECF7A6D" w14:textId="3F5F24D1" w:rsidR="00545012" w:rsidRPr="00F53942" w:rsidRDefault="00545012" w:rsidP="00545012">
      <w:pPr>
        <w:pStyle w:val="Heading1"/>
        <w:numPr>
          <w:ilvl w:val="0"/>
          <w:numId w:val="1"/>
        </w:numPr>
        <w:tabs>
          <w:tab w:val="left" w:pos="363"/>
        </w:tabs>
        <w:spacing w:after="140" w:line="290" w:lineRule="auto"/>
        <w:ind w:right="6"/>
        <w:jc w:val="both"/>
        <w:rPr>
          <w:sz w:val="20"/>
          <w:szCs w:val="20"/>
        </w:rPr>
      </w:pPr>
      <w:bookmarkStart w:id="1" w:name="_Toc209451779"/>
      <w:r w:rsidRPr="00F53942">
        <w:rPr>
          <w:spacing w:val="-2"/>
          <w:sz w:val="20"/>
          <w:szCs w:val="20"/>
        </w:rPr>
        <w:t>Legislative Framework and Background</w:t>
      </w:r>
      <w:bookmarkEnd w:id="1"/>
    </w:p>
    <w:p w14:paraId="1F3FB3A6" w14:textId="0AE61F9E" w:rsidR="00BC445C" w:rsidRPr="00F53942" w:rsidRDefault="00BC445C" w:rsidP="00BC445C">
      <w:pPr>
        <w:widowControl/>
        <w:shd w:val="clear" w:color="auto" w:fill="FFFFFF"/>
        <w:autoSpaceDE/>
        <w:autoSpaceDN/>
        <w:spacing w:after="140" w:line="290" w:lineRule="auto"/>
        <w:jc w:val="both"/>
        <w:rPr>
          <w:color w:val="000000"/>
          <w:sz w:val="20"/>
          <w:szCs w:val="20"/>
        </w:rPr>
      </w:pPr>
      <w:r w:rsidRPr="00F53942">
        <w:rPr>
          <w:color w:val="000000"/>
          <w:sz w:val="20"/>
          <w:szCs w:val="20"/>
        </w:rPr>
        <w:t>For decades, Belgian law addressed abusive conduct by dominant undertakings primarily through the prohibition of abuse of dominance</w:t>
      </w:r>
      <w:r w:rsidR="00653313" w:rsidRPr="00F53942">
        <w:rPr>
          <w:color w:val="000000"/>
          <w:sz w:val="20"/>
          <w:szCs w:val="20"/>
        </w:rPr>
        <w:t xml:space="preserve"> –</w:t>
      </w:r>
      <w:r w:rsidRPr="00F53942">
        <w:rPr>
          <w:color w:val="000000"/>
          <w:sz w:val="20"/>
          <w:szCs w:val="20"/>
        </w:rPr>
        <w:t xml:space="preserve"> in line with Article 102 Treaty on the Functioning of the European Union (TFEU), and translated domestically in Article IV.2 BCEL. </w:t>
      </w:r>
      <w:r w:rsidR="000D0E4D" w:rsidRPr="00F53942">
        <w:rPr>
          <w:color w:val="000000"/>
          <w:sz w:val="20"/>
          <w:szCs w:val="20"/>
        </w:rPr>
        <w:t>However</w:t>
      </w:r>
      <w:r w:rsidRPr="00F53942">
        <w:rPr>
          <w:color w:val="000000"/>
          <w:sz w:val="20"/>
          <w:szCs w:val="20"/>
        </w:rPr>
        <w:t xml:space="preserve">, this </w:t>
      </w:r>
      <w:r w:rsidR="000D0E4D" w:rsidRPr="00F53942">
        <w:rPr>
          <w:color w:val="000000"/>
          <w:sz w:val="20"/>
          <w:szCs w:val="20"/>
        </w:rPr>
        <w:t>framework</w:t>
      </w:r>
      <w:r w:rsidRPr="00F53942">
        <w:rPr>
          <w:color w:val="000000"/>
          <w:sz w:val="20"/>
          <w:szCs w:val="20"/>
        </w:rPr>
        <w:t xml:space="preserve"> left certain B2B practices largely unaddressed, in particular situations where one party </w:t>
      </w:r>
      <w:r w:rsidR="000D0E4D" w:rsidRPr="00F53942">
        <w:rPr>
          <w:color w:val="000000"/>
          <w:sz w:val="20"/>
          <w:szCs w:val="20"/>
        </w:rPr>
        <w:t>could exert</w:t>
      </w:r>
      <w:r w:rsidRPr="00F53942">
        <w:rPr>
          <w:color w:val="000000"/>
          <w:sz w:val="20"/>
          <w:szCs w:val="20"/>
        </w:rPr>
        <w:t xml:space="preserve"> disproportionate influence over another </w:t>
      </w:r>
      <w:r w:rsidR="000D0E4D" w:rsidRPr="00F53942">
        <w:rPr>
          <w:color w:val="000000"/>
          <w:sz w:val="20"/>
          <w:szCs w:val="20"/>
        </w:rPr>
        <w:t>despite not holding</w:t>
      </w:r>
      <w:r w:rsidRPr="00F53942">
        <w:rPr>
          <w:color w:val="000000"/>
          <w:sz w:val="20"/>
          <w:szCs w:val="20"/>
        </w:rPr>
        <w:t xml:space="preserve"> a </w:t>
      </w:r>
      <w:r w:rsidR="000D0E4D" w:rsidRPr="00F53942">
        <w:rPr>
          <w:color w:val="000000"/>
          <w:sz w:val="20"/>
          <w:szCs w:val="20"/>
        </w:rPr>
        <w:t xml:space="preserve">classical </w:t>
      </w:r>
      <w:r w:rsidRPr="00F53942">
        <w:rPr>
          <w:color w:val="000000"/>
          <w:sz w:val="20"/>
          <w:szCs w:val="20"/>
        </w:rPr>
        <w:t>market-dominant position.</w:t>
      </w:r>
      <w:r w:rsidR="00334BC0" w:rsidRPr="00F53942">
        <w:rPr>
          <w:rStyle w:val="FootnoteReference"/>
          <w:color w:val="000000"/>
          <w:sz w:val="20"/>
          <w:szCs w:val="20"/>
        </w:rPr>
        <w:footnoteReference w:id="2"/>
      </w:r>
      <w:r w:rsidRPr="00F53942">
        <w:rPr>
          <w:color w:val="000000"/>
          <w:sz w:val="20"/>
          <w:szCs w:val="20"/>
        </w:rPr>
        <w:t xml:space="preserve"> These concerns were especially acute in distribution, franchising, and asymmetric supply chain relationships.</w:t>
      </w:r>
      <w:r w:rsidR="001A1AD9" w:rsidRPr="00F53942">
        <w:rPr>
          <w:rStyle w:val="FootnoteReference"/>
          <w:sz w:val="20"/>
          <w:szCs w:val="20"/>
        </w:rPr>
        <w:footnoteReference w:id="3"/>
      </w:r>
    </w:p>
    <w:p w14:paraId="29015073" w14:textId="446E83FE" w:rsidR="00BC445C" w:rsidRPr="00F53942" w:rsidRDefault="00BC445C" w:rsidP="00653313">
      <w:pPr>
        <w:widowControl/>
        <w:shd w:val="clear" w:color="auto" w:fill="FFFFFF"/>
        <w:autoSpaceDE/>
        <w:autoSpaceDN/>
        <w:spacing w:after="140" w:line="290" w:lineRule="auto"/>
        <w:jc w:val="both"/>
        <w:rPr>
          <w:color w:val="000000"/>
          <w:sz w:val="20"/>
          <w:szCs w:val="20"/>
        </w:rPr>
      </w:pPr>
      <w:r w:rsidRPr="00F53942">
        <w:rPr>
          <w:color w:val="000000"/>
          <w:sz w:val="20"/>
          <w:szCs w:val="20"/>
        </w:rPr>
        <w:t xml:space="preserve">Inspired by similar debates in </w:t>
      </w:r>
      <w:r w:rsidR="006D4258" w:rsidRPr="00F53942">
        <w:rPr>
          <w:color w:val="000000"/>
          <w:sz w:val="20"/>
          <w:szCs w:val="20"/>
        </w:rPr>
        <w:t xml:space="preserve">neighbouring countries </w:t>
      </w:r>
      <w:r w:rsidRPr="00F53942">
        <w:rPr>
          <w:color w:val="000000"/>
          <w:sz w:val="20"/>
          <w:szCs w:val="20"/>
        </w:rPr>
        <w:t>France and Germany</w:t>
      </w:r>
      <w:r w:rsidR="006D4258" w:rsidRPr="00F53942">
        <w:rPr>
          <w:color w:val="000000"/>
          <w:sz w:val="20"/>
          <w:szCs w:val="20"/>
        </w:rPr>
        <w:t xml:space="preserve">, but also in </w:t>
      </w:r>
      <w:r w:rsidR="006D4258" w:rsidRPr="00F53942">
        <w:rPr>
          <w:sz w:val="20"/>
          <w:szCs w:val="20"/>
        </w:rPr>
        <w:t>Cyprus, Greece, Hungary, Italy, Austria, Portugal, Romania, Slovakia</w:t>
      </w:r>
      <w:r w:rsidR="0007624B">
        <w:rPr>
          <w:sz w:val="20"/>
          <w:szCs w:val="20"/>
        </w:rPr>
        <w:t xml:space="preserve"> and</w:t>
      </w:r>
      <w:r w:rsidR="006D4258" w:rsidRPr="00F53942">
        <w:rPr>
          <w:sz w:val="20"/>
          <w:szCs w:val="20"/>
        </w:rPr>
        <w:t xml:space="preserve"> Spain</w:t>
      </w:r>
      <w:r w:rsidRPr="00F53942">
        <w:rPr>
          <w:color w:val="000000"/>
          <w:sz w:val="20"/>
          <w:szCs w:val="20"/>
        </w:rPr>
        <w:t xml:space="preserve">, Belgium enacted the B2B </w:t>
      </w:r>
      <w:r w:rsidR="00334BC0" w:rsidRPr="00F53942">
        <w:rPr>
          <w:color w:val="000000"/>
          <w:sz w:val="20"/>
          <w:szCs w:val="20"/>
        </w:rPr>
        <w:t xml:space="preserve">Law </w:t>
      </w:r>
      <w:r w:rsidRPr="00F53942">
        <w:rPr>
          <w:color w:val="000000"/>
          <w:sz w:val="20"/>
          <w:szCs w:val="20"/>
        </w:rPr>
        <w:t>of 4 April 2019</w:t>
      </w:r>
      <w:r w:rsidR="00334BC0" w:rsidRPr="00F53942">
        <w:rPr>
          <w:color w:val="000000"/>
          <w:sz w:val="20"/>
          <w:szCs w:val="20"/>
        </w:rPr>
        <w:t>,</w:t>
      </w:r>
      <w:r w:rsidRPr="00F53942">
        <w:rPr>
          <w:rStyle w:val="FootnoteReference"/>
          <w:color w:val="000000"/>
          <w:sz w:val="20"/>
          <w:szCs w:val="20"/>
        </w:rPr>
        <w:footnoteReference w:id="4"/>
      </w:r>
      <w:r w:rsidRPr="00F53942">
        <w:rPr>
          <w:color w:val="000000"/>
          <w:sz w:val="20"/>
          <w:szCs w:val="20"/>
        </w:rPr>
        <w:t xml:space="preserve"> introducing the concept of </w:t>
      </w:r>
      <w:r w:rsidR="00993465" w:rsidRPr="00F53942">
        <w:rPr>
          <w:color w:val="000000"/>
          <w:sz w:val="20"/>
          <w:szCs w:val="20"/>
        </w:rPr>
        <w:t>“</w:t>
      </w:r>
      <w:r w:rsidRPr="00F53942">
        <w:rPr>
          <w:color w:val="000000"/>
          <w:sz w:val="20"/>
          <w:szCs w:val="20"/>
        </w:rPr>
        <w:t>economic dependence</w:t>
      </w:r>
      <w:r w:rsidR="00993465" w:rsidRPr="00F53942">
        <w:rPr>
          <w:color w:val="000000"/>
          <w:sz w:val="20"/>
          <w:szCs w:val="20"/>
        </w:rPr>
        <w:t>”</w:t>
      </w:r>
      <w:r w:rsidRPr="00F53942">
        <w:rPr>
          <w:color w:val="000000"/>
          <w:sz w:val="20"/>
          <w:szCs w:val="20"/>
        </w:rPr>
        <w:t xml:space="preserve"> into Belgian competition law. The relevant provision</w:t>
      </w:r>
      <w:r w:rsidR="00653313" w:rsidRPr="00F53942">
        <w:rPr>
          <w:color w:val="000000"/>
          <w:sz w:val="20"/>
          <w:szCs w:val="20"/>
        </w:rPr>
        <w:t xml:space="preserve">, which entered into force on 22 August 2020, is enshrined in </w:t>
      </w:r>
      <w:r w:rsidRPr="00F53942">
        <w:rPr>
          <w:color w:val="000000"/>
          <w:sz w:val="20"/>
          <w:szCs w:val="20"/>
        </w:rPr>
        <w:t>Article IV.2/1 BCEL</w:t>
      </w:r>
      <w:r w:rsidR="000D0E4D" w:rsidRPr="00F53942">
        <w:rPr>
          <w:color w:val="000000"/>
          <w:sz w:val="20"/>
          <w:szCs w:val="20"/>
        </w:rPr>
        <w:t xml:space="preserve">. </w:t>
      </w:r>
      <w:r w:rsidRPr="00F53942">
        <w:rPr>
          <w:color w:val="000000"/>
          <w:sz w:val="20"/>
          <w:szCs w:val="20"/>
        </w:rPr>
        <w:t>The legislat</w:t>
      </w:r>
      <w:r w:rsidR="000D0E4D" w:rsidRPr="00F53942">
        <w:rPr>
          <w:color w:val="000000"/>
          <w:sz w:val="20"/>
          <w:szCs w:val="20"/>
        </w:rPr>
        <w:t>or</w:t>
      </w:r>
      <w:r w:rsidR="00653313" w:rsidRPr="00F53942">
        <w:rPr>
          <w:color w:val="000000"/>
          <w:sz w:val="20"/>
          <w:szCs w:val="20"/>
        </w:rPr>
        <w:t xml:space="preserve">’s </w:t>
      </w:r>
      <w:r w:rsidRPr="00F53942">
        <w:rPr>
          <w:color w:val="000000"/>
          <w:sz w:val="20"/>
          <w:szCs w:val="20"/>
        </w:rPr>
        <w:t>stated goal was to rebalance commercial relationships where one party is, in practical terms, “locked in”, lacking sufficient viable alternatives and thus susceptible to unjustified or exploitative conduct by a counterparty.</w:t>
      </w:r>
    </w:p>
    <w:p w14:paraId="213803F9" w14:textId="1A3D19DB" w:rsidR="00653313" w:rsidRPr="00F53942" w:rsidRDefault="00653313" w:rsidP="00653313">
      <w:pPr>
        <w:widowControl/>
        <w:shd w:val="clear" w:color="auto" w:fill="FFFFFF"/>
        <w:autoSpaceDE/>
        <w:autoSpaceDN/>
        <w:spacing w:after="140" w:line="290" w:lineRule="auto"/>
        <w:jc w:val="both"/>
        <w:rPr>
          <w:sz w:val="20"/>
          <w:szCs w:val="20"/>
        </w:rPr>
      </w:pPr>
      <w:r w:rsidRPr="00F53942">
        <w:rPr>
          <w:color w:val="000000"/>
          <w:sz w:val="20"/>
          <w:szCs w:val="20"/>
        </w:rPr>
        <w:t xml:space="preserve">The introduction of the prohibition on abuse of economic dependence was a long-term project. </w:t>
      </w:r>
      <w:r w:rsidRPr="00F53942">
        <w:rPr>
          <w:sz w:val="20"/>
          <w:szCs w:val="20"/>
        </w:rPr>
        <w:t xml:space="preserve">The first legislative initiative </w:t>
      </w:r>
      <w:r w:rsidR="000D0E4D" w:rsidRPr="00F53942">
        <w:rPr>
          <w:sz w:val="20"/>
          <w:szCs w:val="20"/>
        </w:rPr>
        <w:t xml:space="preserve">seeking </w:t>
      </w:r>
      <w:r w:rsidRPr="00F53942">
        <w:rPr>
          <w:sz w:val="20"/>
          <w:szCs w:val="20"/>
        </w:rPr>
        <w:t xml:space="preserve">to introduce </w:t>
      </w:r>
      <w:r w:rsidR="000D0E4D" w:rsidRPr="00F53942">
        <w:rPr>
          <w:sz w:val="20"/>
          <w:szCs w:val="20"/>
        </w:rPr>
        <w:t xml:space="preserve">such </w:t>
      </w:r>
      <w:r w:rsidRPr="00F53942">
        <w:rPr>
          <w:sz w:val="20"/>
          <w:szCs w:val="20"/>
        </w:rPr>
        <w:t>prohibition dates from January 2015.</w:t>
      </w:r>
      <w:r w:rsidRPr="00F53942">
        <w:rPr>
          <w:rStyle w:val="FootnoteReference"/>
          <w:sz w:val="20"/>
          <w:szCs w:val="20"/>
        </w:rPr>
        <w:footnoteReference w:id="5"/>
      </w:r>
      <w:r w:rsidRPr="00F53942">
        <w:rPr>
          <w:sz w:val="20"/>
          <w:szCs w:val="20"/>
        </w:rPr>
        <w:t xml:space="preserve"> It concerned a legislative proposal to amend the </w:t>
      </w:r>
      <w:r w:rsidR="000D0E4D" w:rsidRPr="00F53942">
        <w:rPr>
          <w:sz w:val="20"/>
          <w:szCs w:val="20"/>
        </w:rPr>
        <w:t>Belgian Code of Economic Law</w:t>
      </w:r>
      <w:r w:rsidRPr="00F53942">
        <w:rPr>
          <w:sz w:val="20"/>
          <w:szCs w:val="20"/>
        </w:rPr>
        <w:t xml:space="preserve"> </w:t>
      </w:r>
      <w:r w:rsidR="00334BC0" w:rsidRPr="00F53942">
        <w:rPr>
          <w:sz w:val="20"/>
          <w:szCs w:val="20"/>
        </w:rPr>
        <w:t>“</w:t>
      </w:r>
      <w:r w:rsidRPr="00F53942">
        <w:rPr>
          <w:sz w:val="20"/>
          <w:szCs w:val="20"/>
        </w:rPr>
        <w:t>with regard to the abuse of a significant position of power</w:t>
      </w:r>
      <w:r w:rsidR="00334BC0" w:rsidRPr="00F53942">
        <w:rPr>
          <w:sz w:val="20"/>
          <w:szCs w:val="20"/>
        </w:rPr>
        <w:t>”</w:t>
      </w:r>
      <w:r w:rsidRPr="00F53942">
        <w:rPr>
          <w:sz w:val="20"/>
          <w:szCs w:val="20"/>
        </w:rPr>
        <w:t xml:space="preserve">. </w:t>
      </w:r>
      <w:r w:rsidR="000D0E4D" w:rsidRPr="00F53942">
        <w:rPr>
          <w:sz w:val="20"/>
          <w:szCs w:val="20"/>
        </w:rPr>
        <w:t>According to the drafters</w:t>
      </w:r>
      <w:r w:rsidRPr="00F53942">
        <w:rPr>
          <w:sz w:val="20"/>
          <w:szCs w:val="20"/>
        </w:rPr>
        <w:t xml:space="preserve"> of the bill a </w:t>
      </w:r>
      <w:r w:rsidR="00334BC0" w:rsidRPr="00F53942">
        <w:rPr>
          <w:sz w:val="20"/>
          <w:szCs w:val="20"/>
        </w:rPr>
        <w:t>“</w:t>
      </w:r>
      <w:r w:rsidRPr="00F53942">
        <w:rPr>
          <w:sz w:val="20"/>
          <w:szCs w:val="20"/>
        </w:rPr>
        <w:t>significant position of power</w:t>
      </w:r>
      <w:r w:rsidR="00334BC0" w:rsidRPr="00F53942">
        <w:rPr>
          <w:sz w:val="20"/>
          <w:szCs w:val="20"/>
        </w:rPr>
        <w:t>”</w:t>
      </w:r>
      <w:r w:rsidRPr="00F53942">
        <w:rPr>
          <w:sz w:val="20"/>
          <w:szCs w:val="20"/>
        </w:rPr>
        <w:t xml:space="preserve"> existed if there was a relationship of economic dependency between buyer and seller. T</w:t>
      </w:r>
      <w:r w:rsidR="000D0E4D" w:rsidRPr="00F53942">
        <w:rPr>
          <w:sz w:val="20"/>
          <w:szCs w:val="20"/>
        </w:rPr>
        <w:t>his proposal</w:t>
      </w:r>
      <w:r w:rsidRPr="00F53942">
        <w:rPr>
          <w:sz w:val="20"/>
          <w:szCs w:val="20"/>
        </w:rPr>
        <w:t xml:space="preserve"> mainly targeted long-term vertical relationships – i.e., relationships between market players at different levels in the chain and not so much relationships between competitors – and cited the relationship between farmers and supermarket chains as an example. </w:t>
      </w:r>
      <w:r w:rsidR="006C41D2" w:rsidRPr="006C41D2">
        <w:rPr>
          <w:sz w:val="20"/>
          <w:szCs w:val="20"/>
        </w:rPr>
        <w:t>The primary objective was to preserve free competition, serving the broader economic interest. As a logical outcome, it was proposed to incorporate an open standard within the competition law section of the Belgian Code of Economic Law.</w:t>
      </w:r>
      <w:r w:rsidR="00A9558E" w:rsidRPr="00F53942">
        <w:rPr>
          <w:sz w:val="20"/>
          <w:szCs w:val="20"/>
        </w:rPr>
        <w:t xml:space="preserve"> This proposal, strongly inspired by the German example, attracted notable support.</w:t>
      </w:r>
    </w:p>
    <w:p w14:paraId="0CBD3BB0" w14:textId="758B8ABC" w:rsidR="00653313" w:rsidRPr="00F53942" w:rsidRDefault="00653313" w:rsidP="00653313">
      <w:pPr>
        <w:widowControl/>
        <w:shd w:val="clear" w:color="auto" w:fill="FFFFFF"/>
        <w:autoSpaceDE/>
        <w:autoSpaceDN/>
        <w:spacing w:after="140" w:line="290" w:lineRule="auto"/>
        <w:jc w:val="both"/>
        <w:rPr>
          <w:sz w:val="20"/>
          <w:szCs w:val="20"/>
        </w:rPr>
      </w:pPr>
      <w:r w:rsidRPr="00F53942">
        <w:rPr>
          <w:sz w:val="20"/>
          <w:szCs w:val="20"/>
        </w:rPr>
        <w:t xml:space="preserve">In January 2018, a parallel legislative proposal was submitted </w:t>
      </w:r>
      <w:r w:rsidR="006C41D2">
        <w:rPr>
          <w:sz w:val="20"/>
          <w:szCs w:val="20"/>
        </w:rPr>
        <w:t>“</w:t>
      </w:r>
      <w:r w:rsidRPr="00F53942">
        <w:rPr>
          <w:sz w:val="20"/>
          <w:szCs w:val="20"/>
        </w:rPr>
        <w:t xml:space="preserve">to amend the </w:t>
      </w:r>
      <w:r w:rsidR="000D0E4D" w:rsidRPr="00F53942">
        <w:rPr>
          <w:sz w:val="20"/>
          <w:szCs w:val="20"/>
        </w:rPr>
        <w:t>Belgian Code of Economic Law</w:t>
      </w:r>
      <w:r w:rsidRPr="00F53942">
        <w:rPr>
          <w:sz w:val="20"/>
          <w:szCs w:val="20"/>
        </w:rPr>
        <w:t xml:space="preserve"> to better protect SMEs and small producers in commercial relationships, as well as to more vigorously combat certain unfair practices and abuses of economic dependence</w:t>
      </w:r>
      <w:r w:rsidR="006C41D2">
        <w:rPr>
          <w:sz w:val="20"/>
          <w:szCs w:val="20"/>
        </w:rPr>
        <w:t>”</w:t>
      </w:r>
      <w:r w:rsidRPr="00F53942">
        <w:rPr>
          <w:sz w:val="20"/>
          <w:szCs w:val="20"/>
        </w:rPr>
        <w:t>.</w:t>
      </w:r>
      <w:r w:rsidRPr="00F53942">
        <w:rPr>
          <w:rStyle w:val="FootnoteReference"/>
          <w:sz w:val="20"/>
          <w:szCs w:val="20"/>
        </w:rPr>
        <w:footnoteReference w:id="6"/>
      </w:r>
      <w:r w:rsidRPr="00F53942">
        <w:rPr>
          <w:sz w:val="20"/>
          <w:szCs w:val="20"/>
        </w:rPr>
        <w:t xml:space="preserve"> Unlike in the 2015 proposal, the choice was not made for an open standard, but rather for a series of concrete prohibitions. In addition, the proposers argued for embedding the </w:t>
      </w:r>
      <w:r w:rsidRPr="00F53942">
        <w:rPr>
          <w:sz w:val="20"/>
          <w:szCs w:val="20"/>
        </w:rPr>
        <w:lastRenderedPageBreak/>
        <w:t xml:space="preserve">prohibition in market practices law, more specifically as an amendment to the existing </w:t>
      </w:r>
      <w:r w:rsidR="00215262">
        <w:rPr>
          <w:sz w:val="20"/>
          <w:szCs w:val="20"/>
        </w:rPr>
        <w:t>A</w:t>
      </w:r>
      <w:r w:rsidRPr="00F53942">
        <w:rPr>
          <w:sz w:val="20"/>
          <w:szCs w:val="20"/>
        </w:rPr>
        <w:t>rticle VI.104 BCEL – i.e., the general prohibition on unfair market practices –, instead of in competition law. This was due in part to the shifting focus from safeguarding free competition to protecting individual undertakings. The petitioners were mainly following the example of the French legislat</w:t>
      </w:r>
      <w:r w:rsidR="000D0E4D" w:rsidRPr="00F53942">
        <w:rPr>
          <w:sz w:val="20"/>
          <w:szCs w:val="20"/>
        </w:rPr>
        <w:t>or</w:t>
      </w:r>
      <w:r w:rsidRPr="00F53942">
        <w:rPr>
          <w:sz w:val="20"/>
          <w:szCs w:val="20"/>
        </w:rPr>
        <w:t>.</w:t>
      </w:r>
    </w:p>
    <w:p w14:paraId="31BDC853" w14:textId="54A0A4E7" w:rsidR="00653313" w:rsidRPr="00F53942" w:rsidRDefault="00653313" w:rsidP="0030032D">
      <w:pPr>
        <w:widowControl/>
        <w:shd w:val="clear" w:color="auto" w:fill="FFFFFF"/>
        <w:autoSpaceDE/>
        <w:autoSpaceDN/>
        <w:spacing w:after="140" w:line="290" w:lineRule="auto"/>
        <w:jc w:val="both"/>
        <w:rPr>
          <w:sz w:val="20"/>
          <w:szCs w:val="20"/>
        </w:rPr>
      </w:pPr>
      <w:r w:rsidRPr="00F53942">
        <w:rPr>
          <w:sz w:val="20"/>
          <w:szCs w:val="20"/>
        </w:rPr>
        <w:t>In 2018, it was finally decided to further amend the bill from January 2015.</w:t>
      </w:r>
      <w:r w:rsidRPr="00F53942">
        <w:rPr>
          <w:rStyle w:val="FootnoteReference"/>
          <w:sz w:val="20"/>
          <w:szCs w:val="20"/>
        </w:rPr>
        <w:footnoteReference w:id="7"/>
      </w:r>
      <w:r w:rsidRPr="00F53942">
        <w:rPr>
          <w:sz w:val="20"/>
          <w:szCs w:val="20"/>
        </w:rPr>
        <w:t xml:space="preserve"> In no time, the amended bill was unanimously approved in the Belgian Chamber of Representatives. Some authors are of the opinion that the law was hastily established, resulting in a great deal of ambiguity and uncertainty.</w:t>
      </w:r>
      <w:r w:rsidR="00334BC0" w:rsidRPr="00F53942">
        <w:rPr>
          <w:rStyle w:val="FootnoteReference"/>
          <w:sz w:val="20"/>
          <w:szCs w:val="20"/>
        </w:rPr>
        <w:footnoteReference w:id="8"/>
      </w:r>
    </w:p>
    <w:p w14:paraId="0A9EF7B6" w14:textId="1746AA76" w:rsidR="00545012" w:rsidRPr="00F53942" w:rsidRDefault="001B5379" w:rsidP="00545012">
      <w:pPr>
        <w:pStyle w:val="Heading1"/>
        <w:numPr>
          <w:ilvl w:val="0"/>
          <w:numId w:val="1"/>
        </w:numPr>
        <w:tabs>
          <w:tab w:val="left" w:pos="363"/>
        </w:tabs>
        <w:spacing w:after="140" w:line="290" w:lineRule="auto"/>
        <w:ind w:right="6"/>
        <w:jc w:val="both"/>
        <w:rPr>
          <w:sz w:val="20"/>
          <w:szCs w:val="20"/>
        </w:rPr>
      </w:pPr>
      <w:bookmarkStart w:id="2" w:name="_Toc209451780"/>
      <w:r w:rsidRPr="00F53942">
        <w:rPr>
          <w:spacing w:val="-2"/>
          <w:sz w:val="20"/>
          <w:szCs w:val="20"/>
        </w:rPr>
        <w:t>Criteria for the Definition of Abuse of Economic Dependence</w:t>
      </w:r>
      <w:bookmarkEnd w:id="2"/>
    </w:p>
    <w:p w14:paraId="421439F7" w14:textId="0F1DCF42" w:rsidR="001B5379" w:rsidRPr="00F53942" w:rsidRDefault="001B5379" w:rsidP="00545012">
      <w:pPr>
        <w:pStyle w:val="Heading1"/>
        <w:numPr>
          <w:ilvl w:val="1"/>
          <w:numId w:val="1"/>
        </w:numPr>
        <w:tabs>
          <w:tab w:val="left" w:pos="363"/>
        </w:tabs>
        <w:spacing w:after="140" w:line="290" w:lineRule="auto"/>
        <w:ind w:right="6"/>
        <w:jc w:val="both"/>
        <w:rPr>
          <w:sz w:val="20"/>
          <w:szCs w:val="20"/>
        </w:rPr>
      </w:pPr>
      <w:bookmarkStart w:id="3" w:name="_Toc209451781"/>
      <w:r w:rsidRPr="00F53942">
        <w:rPr>
          <w:sz w:val="20"/>
          <w:szCs w:val="20"/>
        </w:rPr>
        <w:t>Legal Definition</w:t>
      </w:r>
      <w:bookmarkEnd w:id="3"/>
      <w:r w:rsidRPr="00F53942">
        <w:rPr>
          <w:sz w:val="20"/>
          <w:szCs w:val="20"/>
        </w:rPr>
        <w:t xml:space="preserve"> </w:t>
      </w:r>
    </w:p>
    <w:p w14:paraId="5F90168E" w14:textId="6B1CD99E" w:rsidR="00D4171A" w:rsidRPr="00F53942" w:rsidRDefault="00D4171A" w:rsidP="00D4171A">
      <w:pPr>
        <w:widowControl/>
        <w:shd w:val="clear" w:color="auto" w:fill="FFFFFF"/>
        <w:autoSpaceDE/>
        <w:autoSpaceDN/>
        <w:spacing w:after="140" w:line="290" w:lineRule="auto"/>
        <w:jc w:val="both"/>
        <w:rPr>
          <w:color w:val="000000"/>
          <w:sz w:val="20"/>
          <w:szCs w:val="20"/>
        </w:rPr>
      </w:pPr>
      <w:r w:rsidRPr="00F53942">
        <w:rPr>
          <w:color w:val="000000"/>
          <w:sz w:val="20"/>
          <w:szCs w:val="20"/>
        </w:rPr>
        <w:t>Article IV.2/1 BCEL defines abuse of economic dependence as follows:</w:t>
      </w:r>
    </w:p>
    <w:p w14:paraId="448E59FC" w14:textId="4297504E" w:rsidR="00D4171A" w:rsidRPr="00F53942" w:rsidRDefault="00D4171A" w:rsidP="00D4171A">
      <w:pPr>
        <w:widowControl/>
        <w:shd w:val="clear" w:color="auto" w:fill="FFFFFF"/>
        <w:autoSpaceDE/>
        <w:autoSpaceDN/>
        <w:spacing w:after="140" w:line="290" w:lineRule="auto"/>
        <w:ind w:left="426" w:hanging="66"/>
        <w:jc w:val="both"/>
        <w:rPr>
          <w:i/>
          <w:iCs/>
          <w:color w:val="000000"/>
          <w:sz w:val="20"/>
          <w:szCs w:val="20"/>
        </w:rPr>
      </w:pPr>
      <w:r w:rsidRPr="00F53942">
        <w:rPr>
          <w:color w:val="000000"/>
          <w:sz w:val="20"/>
          <w:szCs w:val="20"/>
        </w:rPr>
        <w:t>“</w:t>
      </w:r>
      <w:r w:rsidRPr="00F53942">
        <w:rPr>
          <w:i/>
          <w:iCs/>
          <w:color w:val="000000"/>
          <w:sz w:val="20"/>
          <w:szCs w:val="20"/>
        </w:rPr>
        <w:t>It is prohibited for any undertaking to abuse the position of economic dependence on which one or more other undertakings depend, in a manner that may affect competition in the Belgian market or in a substantial part thereof.</w:t>
      </w:r>
    </w:p>
    <w:p w14:paraId="241EE414" w14:textId="77777777" w:rsidR="00D4171A" w:rsidRPr="00F53942" w:rsidRDefault="00D4171A" w:rsidP="00D4171A">
      <w:pPr>
        <w:widowControl/>
        <w:shd w:val="clear" w:color="auto" w:fill="FFFFFF"/>
        <w:autoSpaceDE/>
        <w:autoSpaceDN/>
        <w:spacing w:line="290" w:lineRule="auto"/>
        <w:ind w:firstLine="360"/>
        <w:jc w:val="both"/>
        <w:rPr>
          <w:i/>
          <w:iCs/>
          <w:color w:val="000000"/>
          <w:sz w:val="20"/>
          <w:szCs w:val="20"/>
        </w:rPr>
      </w:pPr>
      <w:r w:rsidRPr="00F53942">
        <w:rPr>
          <w:i/>
          <w:iCs/>
          <w:color w:val="000000"/>
          <w:sz w:val="20"/>
          <w:szCs w:val="20"/>
        </w:rPr>
        <w:t>Abuse may be involved in:</w:t>
      </w:r>
    </w:p>
    <w:p w14:paraId="50208A56" w14:textId="77777777" w:rsidR="00D4171A" w:rsidRPr="00F53942" w:rsidRDefault="00D4171A" w:rsidP="00D4171A">
      <w:pPr>
        <w:widowControl/>
        <w:shd w:val="clear" w:color="auto" w:fill="FFFFFF"/>
        <w:autoSpaceDE/>
        <w:autoSpaceDN/>
        <w:spacing w:line="290" w:lineRule="auto"/>
        <w:ind w:firstLine="360"/>
        <w:jc w:val="both"/>
        <w:rPr>
          <w:i/>
          <w:iCs/>
          <w:color w:val="000000"/>
          <w:sz w:val="20"/>
          <w:szCs w:val="20"/>
        </w:rPr>
      </w:pPr>
      <w:r w:rsidRPr="00F53942">
        <w:rPr>
          <w:i/>
          <w:iCs/>
          <w:color w:val="000000"/>
          <w:sz w:val="20"/>
          <w:szCs w:val="20"/>
        </w:rPr>
        <w:t>1° the refusal of a sale, purchase or other transaction conditions;</w:t>
      </w:r>
    </w:p>
    <w:p w14:paraId="0B67F27E" w14:textId="77777777" w:rsidR="00D4171A" w:rsidRPr="00F53942" w:rsidRDefault="00D4171A" w:rsidP="00D4171A">
      <w:pPr>
        <w:widowControl/>
        <w:shd w:val="clear" w:color="auto" w:fill="FFFFFF"/>
        <w:autoSpaceDE/>
        <w:autoSpaceDN/>
        <w:spacing w:line="290" w:lineRule="auto"/>
        <w:ind w:firstLine="360"/>
        <w:jc w:val="both"/>
        <w:rPr>
          <w:i/>
          <w:iCs/>
          <w:color w:val="000000"/>
          <w:sz w:val="20"/>
          <w:szCs w:val="20"/>
        </w:rPr>
      </w:pPr>
      <w:r w:rsidRPr="00F53942">
        <w:rPr>
          <w:i/>
          <w:iCs/>
          <w:color w:val="000000"/>
          <w:sz w:val="20"/>
          <w:szCs w:val="20"/>
        </w:rPr>
        <w:t>2° the direct or indirect imposition of unfair purchase or selling prices or other unfair contractual conditions;</w:t>
      </w:r>
    </w:p>
    <w:p w14:paraId="2DCE78CF" w14:textId="77777777" w:rsidR="00D4171A" w:rsidRPr="00F53942" w:rsidRDefault="00D4171A" w:rsidP="00D4171A">
      <w:pPr>
        <w:widowControl/>
        <w:shd w:val="clear" w:color="auto" w:fill="FFFFFF"/>
        <w:autoSpaceDE/>
        <w:autoSpaceDN/>
        <w:spacing w:line="290" w:lineRule="auto"/>
        <w:ind w:firstLine="360"/>
        <w:jc w:val="both"/>
        <w:rPr>
          <w:i/>
          <w:iCs/>
          <w:color w:val="000000"/>
          <w:sz w:val="20"/>
          <w:szCs w:val="20"/>
        </w:rPr>
      </w:pPr>
      <w:r w:rsidRPr="00F53942">
        <w:rPr>
          <w:i/>
          <w:iCs/>
          <w:color w:val="000000"/>
          <w:sz w:val="20"/>
          <w:szCs w:val="20"/>
        </w:rPr>
        <w:t>3° the limiting of production, sales or technical development to the detriment of consumers;</w:t>
      </w:r>
    </w:p>
    <w:p w14:paraId="64FD570B" w14:textId="77777777" w:rsidR="00D4171A" w:rsidRPr="00F53942" w:rsidRDefault="00D4171A" w:rsidP="00D4171A">
      <w:pPr>
        <w:widowControl/>
        <w:shd w:val="clear" w:color="auto" w:fill="FFFFFF"/>
        <w:autoSpaceDE/>
        <w:autoSpaceDN/>
        <w:spacing w:line="290" w:lineRule="auto"/>
        <w:ind w:left="360"/>
        <w:jc w:val="both"/>
        <w:rPr>
          <w:i/>
          <w:iCs/>
          <w:color w:val="000000"/>
          <w:sz w:val="20"/>
          <w:szCs w:val="20"/>
        </w:rPr>
      </w:pPr>
      <w:r w:rsidRPr="00F53942">
        <w:rPr>
          <w:i/>
          <w:iCs/>
          <w:color w:val="000000"/>
          <w:sz w:val="20"/>
          <w:szCs w:val="20"/>
        </w:rPr>
        <w:t>4° applying dissimilar conditions to economic partners for equivalent transactions, thereby placing them at a competitive disadvantage;</w:t>
      </w:r>
    </w:p>
    <w:p w14:paraId="66012386" w14:textId="77777777" w:rsidR="00D4171A" w:rsidRPr="00F53942" w:rsidRDefault="00D4171A" w:rsidP="00D4171A">
      <w:pPr>
        <w:widowControl/>
        <w:shd w:val="clear" w:color="auto" w:fill="FFFFFF"/>
        <w:autoSpaceDE/>
        <w:autoSpaceDN/>
        <w:spacing w:after="140" w:line="290" w:lineRule="auto"/>
        <w:ind w:left="360"/>
        <w:jc w:val="both"/>
        <w:rPr>
          <w:color w:val="000000"/>
          <w:sz w:val="20"/>
          <w:szCs w:val="20"/>
        </w:rPr>
      </w:pPr>
      <w:r w:rsidRPr="00F53942">
        <w:rPr>
          <w:i/>
          <w:iCs/>
          <w:color w:val="000000"/>
          <w:sz w:val="20"/>
          <w:szCs w:val="20"/>
        </w:rPr>
        <w:t>5° the fact that the conclusion of agreements is made dependent on the acceptance by the economic partners of additional services, which, according to their nature or according to commercial practice, are not related to the subject of these agreements</w:t>
      </w:r>
      <w:r w:rsidRPr="00F53942">
        <w:rPr>
          <w:color w:val="000000"/>
          <w:sz w:val="20"/>
          <w:szCs w:val="20"/>
        </w:rPr>
        <w:t>.”</w:t>
      </w:r>
    </w:p>
    <w:p w14:paraId="2A35E070" w14:textId="6BDFA397" w:rsidR="001A1AD9" w:rsidRPr="00F53942" w:rsidRDefault="001A1AD9" w:rsidP="001A1AD9">
      <w:pPr>
        <w:widowControl/>
        <w:shd w:val="clear" w:color="auto" w:fill="FFFFFF"/>
        <w:autoSpaceDE/>
        <w:autoSpaceDN/>
        <w:spacing w:after="140" w:line="290" w:lineRule="auto"/>
        <w:jc w:val="both"/>
        <w:rPr>
          <w:sz w:val="20"/>
          <w:szCs w:val="20"/>
        </w:rPr>
      </w:pPr>
      <w:r w:rsidRPr="00F53942">
        <w:rPr>
          <w:sz w:val="20"/>
          <w:szCs w:val="20"/>
        </w:rPr>
        <w:t>For the application of the prohibition in Article IV.2/1 BCEL, three constitutive conditions must be met cumulatively: (</w:t>
      </w:r>
      <w:proofErr w:type="spellStart"/>
      <w:r w:rsidR="000B796D" w:rsidRPr="00F53942">
        <w:rPr>
          <w:sz w:val="20"/>
          <w:szCs w:val="20"/>
        </w:rPr>
        <w:t>i</w:t>
      </w:r>
      <w:proofErr w:type="spellEnd"/>
      <w:r w:rsidRPr="00F53942">
        <w:rPr>
          <w:sz w:val="20"/>
          <w:szCs w:val="20"/>
        </w:rPr>
        <w:t>) there must be a position of economic dependence of an undertaking, (</w:t>
      </w:r>
      <w:r w:rsidR="000B796D" w:rsidRPr="00F53942">
        <w:rPr>
          <w:sz w:val="20"/>
          <w:szCs w:val="20"/>
        </w:rPr>
        <w:t>ii</w:t>
      </w:r>
      <w:r w:rsidRPr="00F53942">
        <w:rPr>
          <w:sz w:val="20"/>
          <w:szCs w:val="20"/>
        </w:rPr>
        <w:t>) the dominating undertaking must abuse this position and (</w:t>
      </w:r>
      <w:r w:rsidR="000B796D" w:rsidRPr="00F53942">
        <w:rPr>
          <w:sz w:val="20"/>
          <w:szCs w:val="20"/>
        </w:rPr>
        <w:t>iii</w:t>
      </w:r>
      <w:r w:rsidRPr="00F53942">
        <w:rPr>
          <w:sz w:val="20"/>
          <w:szCs w:val="20"/>
        </w:rPr>
        <w:t>) this abuse must potentially affect competition in the Belgian market concerned or a substantial part thereof.</w:t>
      </w:r>
      <w:r w:rsidRPr="00F53942">
        <w:rPr>
          <w:sz w:val="20"/>
          <w:szCs w:val="20"/>
          <w:vertAlign w:val="superscript"/>
        </w:rPr>
        <w:footnoteReference w:id="9"/>
      </w:r>
      <w:r w:rsidRPr="00F53942">
        <w:rPr>
          <w:sz w:val="20"/>
          <w:szCs w:val="20"/>
        </w:rPr>
        <w:t xml:space="preserve"> Some of these elements are defined in the law, others are clarified in the preparatory works and other criteria have been further elaborated in case law.</w:t>
      </w:r>
      <w:r w:rsidR="00036E1D" w:rsidRPr="00F53942">
        <w:rPr>
          <w:sz w:val="20"/>
          <w:szCs w:val="20"/>
        </w:rPr>
        <w:t xml:space="preserve"> These elements will be discussed in what follows.</w:t>
      </w:r>
    </w:p>
    <w:p w14:paraId="2A5BC599" w14:textId="3B82BAC6" w:rsidR="00036E1D" w:rsidRPr="00F53942" w:rsidRDefault="00B00C43" w:rsidP="00B00C43">
      <w:pPr>
        <w:pStyle w:val="Heading1"/>
        <w:numPr>
          <w:ilvl w:val="1"/>
          <w:numId w:val="1"/>
        </w:numPr>
        <w:tabs>
          <w:tab w:val="left" w:pos="363"/>
        </w:tabs>
        <w:spacing w:after="140" w:line="290" w:lineRule="auto"/>
        <w:ind w:right="6"/>
        <w:jc w:val="both"/>
        <w:rPr>
          <w:sz w:val="20"/>
          <w:szCs w:val="20"/>
        </w:rPr>
      </w:pPr>
      <w:bookmarkStart w:id="4" w:name="_Toc209451782"/>
      <w:r w:rsidRPr="00F53942">
        <w:rPr>
          <w:sz w:val="20"/>
          <w:szCs w:val="20"/>
        </w:rPr>
        <w:t>Position of Economic Dependency</w:t>
      </w:r>
      <w:bookmarkEnd w:id="4"/>
      <w:r w:rsidR="00036E1D" w:rsidRPr="00F53942">
        <w:rPr>
          <w:sz w:val="20"/>
          <w:szCs w:val="20"/>
        </w:rPr>
        <w:t xml:space="preserve"> </w:t>
      </w:r>
    </w:p>
    <w:p w14:paraId="73D86301" w14:textId="1817D0C6" w:rsidR="00B00C43" w:rsidRPr="00F53942" w:rsidRDefault="00B00C43" w:rsidP="00B00C43">
      <w:pPr>
        <w:widowControl/>
        <w:shd w:val="clear" w:color="auto" w:fill="FFFFFF"/>
        <w:autoSpaceDE/>
        <w:autoSpaceDN/>
        <w:spacing w:after="140" w:line="290" w:lineRule="auto"/>
        <w:jc w:val="both"/>
        <w:rPr>
          <w:sz w:val="20"/>
          <w:szCs w:val="20"/>
        </w:rPr>
      </w:pPr>
      <w:r w:rsidRPr="00F53942">
        <w:rPr>
          <w:sz w:val="20"/>
          <w:szCs w:val="20"/>
        </w:rPr>
        <w:t xml:space="preserve">The first condition of </w:t>
      </w:r>
      <w:r w:rsidR="006C41D2">
        <w:rPr>
          <w:sz w:val="20"/>
          <w:szCs w:val="20"/>
        </w:rPr>
        <w:t>A</w:t>
      </w:r>
      <w:r w:rsidRPr="00F53942">
        <w:rPr>
          <w:sz w:val="20"/>
          <w:szCs w:val="20"/>
        </w:rPr>
        <w:t>rticle IV.2/1 BCEL is that the undertaking at stake must find itself in a position of economic dependenc</w:t>
      </w:r>
      <w:r w:rsidR="000D0E4D" w:rsidRPr="00F53942">
        <w:rPr>
          <w:sz w:val="20"/>
          <w:szCs w:val="20"/>
        </w:rPr>
        <w:t>e</w:t>
      </w:r>
      <w:r w:rsidRPr="00F53942">
        <w:rPr>
          <w:sz w:val="20"/>
          <w:szCs w:val="20"/>
        </w:rPr>
        <w:t>. Article I.6, 12°bis BCEL defines a position of economic dependence as: “A position of subordination of an undertaking</w:t>
      </w:r>
      <w:r w:rsidRPr="00F53942">
        <w:rPr>
          <w:rStyle w:val="FootnoteReference"/>
          <w:sz w:val="20"/>
          <w:szCs w:val="20"/>
        </w:rPr>
        <w:footnoteReference w:id="10"/>
      </w:r>
      <w:r w:rsidRPr="00F53942">
        <w:rPr>
          <w:sz w:val="20"/>
          <w:szCs w:val="20"/>
        </w:rPr>
        <w:t xml:space="preserve"> with respect to one or more other undertakings characterised by the absence of a reasonably equivalent alternative, available within a reasonable period of time, and under reasonable conditions and costs, which allow this or each of these undertakings to impose performances or conditions that cannot be obtained under normal market conditions”.</w:t>
      </w:r>
    </w:p>
    <w:p w14:paraId="4F5B140D" w14:textId="7CD7F33C" w:rsidR="00B00C43" w:rsidRPr="00F53942" w:rsidRDefault="00B00C43" w:rsidP="00B00C43">
      <w:pPr>
        <w:widowControl/>
        <w:shd w:val="clear" w:color="auto" w:fill="FFFFFF"/>
        <w:autoSpaceDE/>
        <w:autoSpaceDN/>
        <w:spacing w:after="140" w:line="290" w:lineRule="auto"/>
        <w:jc w:val="both"/>
        <w:rPr>
          <w:sz w:val="20"/>
          <w:szCs w:val="20"/>
        </w:rPr>
      </w:pPr>
      <w:r w:rsidRPr="00F53942">
        <w:rPr>
          <w:sz w:val="20"/>
          <w:szCs w:val="20"/>
        </w:rPr>
        <w:t>The definition of a position of economic dependence thus requires that two criteria be met: (</w:t>
      </w:r>
      <w:proofErr w:type="spellStart"/>
      <w:r w:rsidR="000B796D" w:rsidRPr="00F53942">
        <w:rPr>
          <w:sz w:val="20"/>
          <w:szCs w:val="20"/>
        </w:rPr>
        <w:t>i</w:t>
      </w:r>
      <w:proofErr w:type="spellEnd"/>
      <w:r w:rsidRPr="00F53942">
        <w:rPr>
          <w:sz w:val="20"/>
          <w:szCs w:val="20"/>
        </w:rPr>
        <w:t>) the lack of a reasonably equivalent alternative, taking into account the term, conditions and costs, and (</w:t>
      </w:r>
      <w:r w:rsidR="000B796D" w:rsidRPr="00F53942">
        <w:rPr>
          <w:sz w:val="20"/>
          <w:szCs w:val="20"/>
        </w:rPr>
        <w:t>ii</w:t>
      </w:r>
      <w:r w:rsidRPr="00F53942">
        <w:rPr>
          <w:sz w:val="20"/>
          <w:szCs w:val="20"/>
        </w:rPr>
        <w:t xml:space="preserve">) the possibility for the dominating </w:t>
      </w:r>
      <w:r w:rsidRPr="00F53942">
        <w:rPr>
          <w:sz w:val="20"/>
          <w:szCs w:val="20"/>
        </w:rPr>
        <w:lastRenderedPageBreak/>
        <w:t>undertaking to impose performances or conditions that cannot be obtained under normal market conditions.</w:t>
      </w:r>
      <w:r w:rsidRPr="00F53942">
        <w:rPr>
          <w:rStyle w:val="FootnoteReference"/>
          <w:sz w:val="20"/>
          <w:szCs w:val="20"/>
        </w:rPr>
        <w:footnoteReference w:id="11"/>
      </w:r>
      <w:r w:rsidRPr="00F53942">
        <w:rPr>
          <w:sz w:val="20"/>
          <w:szCs w:val="20"/>
        </w:rPr>
        <w:t xml:space="preserve"> </w:t>
      </w:r>
      <w:r w:rsidR="00A9558E" w:rsidRPr="00F53942">
        <w:rPr>
          <w:sz w:val="20"/>
          <w:szCs w:val="20"/>
        </w:rPr>
        <w:t>These two requirements are intrinsically connected, as the absence of reasonable alternatives should enable the dominating undertaking to exert such influence</w:t>
      </w:r>
      <w:r w:rsidRPr="00F53942">
        <w:rPr>
          <w:sz w:val="20"/>
          <w:szCs w:val="20"/>
        </w:rPr>
        <w:t>.</w:t>
      </w:r>
      <w:r w:rsidRPr="00F53942">
        <w:rPr>
          <w:rStyle w:val="FootnoteReference"/>
          <w:sz w:val="20"/>
          <w:szCs w:val="20"/>
        </w:rPr>
        <w:footnoteReference w:id="12"/>
      </w:r>
      <w:r w:rsidRPr="00F53942">
        <w:rPr>
          <w:sz w:val="20"/>
          <w:szCs w:val="20"/>
        </w:rPr>
        <w:t xml:space="preserve"> </w:t>
      </w:r>
    </w:p>
    <w:p w14:paraId="4F846123" w14:textId="738817B9" w:rsidR="00B00C43" w:rsidRPr="00F53942" w:rsidRDefault="00B00C43" w:rsidP="00B00C43">
      <w:pPr>
        <w:pStyle w:val="Heading1"/>
        <w:numPr>
          <w:ilvl w:val="2"/>
          <w:numId w:val="1"/>
        </w:numPr>
        <w:tabs>
          <w:tab w:val="left" w:pos="363"/>
        </w:tabs>
        <w:spacing w:after="140" w:line="290" w:lineRule="auto"/>
        <w:ind w:right="6"/>
        <w:jc w:val="both"/>
        <w:rPr>
          <w:sz w:val="20"/>
          <w:szCs w:val="20"/>
        </w:rPr>
      </w:pPr>
      <w:bookmarkStart w:id="5" w:name="_Toc209451783"/>
      <w:r w:rsidRPr="00F53942">
        <w:rPr>
          <w:sz w:val="20"/>
          <w:szCs w:val="20"/>
        </w:rPr>
        <w:t xml:space="preserve">Absence of a </w:t>
      </w:r>
      <w:r w:rsidR="00552A84" w:rsidRPr="00F53942">
        <w:rPr>
          <w:sz w:val="20"/>
          <w:szCs w:val="20"/>
        </w:rPr>
        <w:t>R</w:t>
      </w:r>
      <w:r w:rsidRPr="00F53942">
        <w:rPr>
          <w:sz w:val="20"/>
          <w:szCs w:val="20"/>
        </w:rPr>
        <w:t xml:space="preserve">easonable </w:t>
      </w:r>
      <w:r w:rsidR="00552A84" w:rsidRPr="00F53942">
        <w:rPr>
          <w:sz w:val="20"/>
          <w:szCs w:val="20"/>
        </w:rPr>
        <w:t>E</w:t>
      </w:r>
      <w:r w:rsidRPr="00F53942">
        <w:rPr>
          <w:sz w:val="20"/>
          <w:szCs w:val="20"/>
        </w:rPr>
        <w:t xml:space="preserve">quivalent </w:t>
      </w:r>
      <w:r w:rsidR="00552A84" w:rsidRPr="00F53942">
        <w:rPr>
          <w:sz w:val="20"/>
          <w:szCs w:val="20"/>
        </w:rPr>
        <w:t>A</w:t>
      </w:r>
      <w:r w:rsidRPr="00F53942">
        <w:rPr>
          <w:sz w:val="20"/>
          <w:szCs w:val="20"/>
        </w:rPr>
        <w:t>lternative</w:t>
      </w:r>
      <w:bookmarkEnd w:id="5"/>
    </w:p>
    <w:p w14:paraId="49381E41" w14:textId="08E2DE08" w:rsidR="00B00C43" w:rsidRPr="00F53942" w:rsidRDefault="00B00C43" w:rsidP="00B00C43">
      <w:pPr>
        <w:widowControl/>
        <w:shd w:val="clear" w:color="auto" w:fill="FFFFFF"/>
        <w:autoSpaceDE/>
        <w:autoSpaceDN/>
        <w:spacing w:after="140" w:line="290" w:lineRule="auto"/>
        <w:jc w:val="both"/>
        <w:rPr>
          <w:sz w:val="20"/>
          <w:szCs w:val="20"/>
        </w:rPr>
      </w:pPr>
      <w:r w:rsidRPr="00F53942">
        <w:rPr>
          <w:sz w:val="20"/>
          <w:szCs w:val="20"/>
        </w:rPr>
        <w:t xml:space="preserve">The absence of a reasonable equivalent alternative does not require that the dependent undertaking has no alternative whatsoever. The absence of a reasonably equivalent alternative is sufficient. Whether or not this condition is met will depend largely on the substitutability of the alternative, which in turn depends on the specific circumstances of the case. </w:t>
      </w:r>
      <w:r w:rsidR="00BD4F7A" w:rsidRPr="00F53942">
        <w:rPr>
          <w:sz w:val="20"/>
          <w:szCs w:val="20"/>
        </w:rPr>
        <w:t>Notably</w:t>
      </w:r>
      <w:r w:rsidRPr="00F53942">
        <w:rPr>
          <w:sz w:val="20"/>
          <w:szCs w:val="20"/>
        </w:rPr>
        <w:t>, the</w:t>
      </w:r>
      <w:r w:rsidR="00BD4F7A" w:rsidRPr="00F53942">
        <w:rPr>
          <w:sz w:val="20"/>
          <w:szCs w:val="20"/>
        </w:rPr>
        <w:t xml:space="preserve"> alternative</w:t>
      </w:r>
      <w:r w:rsidRPr="00F53942">
        <w:rPr>
          <w:sz w:val="20"/>
          <w:szCs w:val="20"/>
        </w:rPr>
        <w:t xml:space="preserve"> does not necessarily have to </w:t>
      </w:r>
      <w:r w:rsidR="00BD4F7A" w:rsidRPr="00F53942">
        <w:rPr>
          <w:sz w:val="20"/>
          <w:szCs w:val="20"/>
        </w:rPr>
        <w:t>be</w:t>
      </w:r>
      <w:r w:rsidRPr="00F53942">
        <w:rPr>
          <w:sz w:val="20"/>
          <w:szCs w:val="20"/>
        </w:rPr>
        <w:t xml:space="preserve"> within the market in question. Case law and legal doctrine </w:t>
      </w:r>
      <w:r w:rsidR="00BD4F7A" w:rsidRPr="00F53942">
        <w:rPr>
          <w:sz w:val="20"/>
          <w:szCs w:val="20"/>
        </w:rPr>
        <w:t>clarify</w:t>
      </w:r>
      <w:r w:rsidRPr="00F53942">
        <w:rPr>
          <w:sz w:val="20"/>
          <w:szCs w:val="20"/>
        </w:rPr>
        <w:t xml:space="preserve"> that the existence of an alternative abroad</w:t>
      </w:r>
      <w:r w:rsidR="00913085" w:rsidRPr="00F53942">
        <w:rPr>
          <w:sz w:val="20"/>
          <w:szCs w:val="20"/>
        </w:rPr>
        <w:t>,</w:t>
      </w:r>
      <w:r w:rsidRPr="00F53942">
        <w:rPr>
          <w:rStyle w:val="FootnoteReference"/>
          <w:sz w:val="20"/>
          <w:szCs w:val="20"/>
        </w:rPr>
        <w:footnoteReference w:id="13"/>
      </w:r>
      <w:r w:rsidRPr="00F53942">
        <w:rPr>
          <w:sz w:val="20"/>
          <w:szCs w:val="20"/>
        </w:rPr>
        <w:t xml:space="preserve"> or in another market than the relevant market</w:t>
      </w:r>
      <w:r w:rsidRPr="00F53942">
        <w:rPr>
          <w:rStyle w:val="FootnoteReference"/>
          <w:sz w:val="20"/>
          <w:szCs w:val="20"/>
        </w:rPr>
        <w:footnoteReference w:id="14"/>
      </w:r>
      <w:r w:rsidR="00BD4F7A" w:rsidRPr="00F53942">
        <w:rPr>
          <w:sz w:val="20"/>
          <w:szCs w:val="20"/>
        </w:rPr>
        <w:t xml:space="preserve"> </w:t>
      </w:r>
      <w:r w:rsidRPr="00F53942">
        <w:rPr>
          <w:sz w:val="20"/>
          <w:szCs w:val="20"/>
        </w:rPr>
        <w:t>does not exclude the possibility that a position of economic dependence exists.</w:t>
      </w:r>
    </w:p>
    <w:p w14:paraId="4D54CC8D" w14:textId="72A97CC7" w:rsidR="00B00C43" w:rsidRPr="00F53942" w:rsidRDefault="00BD4F7A" w:rsidP="001A1AD9">
      <w:pPr>
        <w:widowControl/>
        <w:shd w:val="clear" w:color="auto" w:fill="FFFFFF"/>
        <w:autoSpaceDE/>
        <w:autoSpaceDN/>
        <w:spacing w:after="140" w:line="290" w:lineRule="auto"/>
        <w:jc w:val="both"/>
        <w:rPr>
          <w:sz w:val="20"/>
          <w:szCs w:val="20"/>
        </w:rPr>
      </w:pPr>
      <w:r w:rsidRPr="00F53942">
        <w:rPr>
          <w:sz w:val="20"/>
          <w:szCs w:val="20"/>
        </w:rPr>
        <w:t>Furthermore,</w:t>
      </w:r>
      <w:r w:rsidR="00B00C43" w:rsidRPr="00F53942">
        <w:rPr>
          <w:sz w:val="20"/>
          <w:szCs w:val="20"/>
        </w:rPr>
        <w:t xml:space="preserve"> the time </w:t>
      </w:r>
      <w:r w:rsidRPr="00F53942">
        <w:rPr>
          <w:sz w:val="20"/>
          <w:szCs w:val="20"/>
        </w:rPr>
        <w:t xml:space="preserve">required </w:t>
      </w:r>
      <w:r w:rsidR="00B00C43" w:rsidRPr="00F53942">
        <w:rPr>
          <w:sz w:val="20"/>
          <w:szCs w:val="20"/>
        </w:rPr>
        <w:t xml:space="preserve">to find an alternative, the conditions attached to this alternative, and the costs involved must be </w:t>
      </w:r>
      <w:r w:rsidRPr="00F53942">
        <w:rPr>
          <w:sz w:val="20"/>
          <w:szCs w:val="20"/>
        </w:rPr>
        <w:t>considered</w:t>
      </w:r>
      <w:r w:rsidR="00B00C43" w:rsidRPr="00F53942">
        <w:rPr>
          <w:sz w:val="20"/>
          <w:szCs w:val="20"/>
        </w:rPr>
        <w:t>. Consequently, even if a reasonably equivalent alternative is available, there may still be economic dependence if the alternative is not available within a reasonable period of time and/or if the conditions and costs associated with the alternative are unreasonable.</w:t>
      </w:r>
      <w:r w:rsidR="00B00C43" w:rsidRPr="00F53942">
        <w:rPr>
          <w:sz w:val="20"/>
          <w:szCs w:val="20"/>
          <w:vertAlign w:val="superscript"/>
        </w:rPr>
        <w:footnoteReference w:id="15"/>
      </w:r>
      <w:r w:rsidR="00B00C43" w:rsidRPr="00F53942">
        <w:rPr>
          <w:sz w:val="20"/>
          <w:szCs w:val="20"/>
        </w:rPr>
        <w:t xml:space="preserve"> If a reasonably equivalent alternative is available within a reasonable period of time and at reasonable costs and conditions, there is no economic dependence.</w:t>
      </w:r>
      <w:r w:rsidR="00B00C43" w:rsidRPr="00F53942">
        <w:rPr>
          <w:sz w:val="20"/>
          <w:szCs w:val="20"/>
          <w:vertAlign w:val="superscript"/>
        </w:rPr>
        <w:footnoteReference w:id="16"/>
      </w:r>
      <w:r w:rsidR="00B00C43" w:rsidRPr="00F53942">
        <w:rPr>
          <w:sz w:val="20"/>
          <w:szCs w:val="20"/>
        </w:rPr>
        <w:t xml:space="preserve"> </w:t>
      </w:r>
      <w:r w:rsidRPr="00F53942">
        <w:rPr>
          <w:sz w:val="20"/>
          <w:szCs w:val="20"/>
        </w:rPr>
        <w:t>The determination require</w:t>
      </w:r>
      <w:r w:rsidR="006C41D2">
        <w:rPr>
          <w:sz w:val="20"/>
          <w:szCs w:val="20"/>
        </w:rPr>
        <w:t>s</w:t>
      </w:r>
      <w:r w:rsidRPr="00F53942">
        <w:rPr>
          <w:sz w:val="20"/>
          <w:szCs w:val="20"/>
        </w:rPr>
        <w:t xml:space="preserve"> </w:t>
      </w:r>
      <w:r w:rsidR="00B00C43" w:rsidRPr="00F53942">
        <w:rPr>
          <w:sz w:val="20"/>
          <w:szCs w:val="20"/>
        </w:rPr>
        <w:t>a concrete analysis of the relevant market in which the undertakings operate, the time required to switch to an alternative commercial relationship, and the costs involved.</w:t>
      </w:r>
      <w:r w:rsidR="00B00C43" w:rsidRPr="00F53942">
        <w:rPr>
          <w:sz w:val="20"/>
          <w:szCs w:val="20"/>
          <w:vertAlign w:val="superscript"/>
        </w:rPr>
        <w:footnoteReference w:id="17"/>
      </w:r>
    </w:p>
    <w:p w14:paraId="29419433" w14:textId="798695BE" w:rsidR="00B00C43" w:rsidRPr="00F53942" w:rsidRDefault="00B00C43" w:rsidP="00B00C43">
      <w:pPr>
        <w:pStyle w:val="Heading1"/>
        <w:numPr>
          <w:ilvl w:val="2"/>
          <w:numId w:val="1"/>
        </w:numPr>
        <w:tabs>
          <w:tab w:val="left" w:pos="363"/>
        </w:tabs>
        <w:spacing w:after="140" w:line="290" w:lineRule="auto"/>
        <w:ind w:right="6"/>
        <w:jc w:val="both"/>
        <w:rPr>
          <w:sz w:val="20"/>
          <w:szCs w:val="20"/>
        </w:rPr>
      </w:pPr>
      <w:bookmarkStart w:id="6" w:name="_Ref209164904"/>
      <w:bookmarkStart w:id="7" w:name="_Ref209165220"/>
      <w:bookmarkStart w:id="8" w:name="_Toc209451784"/>
      <w:r w:rsidRPr="00F53942">
        <w:rPr>
          <w:sz w:val="20"/>
          <w:szCs w:val="20"/>
        </w:rPr>
        <w:t xml:space="preserve">… </w:t>
      </w:r>
      <w:r w:rsidR="00552A84" w:rsidRPr="00F53942">
        <w:rPr>
          <w:sz w:val="20"/>
          <w:szCs w:val="20"/>
        </w:rPr>
        <w:t>E</w:t>
      </w:r>
      <w:r w:rsidRPr="00F53942">
        <w:rPr>
          <w:sz w:val="20"/>
          <w:szCs w:val="20"/>
        </w:rPr>
        <w:t xml:space="preserve">nabling the </w:t>
      </w:r>
      <w:r w:rsidR="00552A84" w:rsidRPr="00F53942">
        <w:rPr>
          <w:sz w:val="20"/>
          <w:szCs w:val="20"/>
        </w:rPr>
        <w:t>D</w:t>
      </w:r>
      <w:r w:rsidRPr="00F53942">
        <w:rPr>
          <w:sz w:val="20"/>
          <w:szCs w:val="20"/>
        </w:rPr>
        <w:t xml:space="preserve">ominating </w:t>
      </w:r>
      <w:r w:rsidR="00552A84" w:rsidRPr="00F53942">
        <w:rPr>
          <w:sz w:val="20"/>
          <w:szCs w:val="20"/>
        </w:rPr>
        <w:t>U</w:t>
      </w:r>
      <w:r w:rsidRPr="00F53942">
        <w:rPr>
          <w:sz w:val="20"/>
          <w:szCs w:val="20"/>
        </w:rPr>
        <w:t xml:space="preserve">ndertaking to </w:t>
      </w:r>
      <w:r w:rsidR="00552A84" w:rsidRPr="00F53942">
        <w:rPr>
          <w:sz w:val="20"/>
          <w:szCs w:val="20"/>
        </w:rPr>
        <w:t>I</w:t>
      </w:r>
      <w:r w:rsidRPr="00F53942">
        <w:rPr>
          <w:sz w:val="20"/>
          <w:szCs w:val="20"/>
        </w:rPr>
        <w:t xml:space="preserve">mpose </w:t>
      </w:r>
      <w:r w:rsidR="00552A84" w:rsidRPr="00F53942">
        <w:rPr>
          <w:sz w:val="20"/>
          <w:szCs w:val="20"/>
        </w:rPr>
        <w:t>C</w:t>
      </w:r>
      <w:r w:rsidRPr="00F53942">
        <w:rPr>
          <w:sz w:val="20"/>
          <w:szCs w:val="20"/>
        </w:rPr>
        <w:t xml:space="preserve">ertain </w:t>
      </w:r>
      <w:r w:rsidR="00552A84" w:rsidRPr="00F53942">
        <w:rPr>
          <w:sz w:val="20"/>
          <w:szCs w:val="20"/>
        </w:rPr>
        <w:t>P</w:t>
      </w:r>
      <w:r w:rsidRPr="00F53942">
        <w:rPr>
          <w:sz w:val="20"/>
          <w:szCs w:val="20"/>
        </w:rPr>
        <w:t xml:space="preserve">erformances or </w:t>
      </w:r>
      <w:r w:rsidR="00552A84" w:rsidRPr="00F53942">
        <w:rPr>
          <w:sz w:val="20"/>
          <w:szCs w:val="20"/>
        </w:rPr>
        <w:t>C</w:t>
      </w:r>
      <w:r w:rsidRPr="00F53942">
        <w:rPr>
          <w:sz w:val="20"/>
          <w:szCs w:val="20"/>
        </w:rPr>
        <w:t>onditions</w:t>
      </w:r>
      <w:bookmarkEnd w:id="6"/>
      <w:bookmarkEnd w:id="7"/>
      <w:bookmarkEnd w:id="8"/>
    </w:p>
    <w:p w14:paraId="149C1F6A" w14:textId="30045528" w:rsidR="00DE74DA" w:rsidRPr="00F53942" w:rsidRDefault="00DE74DA" w:rsidP="00DE74DA">
      <w:pPr>
        <w:widowControl/>
        <w:shd w:val="clear" w:color="auto" w:fill="FFFFFF"/>
        <w:autoSpaceDE/>
        <w:autoSpaceDN/>
        <w:spacing w:after="140" w:line="290" w:lineRule="auto"/>
        <w:jc w:val="both"/>
        <w:rPr>
          <w:sz w:val="20"/>
          <w:szCs w:val="20"/>
        </w:rPr>
      </w:pPr>
      <w:r w:rsidRPr="00F53942">
        <w:rPr>
          <w:sz w:val="20"/>
          <w:szCs w:val="20"/>
        </w:rPr>
        <w:t xml:space="preserve">Due to the lack of a reasonably equivalent alternative within a reasonable time frame and at reasonable terms and costs for the dependent undertaking, the </w:t>
      </w:r>
      <w:r w:rsidR="00D375ED" w:rsidRPr="00F53942">
        <w:rPr>
          <w:sz w:val="20"/>
          <w:szCs w:val="20"/>
        </w:rPr>
        <w:t>dominating</w:t>
      </w:r>
      <w:r w:rsidRPr="00F53942">
        <w:rPr>
          <w:sz w:val="20"/>
          <w:szCs w:val="20"/>
        </w:rPr>
        <w:t xml:space="preserve"> undertaking must be able to impose performance</w:t>
      </w:r>
      <w:r w:rsidR="00BD4F7A" w:rsidRPr="00F53942">
        <w:rPr>
          <w:sz w:val="20"/>
          <w:szCs w:val="20"/>
        </w:rPr>
        <w:t>s</w:t>
      </w:r>
      <w:r w:rsidRPr="00F53942">
        <w:rPr>
          <w:sz w:val="20"/>
          <w:szCs w:val="20"/>
        </w:rPr>
        <w:t xml:space="preserve"> or conditions that cannot be obtained under normal market conditions. </w:t>
      </w:r>
      <w:r w:rsidR="00F10409" w:rsidRPr="00F10409">
        <w:rPr>
          <w:sz w:val="20"/>
          <w:szCs w:val="20"/>
        </w:rPr>
        <w:t>A comparison must therefore be drawn with what is known as the “zero scenario”.</w:t>
      </w:r>
      <w:r w:rsidR="00F10409">
        <w:rPr>
          <w:rStyle w:val="FootnoteReference"/>
          <w:sz w:val="20"/>
          <w:szCs w:val="20"/>
        </w:rPr>
        <w:footnoteReference w:id="18"/>
      </w:r>
    </w:p>
    <w:p w14:paraId="5BA76C77" w14:textId="62F0DE17" w:rsidR="00DE74DA" w:rsidRPr="00F53942" w:rsidRDefault="00DE74DA" w:rsidP="00DE74DA">
      <w:pPr>
        <w:widowControl/>
        <w:shd w:val="clear" w:color="auto" w:fill="FFFFFF"/>
        <w:autoSpaceDE/>
        <w:autoSpaceDN/>
        <w:spacing w:after="140" w:line="290" w:lineRule="auto"/>
        <w:jc w:val="both"/>
        <w:rPr>
          <w:sz w:val="20"/>
          <w:szCs w:val="20"/>
        </w:rPr>
      </w:pPr>
      <w:r w:rsidRPr="00F53942">
        <w:rPr>
          <w:sz w:val="20"/>
          <w:szCs w:val="20"/>
        </w:rPr>
        <w:t xml:space="preserve">This requirement is closely related to the </w:t>
      </w:r>
      <w:r w:rsidR="00D375ED" w:rsidRPr="00F53942">
        <w:rPr>
          <w:sz w:val="20"/>
          <w:szCs w:val="20"/>
        </w:rPr>
        <w:t>abuse requirement, as further elaborated below</w:t>
      </w:r>
      <w:r w:rsidR="005E450C" w:rsidRPr="00F53942">
        <w:rPr>
          <w:sz w:val="20"/>
          <w:szCs w:val="20"/>
        </w:rPr>
        <w:t xml:space="preserve"> (Section </w:t>
      </w:r>
      <w:r w:rsidR="005E450C" w:rsidRPr="00F53942">
        <w:rPr>
          <w:sz w:val="20"/>
          <w:szCs w:val="20"/>
        </w:rPr>
        <w:fldChar w:fldCharType="begin"/>
      </w:r>
      <w:r w:rsidR="005E450C" w:rsidRPr="00F53942">
        <w:rPr>
          <w:sz w:val="20"/>
          <w:szCs w:val="20"/>
        </w:rPr>
        <w:instrText xml:space="preserve"> REF _Ref209164869 \r \h </w:instrText>
      </w:r>
      <w:r w:rsidR="00F53942">
        <w:rPr>
          <w:sz w:val="20"/>
          <w:szCs w:val="20"/>
        </w:rPr>
        <w:instrText xml:space="preserve"> \* MERGEFORMAT </w:instrText>
      </w:r>
      <w:r w:rsidR="005E450C" w:rsidRPr="00F53942">
        <w:rPr>
          <w:sz w:val="20"/>
          <w:szCs w:val="20"/>
        </w:rPr>
      </w:r>
      <w:r w:rsidR="005E450C" w:rsidRPr="00F53942">
        <w:rPr>
          <w:sz w:val="20"/>
          <w:szCs w:val="20"/>
        </w:rPr>
        <w:fldChar w:fldCharType="separate"/>
      </w:r>
      <w:r w:rsidR="00F10409">
        <w:rPr>
          <w:sz w:val="20"/>
          <w:szCs w:val="20"/>
        </w:rPr>
        <w:t>3.3.1</w:t>
      </w:r>
      <w:r w:rsidR="005E450C" w:rsidRPr="00F53942">
        <w:rPr>
          <w:sz w:val="20"/>
          <w:szCs w:val="20"/>
        </w:rPr>
        <w:fldChar w:fldCharType="end"/>
      </w:r>
      <w:r w:rsidR="005E450C" w:rsidRPr="00F53942">
        <w:rPr>
          <w:sz w:val="20"/>
          <w:szCs w:val="20"/>
        </w:rPr>
        <w:t>)</w:t>
      </w:r>
      <w:r w:rsidRPr="00F53942">
        <w:rPr>
          <w:sz w:val="20"/>
          <w:szCs w:val="20"/>
        </w:rPr>
        <w:t xml:space="preserve">. </w:t>
      </w:r>
      <w:r w:rsidR="00F10409">
        <w:rPr>
          <w:sz w:val="20"/>
          <w:szCs w:val="20"/>
        </w:rPr>
        <w:t>Gi</w:t>
      </w:r>
      <w:r w:rsidRPr="00F53942">
        <w:rPr>
          <w:sz w:val="20"/>
          <w:szCs w:val="20"/>
        </w:rPr>
        <w:t>ven that the causal link between the position of dependency and the behaviour of the dominant undertaking is also interwoven in the abuse requirement</w:t>
      </w:r>
      <w:r w:rsidR="00F10409">
        <w:rPr>
          <w:sz w:val="20"/>
          <w:szCs w:val="20"/>
        </w:rPr>
        <w:t xml:space="preserve">, the question arises </w:t>
      </w:r>
      <w:r w:rsidR="00F10409" w:rsidRPr="00F53942">
        <w:rPr>
          <w:sz w:val="20"/>
          <w:szCs w:val="20"/>
        </w:rPr>
        <w:t>whether it was necessary to include this second condition in the definition of the dependency requirement</w:t>
      </w:r>
      <w:r w:rsidRPr="00F53942">
        <w:rPr>
          <w:sz w:val="20"/>
          <w:szCs w:val="20"/>
        </w:rPr>
        <w:t xml:space="preserve">. </w:t>
      </w:r>
    </w:p>
    <w:p w14:paraId="53A2B57E" w14:textId="19DDA598" w:rsidR="00B00C43" w:rsidRPr="00F53942" w:rsidRDefault="00B00C43" w:rsidP="00B00C43">
      <w:pPr>
        <w:pStyle w:val="Heading1"/>
        <w:numPr>
          <w:ilvl w:val="2"/>
          <w:numId w:val="1"/>
        </w:numPr>
        <w:tabs>
          <w:tab w:val="left" w:pos="363"/>
        </w:tabs>
        <w:spacing w:after="140" w:line="290" w:lineRule="auto"/>
        <w:ind w:right="6"/>
        <w:jc w:val="both"/>
        <w:rPr>
          <w:sz w:val="20"/>
          <w:szCs w:val="20"/>
        </w:rPr>
      </w:pPr>
      <w:bookmarkStart w:id="9" w:name="_Toc209451785"/>
      <w:r w:rsidRPr="00F53942">
        <w:rPr>
          <w:sz w:val="20"/>
          <w:szCs w:val="20"/>
        </w:rPr>
        <w:t>Non-</w:t>
      </w:r>
      <w:r w:rsidR="00552A84" w:rsidRPr="00F53942">
        <w:rPr>
          <w:sz w:val="20"/>
          <w:szCs w:val="20"/>
        </w:rPr>
        <w:t>L</w:t>
      </w:r>
      <w:r w:rsidRPr="00F53942">
        <w:rPr>
          <w:sz w:val="20"/>
          <w:szCs w:val="20"/>
        </w:rPr>
        <w:t xml:space="preserve">imitative </w:t>
      </w:r>
      <w:r w:rsidR="00552A84" w:rsidRPr="00F53942">
        <w:rPr>
          <w:sz w:val="20"/>
          <w:szCs w:val="20"/>
        </w:rPr>
        <w:t>L</w:t>
      </w:r>
      <w:r w:rsidRPr="00F53942">
        <w:rPr>
          <w:sz w:val="20"/>
          <w:szCs w:val="20"/>
        </w:rPr>
        <w:t xml:space="preserve">ist of </w:t>
      </w:r>
      <w:r w:rsidR="00552A84" w:rsidRPr="00F53942">
        <w:rPr>
          <w:sz w:val="20"/>
          <w:szCs w:val="20"/>
        </w:rPr>
        <w:t>Indicative F</w:t>
      </w:r>
      <w:r w:rsidRPr="00F53942">
        <w:rPr>
          <w:sz w:val="20"/>
          <w:szCs w:val="20"/>
        </w:rPr>
        <w:t>actors</w:t>
      </w:r>
      <w:bookmarkEnd w:id="9"/>
      <w:r w:rsidRPr="00F53942">
        <w:rPr>
          <w:sz w:val="20"/>
          <w:szCs w:val="20"/>
        </w:rPr>
        <w:t xml:space="preserve"> </w:t>
      </w:r>
    </w:p>
    <w:p w14:paraId="1DD422A7" w14:textId="343C3DA3" w:rsidR="005B524B" w:rsidRPr="00F53942" w:rsidRDefault="001A1AD9" w:rsidP="001A1AD9">
      <w:pPr>
        <w:widowControl/>
        <w:shd w:val="clear" w:color="auto" w:fill="FFFFFF"/>
        <w:autoSpaceDE/>
        <w:autoSpaceDN/>
        <w:spacing w:after="140" w:line="290" w:lineRule="auto"/>
        <w:jc w:val="both"/>
        <w:rPr>
          <w:sz w:val="20"/>
          <w:szCs w:val="20"/>
        </w:rPr>
      </w:pPr>
      <w:r w:rsidRPr="00F53942">
        <w:rPr>
          <w:sz w:val="20"/>
          <w:szCs w:val="20"/>
        </w:rPr>
        <w:t>The preparatory works for the prohibition also list a number of factors on the basis of which the existence of a position of economic dependence can be concluded</w:t>
      </w:r>
      <w:r w:rsidR="00BD4F7A" w:rsidRPr="00F53942">
        <w:rPr>
          <w:sz w:val="20"/>
          <w:szCs w:val="20"/>
        </w:rPr>
        <w:t>. These factors include:</w:t>
      </w:r>
      <w:r w:rsidRPr="00F53942">
        <w:rPr>
          <w:sz w:val="20"/>
          <w:szCs w:val="20"/>
        </w:rPr>
        <w:t xml:space="preserve"> </w:t>
      </w:r>
      <w:r w:rsidR="00B00C43" w:rsidRPr="00F53942">
        <w:rPr>
          <w:sz w:val="20"/>
          <w:szCs w:val="20"/>
        </w:rPr>
        <w:t>“</w:t>
      </w:r>
      <w:r w:rsidRPr="00F53942">
        <w:rPr>
          <w:sz w:val="20"/>
          <w:szCs w:val="20"/>
        </w:rPr>
        <w:t>The relative market power of the other undertaking; a significant share of the other undertaking in its turnover; the technology or know-how possessed by the other undertaking; the high profile of a brand, scarcity of the product, the perishable nature of the product or even loyal purchasing behaviour of consumers; the undertaking</w:t>
      </w:r>
      <w:r w:rsidR="00F10409">
        <w:rPr>
          <w:sz w:val="20"/>
          <w:szCs w:val="20"/>
        </w:rPr>
        <w:t>’</w:t>
      </w:r>
      <w:r w:rsidRPr="00F53942">
        <w:rPr>
          <w:sz w:val="20"/>
          <w:szCs w:val="20"/>
        </w:rPr>
        <w:t xml:space="preserve">s access to resources or essential infrastructure; the fear of serious economic harm, of reprisals or of termination of the contractual relationship; the regular granting to an undertaking of special conditions, such as discounts, that are not granted to other undertakings in comparable </w:t>
      </w:r>
      <w:r w:rsidRPr="00F53942">
        <w:rPr>
          <w:sz w:val="20"/>
          <w:szCs w:val="20"/>
        </w:rPr>
        <w:lastRenderedPageBreak/>
        <w:t xml:space="preserve">cases; </w:t>
      </w:r>
      <w:r w:rsidR="00BD4F7A" w:rsidRPr="00F53942">
        <w:rPr>
          <w:sz w:val="20"/>
          <w:szCs w:val="20"/>
        </w:rPr>
        <w:t>the undertaking’s</w:t>
      </w:r>
      <w:r w:rsidRPr="00F53942">
        <w:rPr>
          <w:sz w:val="20"/>
          <w:szCs w:val="20"/>
        </w:rPr>
        <w:t xml:space="preserve"> deliberate choice or its obligatory choice to put itself in a position of economic dependence</w:t>
      </w:r>
      <w:r w:rsidR="00B00C43" w:rsidRPr="00F53942">
        <w:rPr>
          <w:sz w:val="20"/>
          <w:szCs w:val="20"/>
        </w:rPr>
        <w:t>”</w:t>
      </w:r>
      <w:r w:rsidRPr="00F53942">
        <w:rPr>
          <w:sz w:val="20"/>
          <w:szCs w:val="20"/>
        </w:rPr>
        <w:t>.</w:t>
      </w:r>
      <w:r w:rsidRPr="00F53942">
        <w:rPr>
          <w:rStyle w:val="FootnoteReference"/>
          <w:sz w:val="20"/>
          <w:szCs w:val="20"/>
        </w:rPr>
        <w:footnoteReference w:id="19"/>
      </w:r>
      <w:r w:rsidRPr="00F53942">
        <w:rPr>
          <w:sz w:val="20"/>
          <w:szCs w:val="20"/>
        </w:rPr>
        <w:t xml:space="preserve"> </w:t>
      </w:r>
      <w:r w:rsidR="005B524B" w:rsidRPr="00F53942">
        <w:rPr>
          <w:sz w:val="20"/>
          <w:szCs w:val="20"/>
        </w:rPr>
        <w:t xml:space="preserve">The legislator did not include these factors in the law itself </w:t>
      </w:r>
      <w:r w:rsidR="00BD4F7A" w:rsidRPr="00F53942">
        <w:rPr>
          <w:sz w:val="20"/>
          <w:szCs w:val="20"/>
        </w:rPr>
        <w:t xml:space="preserve">in order </w:t>
      </w:r>
      <w:r w:rsidR="005B524B" w:rsidRPr="00F53942">
        <w:rPr>
          <w:sz w:val="20"/>
          <w:szCs w:val="20"/>
        </w:rPr>
        <w:t>to safeguard the open standard nature of Article IV.2/1 BCEL.</w:t>
      </w:r>
    </w:p>
    <w:p w14:paraId="69BBAF77" w14:textId="006058EF" w:rsidR="005B524B" w:rsidRPr="00F53942" w:rsidRDefault="005B524B" w:rsidP="001A1AD9">
      <w:pPr>
        <w:widowControl/>
        <w:shd w:val="clear" w:color="auto" w:fill="FFFFFF"/>
        <w:autoSpaceDE/>
        <w:autoSpaceDN/>
        <w:spacing w:after="140" w:line="290" w:lineRule="auto"/>
        <w:jc w:val="both"/>
        <w:rPr>
          <w:sz w:val="20"/>
          <w:szCs w:val="20"/>
        </w:rPr>
      </w:pPr>
      <w:r w:rsidRPr="00F53942">
        <w:rPr>
          <w:sz w:val="20"/>
          <w:szCs w:val="20"/>
        </w:rPr>
        <w:t>These factors are purely illustrative.</w:t>
      </w:r>
      <w:r w:rsidRPr="00F53942">
        <w:rPr>
          <w:rStyle w:val="FootnoteReference"/>
          <w:sz w:val="20"/>
          <w:szCs w:val="20"/>
        </w:rPr>
        <w:footnoteReference w:id="20"/>
      </w:r>
      <w:r w:rsidRPr="00F53942">
        <w:rPr>
          <w:sz w:val="20"/>
          <w:szCs w:val="20"/>
        </w:rPr>
        <w:t xml:space="preserve"> While they may help to determine whether an undertaking is in a position of economic dependence</w:t>
      </w:r>
      <w:r w:rsidR="00913085" w:rsidRPr="00F53942">
        <w:rPr>
          <w:sz w:val="20"/>
          <w:szCs w:val="20"/>
        </w:rPr>
        <w:t>,</w:t>
      </w:r>
      <w:r w:rsidRPr="00F53942">
        <w:rPr>
          <w:rStyle w:val="FootnoteReference"/>
          <w:sz w:val="20"/>
          <w:szCs w:val="20"/>
        </w:rPr>
        <w:footnoteReference w:id="21"/>
      </w:r>
      <w:r w:rsidRPr="00F53942">
        <w:rPr>
          <w:sz w:val="20"/>
          <w:szCs w:val="20"/>
        </w:rPr>
        <w:t xml:space="preserve"> </w:t>
      </w:r>
      <w:r w:rsidR="00E56278" w:rsidRPr="00F53942">
        <w:rPr>
          <w:sz w:val="20"/>
          <w:szCs w:val="20"/>
        </w:rPr>
        <w:t>as shown below</w:t>
      </w:r>
      <w:r w:rsidR="005E450C" w:rsidRPr="00F53942">
        <w:rPr>
          <w:sz w:val="20"/>
          <w:szCs w:val="20"/>
        </w:rPr>
        <w:t xml:space="preserve"> (Section </w:t>
      </w:r>
      <w:r w:rsidR="005E450C" w:rsidRPr="00F53942">
        <w:rPr>
          <w:sz w:val="20"/>
          <w:szCs w:val="20"/>
        </w:rPr>
        <w:fldChar w:fldCharType="begin"/>
      </w:r>
      <w:r w:rsidR="005E450C" w:rsidRPr="00F53942">
        <w:rPr>
          <w:sz w:val="20"/>
          <w:szCs w:val="20"/>
        </w:rPr>
        <w:instrText xml:space="preserve"> REF _Ref209164885 \r \h </w:instrText>
      </w:r>
      <w:r w:rsidR="00F53942">
        <w:rPr>
          <w:sz w:val="20"/>
          <w:szCs w:val="20"/>
        </w:rPr>
        <w:instrText xml:space="preserve"> \* MERGEFORMAT </w:instrText>
      </w:r>
      <w:r w:rsidR="005E450C" w:rsidRPr="00F53942">
        <w:rPr>
          <w:sz w:val="20"/>
          <w:szCs w:val="20"/>
        </w:rPr>
      </w:r>
      <w:r w:rsidR="005E450C" w:rsidRPr="00F53942">
        <w:rPr>
          <w:sz w:val="20"/>
          <w:szCs w:val="20"/>
        </w:rPr>
        <w:fldChar w:fldCharType="separate"/>
      </w:r>
      <w:r w:rsidR="00F10409">
        <w:rPr>
          <w:sz w:val="20"/>
          <w:szCs w:val="20"/>
        </w:rPr>
        <w:t>3.2.4</w:t>
      </w:r>
      <w:r w:rsidR="005E450C" w:rsidRPr="00F53942">
        <w:rPr>
          <w:sz w:val="20"/>
          <w:szCs w:val="20"/>
        </w:rPr>
        <w:fldChar w:fldCharType="end"/>
      </w:r>
      <w:r w:rsidR="005E450C" w:rsidRPr="00F53942">
        <w:rPr>
          <w:sz w:val="20"/>
          <w:szCs w:val="20"/>
        </w:rPr>
        <w:t>)</w:t>
      </w:r>
      <w:r w:rsidR="00E56278" w:rsidRPr="00F53942">
        <w:rPr>
          <w:sz w:val="20"/>
          <w:szCs w:val="20"/>
        </w:rPr>
        <w:t xml:space="preserve">, </w:t>
      </w:r>
      <w:r w:rsidRPr="00F53942">
        <w:rPr>
          <w:sz w:val="20"/>
          <w:szCs w:val="20"/>
        </w:rPr>
        <w:t xml:space="preserve">courts retain considerable discretionary power to also take other factors into account. </w:t>
      </w:r>
    </w:p>
    <w:p w14:paraId="028ACC74" w14:textId="0B2CDDCC" w:rsidR="00B00C43" w:rsidRPr="00F53942" w:rsidRDefault="0070292B" w:rsidP="00B00C43">
      <w:pPr>
        <w:pStyle w:val="Heading1"/>
        <w:numPr>
          <w:ilvl w:val="2"/>
          <w:numId w:val="1"/>
        </w:numPr>
        <w:tabs>
          <w:tab w:val="left" w:pos="363"/>
        </w:tabs>
        <w:spacing w:after="140" w:line="290" w:lineRule="auto"/>
        <w:ind w:right="6"/>
        <w:jc w:val="both"/>
        <w:rPr>
          <w:sz w:val="20"/>
          <w:szCs w:val="20"/>
        </w:rPr>
      </w:pPr>
      <w:bookmarkStart w:id="10" w:name="_Ref209164885"/>
      <w:bookmarkStart w:id="11" w:name="_Toc209451786"/>
      <w:r w:rsidRPr="00F53942">
        <w:rPr>
          <w:sz w:val="20"/>
          <w:szCs w:val="20"/>
        </w:rPr>
        <w:t>Putting into Practice</w:t>
      </w:r>
      <w:bookmarkEnd w:id="10"/>
      <w:bookmarkEnd w:id="11"/>
    </w:p>
    <w:p w14:paraId="5E6F23F3" w14:textId="7B2F6012" w:rsidR="00B00C43" w:rsidRPr="00F53942" w:rsidRDefault="0059190F" w:rsidP="00B00C43">
      <w:pPr>
        <w:widowControl/>
        <w:shd w:val="clear" w:color="auto" w:fill="FFFFFF"/>
        <w:autoSpaceDE/>
        <w:autoSpaceDN/>
        <w:spacing w:after="140" w:line="290" w:lineRule="auto"/>
        <w:jc w:val="both"/>
        <w:rPr>
          <w:sz w:val="20"/>
          <w:szCs w:val="20"/>
        </w:rPr>
      </w:pPr>
      <w:r w:rsidRPr="00F53942">
        <w:rPr>
          <w:sz w:val="20"/>
          <w:szCs w:val="20"/>
        </w:rPr>
        <w:t>The presence or absence of a reasonably equivalent alternative often proves to be a decisive factor in case law when deciding whether or not a position of economic dependence exists.</w:t>
      </w:r>
      <w:r w:rsidRPr="00F53942">
        <w:rPr>
          <w:rStyle w:val="FootnoteReference"/>
          <w:sz w:val="20"/>
          <w:szCs w:val="20"/>
        </w:rPr>
        <w:footnoteReference w:id="22"/>
      </w:r>
      <w:r w:rsidRPr="00F53942">
        <w:rPr>
          <w:sz w:val="20"/>
          <w:szCs w:val="20"/>
        </w:rPr>
        <w:t xml:space="preserve"> T</w:t>
      </w:r>
      <w:r w:rsidR="00B00C43" w:rsidRPr="00F53942">
        <w:rPr>
          <w:sz w:val="20"/>
          <w:szCs w:val="20"/>
        </w:rPr>
        <w:t xml:space="preserve">o determine to which extent a reasonable alternative is available and to which extent the </w:t>
      </w:r>
      <w:r w:rsidR="00B245DC" w:rsidRPr="00F53942">
        <w:rPr>
          <w:sz w:val="20"/>
          <w:szCs w:val="20"/>
        </w:rPr>
        <w:t>undertaking</w:t>
      </w:r>
      <w:r w:rsidR="00B00C43" w:rsidRPr="00F53942">
        <w:rPr>
          <w:sz w:val="20"/>
          <w:szCs w:val="20"/>
        </w:rPr>
        <w:t xml:space="preserve"> finds itself in a dependency position</w:t>
      </w:r>
      <w:r w:rsidRPr="00F53942">
        <w:rPr>
          <w:sz w:val="20"/>
          <w:szCs w:val="20"/>
        </w:rPr>
        <w:t xml:space="preserve"> courts tend to take </w:t>
      </w:r>
      <w:r w:rsidR="0070292B" w:rsidRPr="00F53942">
        <w:rPr>
          <w:sz w:val="20"/>
          <w:szCs w:val="20"/>
        </w:rPr>
        <w:t xml:space="preserve">into account </w:t>
      </w:r>
      <w:r w:rsidRPr="00F53942">
        <w:rPr>
          <w:sz w:val="20"/>
          <w:szCs w:val="20"/>
        </w:rPr>
        <w:t>a wide ray of elements</w:t>
      </w:r>
      <w:r w:rsidR="00B00C43" w:rsidRPr="00F53942">
        <w:rPr>
          <w:sz w:val="20"/>
          <w:szCs w:val="20"/>
        </w:rPr>
        <w:t>:</w:t>
      </w:r>
    </w:p>
    <w:p w14:paraId="1D114485" w14:textId="6DE32227" w:rsidR="000B796D" w:rsidRPr="00F53942" w:rsidRDefault="000B796D" w:rsidP="000B796D">
      <w:pPr>
        <w:pStyle w:val="ListParagraph"/>
        <w:numPr>
          <w:ilvl w:val="0"/>
          <w:numId w:val="13"/>
        </w:numPr>
        <w:spacing w:after="140" w:line="290" w:lineRule="auto"/>
        <w:ind w:left="714" w:right="6" w:hanging="357"/>
        <w:jc w:val="both"/>
        <w:rPr>
          <w:sz w:val="20"/>
          <w:szCs w:val="20"/>
        </w:rPr>
      </w:pPr>
      <w:r w:rsidRPr="00F53942">
        <w:rPr>
          <w:sz w:val="20"/>
          <w:szCs w:val="20"/>
        </w:rPr>
        <w:t>In the retail clothing sector, the collection for a particular season must be ordered well in advance. As such, a retailer of children’s clothing of a certain brand confronted with a refusal of delivery by its sole supplier of clothing of that brand only a few weeks before the start of the season, is not in a position to find a reasonable alternative, within a reasonable period of time and at reasonable costs and conditions</w:t>
      </w:r>
      <w:r w:rsidR="00F10409">
        <w:rPr>
          <w:sz w:val="20"/>
          <w:szCs w:val="20"/>
        </w:rPr>
        <w:t>. This retailer therefor</w:t>
      </w:r>
      <w:r w:rsidRPr="00F53942">
        <w:rPr>
          <w:sz w:val="20"/>
          <w:szCs w:val="20"/>
        </w:rPr>
        <w:t>e finds itself in a position of economic dependence.</w:t>
      </w:r>
      <w:r w:rsidRPr="00F53942">
        <w:rPr>
          <w:rStyle w:val="FootnoteReference"/>
          <w:sz w:val="20"/>
          <w:szCs w:val="20"/>
        </w:rPr>
        <w:footnoteReference w:id="23"/>
      </w:r>
    </w:p>
    <w:p w14:paraId="3A7E5FC2" w14:textId="77777777" w:rsidR="000B796D" w:rsidRPr="00F53942" w:rsidRDefault="000B796D" w:rsidP="000B796D">
      <w:pPr>
        <w:pStyle w:val="ListParagraph"/>
        <w:numPr>
          <w:ilvl w:val="0"/>
          <w:numId w:val="13"/>
        </w:numPr>
        <w:spacing w:after="140" w:line="290" w:lineRule="auto"/>
        <w:ind w:left="714" w:right="6" w:hanging="357"/>
        <w:jc w:val="both"/>
        <w:rPr>
          <w:sz w:val="20"/>
          <w:szCs w:val="20"/>
        </w:rPr>
      </w:pPr>
      <w:r w:rsidRPr="00F53942">
        <w:rPr>
          <w:sz w:val="20"/>
          <w:szCs w:val="20"/>
        </w:rPr>
        <w:t>A retailer of bathroom supplies is considered not to find itself in a position of economic dependence if its supplier of a certain brand of bathroom supplies refuses to continue to deliver, given the fact that the retailer also managed to purchase bathroom supplies of the same brand from other suppliers in the past and given the fact that also bathroom supplies from other brands – although less popular – were readily available.</w:t>
      </w:r>
      <w:r w:rsidRPr="00F53942">
        <w:rPr>
          <w:rStyle w:val="FootnoteReference"/>
          <w:sz w:val="20"/>
          <w:szCs w:val="20"/>
        </w:rPr>
        <w:footnoteReference w:id="24"/>
      </w:r>
    </w:p>
    <w:p w14:paraId="1D2C6D38" w14:textId="77777777" w:rsidR="000B796D" w:rsidRPr="00F53942" w:rsidRDefault="000B796D" w:rsidP="000B796D">
      <w:pPr>
        <w:pStyle w:val="ListParagraph"/>
        <w:numPr>
          <w:ilvl w:val="0"/>
          <w:numId w:val="13"/>
        </w:numPr>
        <w:spacing w:after="140" w:line="290" w:lineRule="auto"/>
        <w:ind w:left="714" w:right="6" w:hanging="357"/>
        <w:jc w:val="both"/>
        <w:rPr>
          <w:sz w:val="20"/>
          <w:szCs w:val="20"/>
        </w:rPr>
      </w:pPr>
      <w:r w:rsidRPr="00F53942">
        <w:rPr>
          <w:sz w:val="20"/>
          <w:szCs w:val="20"/>
        </w:rPr>
        <w:t>A retailer of weapons is considered to find itself in a position of economic dependency vis-à-vis its sole suppliers of two specific brands of weapons, given the fact that 90% of its revenues depends on the sale of the weapons of those two specific brands. The court ruled that discontinuation of supply would result in a serious loss of turnover but also threatens to render the entire business worthless.</w:t>
      </w:r>
      <w:r w:rsidRPr="00F53942">
        <w:rPr>
          <w:rStyle w:val="FootnoteReference"/>
          <w:sz w:val="20"/>
          <w:szCs w:val="20"/>
        </w:rPr>
        <w:footnoteReference w:id="25"/>
      </w:r>
    </w:p>
    <w:p w14:paraId="4C66CBB8" w14:textId="77777777" w:rsidR="000B796D" w:rsidRPr="00F53942" w:rsidRDefault="000B796D" w:rsidP="000B796D">
      <w:pPr>
        <w:pStyle w:val="ListParagraph"/>
        <w:numPr>
          <w:ilvl w:val="0"/>
          <w:numId w:val="13"/>
        </w:numPr>
        <w:spacing w:after="140" w:line="290" w:lineRule="auto"/>
        <w:ind w:left="714" w:right="6" w:hanging="357"/>
        <w:jc w:val="both"/>
        <w:rPr>
          <w:sz w:val="20"/>
          <w:szCs w:val="20"/>
        </w:rPr>
      </w:pPr>
      <w:r w:rsidRPr="00F53942">
        <w:rPr>
          <w:sz w:val="20"/>
          <w:szCs w:val="20"/>
        </w:rPr>
        <w:t>A distributor of automatic defibrillators is not considered to be in a position of economic dependence when the manufacturer of these products imposes price increases, given that these price increases were objectively justified and would not restrict competition, and there were seven other manufacturers of these defibrillators on the market from whom the distributor could purchase the defibrillators (and therefore has a reasonably equivalent alternative).</w:t>
      </w:r>
      <w:r w:rsidRPr="00F53942">
        <w:rPr>
          <w:rStyle w:val="FootnoteReference"/>
          <w:sz w:val="20"/>
          <w:szCs w:val="20"/>
        </w:rPr>
        <w:footnoteReference w:id="26"/>
      </w:r>
    </w:p>
    <w:p w14:paraId="1EA22B89" w14:textId="320405E5" w:rsidR="000B796D" w:rsidRPr="00F53942" w:rsidRDefault="000B796D" w:rsidP="000B796D">
      <w:pPr>
        <w:pStyle w:val="ListParagraph"/>
        <w:numPr>
          <w:ilvl w:val="0"/>
          <w:numId w:val="13"/>
        </w:numPr>
        <w:spacing w:after="140" w:line="290" w:lineRule="auto"/>
        <w:ind w:left="714" w:right="6" w:hanging="357"/>
        <w:jc w:val="both"/>
        <w:rPr>
          <w:sz w:val="20"/>
          <w:szCs w:val="20"/>
        </w:rPr>
      </w:pPr>
      <w:r w:rsidRPr="00F53942">
        <w:rPr>
          <w:sz w:val="20"/>
          <w:szCs w:val="20"/>
        </w:rPr>
        <w:t>A building materials trader is not in a position of economic dependence when its supplier of floor elements refuses to continue the supply, given that the building materials trader has been sourcing its floor elements from other suppliers for some time and therefore has a reasonably equivalent alternative</w:t>
      </w:r>
      <w:r w:rsidR="00F10409">
        <w:rPr>
          <w:sz w:val="20"/>
          <w:szCs w:val="20"/>
        </w:rPr>
        <w:t xml:space="preserve"> at its disposal</w:t>
      </w:r>
      <w:r w:rsidRPr="00F53942">
        <w:rPr>
          <w:sz w:val="20"/>
          <w:szCs w:val="20"/>
        </w:rPr>
        <w:t>.</w:t>
      </w:r>
      <w:r w:rsidRPr="00F53942">
        <w:rPr>
          <w:rStyle w:val="FootnoteReference"/>
          <w:sz w:val="20"/>
          <w:szCs w:val="20"/>
        </w:rPr>
        <w:footnoteReference w:id="27"/>
      </w:r>
    </w:p>
    <w:p w14:paraId="4E6CEA81" w14:textId="6F833D95" w:rsidR="000B796D" w:rsidRDefault="000B796D" w:rsidP="000B796D">
      <w:pPr>
        <w:pStyle w:val="ListParagraph"/>
        <w:numPr>
          <w:ilvl w:val="0"/>
          <w:numId w:val="13"/>
        </w:numPr>
        <w:spacing w:after="140" w:line="290" w:lineRule="auto"/>
        <w:ind w:left="714" w:right="6" w:hanging="357"/>
        <w:jc w:val="both"/>
        <w:rPr>
          <w:sz w:val="20"/>
          <w:szCs w:val="20"/>
        </w:rPr>
      </w:pPr>
      <w:r w:rsidRPr="00F53942">
        <w:rPr>
          <w:sz w:val="20"/>
          <w:szCs w:val="20"/>
        </w:rPr>
        <w:t xml:space="preserve">A Belgian telehealth provider is not in a position of economic dependence vis-à-vis its supplier of telehealth </w:t>
      </w:r>
      <w:r w:rsidRPr="00F53942">
        <w:rPr>
          <w:sz w:val="20"/>
          <w:szCs w:val="20"/>
        </w:rPr>
        <w:lastRenderedPageBreak/>
        <w:t xml:space="preserve">technology and patented communication platforms used for the Belgian telehealth provider’s services, given that there </w:t>
      </w:r>
      <w:r w:rsidR="00F10409">
        <w:rPr>
          <w:sz w:val="20"/>
          <w:szCs w:val="20"/>
        </w:rPr>
        <w:t>i</w:t>
      </w:r>
      <w:r w:rsidRPr="00F53942">
        <w:rPr>
          <w:sz w:val="20"/>
          <w:szCs w:val="20"/>
        </w:rPr>
        <w:t>s an existing alternative on the French market and several alternatives on the Belgian market, with at least one being a licensee of the aforementioned patent.</w:t>
      </w:r>
      <w:r w:rsidRPr="00F53942">
        <w:rPr>
          <w:rStyle w:val="FootnoteReference"/>
          <w:sz w:val="20"/>
          <w:szCs w:val="20"/>
        </w:rPr>
        <w:footnoteReference w:id="28"/>
      </w:r>
    </w:p>
    <w:p w14:paraId="7A45D280" w14:textId="2DB04424" w:rsidR="0059190F" w:rsidRPr="00F53942" w:rsidRDefault="000B796D" w:rsidP="0059190F">
      <w:pPr>
        <w:pStyle w:val="ListParagraph"/>
        <w:numPr>
          <w:ilvl w:val="0"/>
          <w:numId w:val="13"/>
        </w:numPr>
        <w:spacing w:after="140" w:line="290" w:lineRule="auto"/>
        <w:ind w:left="714" w:right="6" w:hanging="357"/>
        <w:jc w:val="both"/>
        <w:rPr>
          <w:sz w:val="20"/>
          <w:szCs w:val="20"/>
        </w:rPr>
      </w:pPr>
      <w:r w:rsidRPr="00F53942">
        <w:rPr>
          <w:sz w:val="20"/>
          <w:szCs w:val="20"/>
        </w:rPr>
        <w:t xml:space="preserve">A seller of shoes and accessories from a wide range of brands (including Dr. Martens) is not in a position of economic dependence when the supplier of Dr. Martens announces that it is terminating the commercial relationship and cancels outstanding orders, given that there are other, diverse brands on the market that offer lace-up boots/shoes and the seller therefore has </w:t>
      </w:r>
      <w:r w:rsidR="00F10409" w:rsidRPr="00F53942">
        <w:rPr>
          <w:sz w:val="20"/>
          <w:szCs w:val="20"/>
        </w:rPr>
        <w:t xml:space="preserve">available </w:t>
      </w:r>
      <w:r w:rsidRPr="00F53942">
        <w:rPr>
          <w:sz w:val="20"/>
          <w:szCs w:val="20"/>
        </w:rPr>
        <w:t>alternatives.</w:t>
      </w:r>
      <w:r w:rsidRPr="00F53942">
        <w:rPr>
          <w:rStyle w:val="FootnoteReference"/>
          <w:sz w:val="20"/>
          <w:szCs w:val="20"/>
        </w:rPr>
        <w:footnoteReference w:id="29"/>
      </w:r>
    </w:p>
    <w:p w14:paraId="43834572" w14:textId="258C8856" w:rsidR="000C09CB" w:rsidRPr="000C09CB" w:rsidRDefault="000C09CB" w:rsidP="000C09CB">
      <w:pPr>
        <w:spacing w:after="140" w:line="290" w:lineRule="auto"/>
        <w:ind w:right="6"/>
        <w:jc w:val="both"/>
        <w:rPr>
          <w:sz w:val="20"/>
          <w:szCs w:val="20"/>
        </w:rPr>
      </w:pPr>
      <w:r w:rsidRPr="000C09CB">
        <w:rPr>
          <w:sz w:val="20"/>
          <w:szCs w:val="20"/>
        </w:rPr>
        <w:t xml:space="preserve">Some important questions </w:t>
      </w:r>
      <w:r>
        <w:rPr>
          <w:sz w:val="20"/>
          <w:szCs w:val="20"/>
        </w:rPr>
        <w:t xml:space="preserve">with regards to the position of economic dependency </w:t>
      </w:r>
      <w:r w:rsidRPr="000C09CB">
        <w:rPr>
          <w:sz w:val="20"/>
          <w:szCs w:val="20"/>
        </w:rPr>
        <w:t>remain unanswered in the current jurisprudence. As a result, undertakings may encounter uncertainty around the practical application of the test, and future rulings will likely clarify these outstanding issues as new disputes arise</w:t>
      </w:r>
      <w:r>
        <w:rPr>
          <w:sz w:val="20"/>
          <w:szCs w:val="20"/>
        </w:rPr>
        <w:t>. For example:</w:t>
      </w:r>
    </w:p>
    <w:p w14:paraId="03B4D178" w14:textId="4CCBDA51" w:rsidR="0059190F" w:rsidRPr="00F10409" w:rsidRDefault="0059190F" w:rsidP="00F10409">
      <w:pPr>
        <w:pStyle w:val="ListParagraph"/>
        <w:widowControl/>
        <w:numPr>
          <w:ilvl w:val="0"/>
          <w:numId w:val="13"/>
        </w:numPr>
        <w:shd w:val="clear" w:color="auto" w:fill="FFFFFF"/>
        <w:autoSpaceDE/>
        <w:autoSpaceDN/>
        <w:spacing w:after="140" w:line="290" w:lineRule="auto"/>
        <w:jc w:val="both"/>
        <w:rPr>
          <w:sz w:val="20"/>
          <w:szCs w:val="20"/>
        </w:rPr>
      </w:pPr>
      <w:r w:rsidRPr="00F10409">
        <w:rPr>
          <w:sz w:val="20"/>
          <w:szCs w:val="20"/>
        </w:rPr>
        <w:t xml:space="preserve">It is unclear whether cessation or abandonment of the activity </w:t>
      </w:r>
      <w:r w:rsidR="00993465" w:rsidRPr="00F10409">
        <w:rPr>
          <w:sz w:val="20"/>
          <w:szCs w:val="20"/>
        </w:rPr>
        <w:t>should be</w:t>
      </w:r>
      <w:r w:rsidRPr="00F10409">
        <w:rPr>
          <w:sz w:val="20"/>
          <w:szCs w:val="20"/>
        </w:rPr>
        <w:t xml:space="preserve"> considered a valid alternative. </w:t>
      </w:r>
      <w:r w:rsidR="00993465" w:rsidRPr="00F10409">
        <w:rPr>
          <w:sz w:val="20"/>
          <w:szCs w:val="20"/>
        </w:rPr>
        <w:t>However, particularly in the context of a refusal to supply or contract, Belgian courts generally hold that if such a refusal would necessarily lead to the discontinuation of the dependent undertaking’s business – because no alternative is available –  a position of economic dependence will generally be found</w:t>
      </w:r>
      <w:r w:rsidRPr="00F10409">
        <w:rPr>
          <w:sz w:val="20"/>
          <w:szCs w:val="20"/>
        </w:rPr>
        <w:t>.</w:t>
      </w:r>
      <w:r w:rsidRPr="00F53942">
        <w:rPr>
          <w:rStyle w:val="FootnoteReference"/>
          <w:sz w:val="20"/>
          <w:szCs w:val="20"/>
        </w:rPr>
        <w:footnoteReference w:id="30"/>
      </w:r>
    </w:p>
    <w:p w14:paraId="1235BEA3" w14:textId="73089DE3" w:rsidR="009C6020" w:rsidRPr="00F10409" w:rsidRDefault="009C6020" w:rsidP="00F10409">
      <w:pPr>
        <w:pStyle w:val="ListParagraph"/>
        <w:widowControl/>
        <w:numPr>
          <w:ilvl w:val="0"/>
          <w:numId w:val="13"/>
        </w:numPr>
        <w:shd w:val="clear" w:color="auto" w:fill="FFFFFF"/>
        <w:autoSpaceDE/>
        <w:autoSpaceDN/>
        <w:spacing w:after="140" w:line="290" w:lineRule="auto"/>
        <w:jc w:val="both"/>
        <w:rPr>
          <w:sz w:val="20"/>
          <w:szCs w:val="20"/>
        </w:rPr>
      </w:pPr>
      <w:r w:rsidRPr="00F10409">
        <w:rPr>
          <w:sz w:val="20"/>
          <w:szCs w:val="20"/>
        </w:rPr>
        <w:t>The legal test under Article IV.2/1 BCEL remains whether an undertaking can impose unfair conditions due to the economic dependence of its counterparty, irrespective of whether the market is single- or multi-sided. </w:t>
      </w:r>
      <w:r w:rsidR="00F10409">
        <w:rPr>
          <w:sz w:val="20"/>
          <w:szCs w:val="20"/>
        </w:rPr>
        <w:t>So far</w:t>
      </w:r>
      <w:r w:rsidRPr="00F10409">
        <w:rPr>
          <w:sz w:val="20"/>
          <w:szCs w:val="20"/>
        </w:rPr>
        <w:t xml:space="preserve">, there is no case law </w:t>
      </w:r>
      <w:r w:rsidR="00F10409" w:rsidRPr="00F10409">
        <w:rPr>
          <w:sz w:val="20"/>
          <w:szCs w:val="20"/>
        </w:rPr>
        <w:t>suggesting a different approach for two-sided or multi-sided markets</w:t>
      </w:r>
      <w:r w:rsidR="00993465" w:rsidRPr="00F10409">
        <w:rPr>
          <w:sz w:val="20"/>
          <w:szCs w:val="20"/>
        </w:rPr>
        <w:t xml:space="preserve">. </w:t>
      </w:r>
      <w:r w:rsidR="00F10409" w:rsidRPr="00F10409">
        <w:rPr>
          <w:sz w:val="20"/>
          <w:szCs w:val="20"/>
        </w:rPr>
        <w:t>However, future decisions of the Belgian Competition Authority and courts are likely to reflect the reality that such markets involve interconnected user groups and network effects. In these settings, even modest market shares may be sufficient to establish economic dependence, particularly given the pivotal function platforms and intermediaries serve in connecting distinct sets of users and facilitating transactions between them.</w:t>
      </w:r>
    </w:p>
    <w:p w14:paraId="16768831" w14:textId="65557052" w:rsidR="001A1AD9" w:rsidRPr="00F53942" w:rsidRDefault="001A1AD9" w:rsidP="00B00C43">
      <w:pPr>
        <w:pStyle w:val="Heading1"/>
        <w:numPr>
          <w:ilvl w:val="1"/>
          <w:numId w:val="1"/>
        </w:numPr>
        <w:tabs>
          <w:tab w:val="left" w:pos="363"/>
        </w:tabs>
        <w:spacing w:after="140" w:line="290" w:lineRule="auto"/>
        <w:ind w:right="6"/>
        <w:jc w:val="both"/>
        <w:rPr>
          <w:sz w:val="20"/>
          <w:szCs w:val="20"/>
        </w:rPr>
      </w:pPr>
      <w:bookmarkStart w:id="12" w:name="_Toc209451787"/>
      <w:r w:rsidRPr="00F53942">
        <w:rPr>
          <w:sz w:val="20"/>
          <w:szCs w:val="20"/>
        </w:rPr>
        <w:t>Abuse of the Position of Economic Dependence</w:t>
      </w:r>
      <w:bookmarkEnd w:id="12"/>
    </w:p>
    <w:p w14:paraId="64632532" w14:textId="0CAB85CD" w:rsidR="00552A84" w:rsidRPr="00F53942" w:rsidRDefault="00552A84" w:rsidP="00552A84">
      <w:pPr>
        <w:pStyle w:val="Heading1"/>
        <w:numPr>
          <w:ilvl w:val="2"/>
          <w:numId w:val="1"/>
        </w:numPr>
        <w:tabs>
          <w:tab w:val="left" w:pos="363"/>
        </w:tabs>
        <w:spacing w:after="140" w:line="290" w:lineRule="auto"/>
        <w:ind w:right="6"/>
        <w:jc w:val="both"/>
        <w:rPr>
          <w:sz w:val="20"/>
          <w:szCs w:val="20"/>
        </w:rPr>
      </w:pPr>
      <w:bookmarkStart w:id="13" w:name="_Ref209164869"/>
      <w:bookmarkStart w:id="14" w:name="_Ref209164905"/>
      <w:bookmarkStart w:id="15" w:name="_Ref209165224"/>
      <w:bookmarkStart w:id="16" w:name="_Toc209451788"/>
      <w:r w:rsidRPr="00F53942">
        <w:rPr>
          <w:sz w:val="20"/>
          <w:szCs w:val="20"/>
        </w:rPr>
        <w:t>Absence of</w:t>
      </w:r>
      <w:r w:rsidR="00993465" w:rsidRPr="00F53942">
        <w:rPr>
          <w:sz w:val="20"/>
          <w:szCs w:val="20"/>
        </w:rPr>
        <w:t xml:space="preserve"> a</w:t>
      </w:r>
      <w:r w:rsidRPr="00F53942">
        <w:rPr>
          <w:sz w:val="20"/>
          <w:szCs w:val="20"/>
        </w:rPr>
        <w:t xml:space="preserve"> Legal Definition</w:t>
      </w:r>
      <w:bookmarkEnd w:id="13"/>
      <w:bookmarkEnd w:id="14"/>
      <w:bookmarkEnd w:id="15"/>
      <w:bookmarkEnd w:id="16"/>
    </w:p>
    <w:p w14:paraId="733FA021" w14:textId="5AF1978A" w:rsidR="001A1AD9" w:rsidRPr="00F53942" w:rsidRDefault="001A1AD9" w:rsidP="001A1AD9">
      <w:pPr>
        <w:widowControl/>
        <w:shd w:val="clear" w:color="auto" w:fill="FFFFFF"/>
        <w:autoSpaceDE/>
        <w:autoSpaceDN/>
        <w:spacing w:after="140" w:line="290" w:lineRule="auto"/>
        <w:jc w:val="both"/>
        <w:rPr>
          <w:sz w:val="20"/>
          <w:szCs w:val="20"/>
        </w:rPr>
      </w:pPr>
      <w:r w:rsidRPr="00F53942">
        <w:rPr>
          <w:sz w:val="20"/>
          <w:szCs w:val="20"/>
        </w:rPr>
        <w:t xml:space="preserve">The second condition of </w:t>
      </w:r>
      <w:r w:rsidR="00215262">
        <w:rPr>
          <w:sz w:val="20"/>
          <w:szCs w:val="20"/>
        </w:rPr>
        <w:t>A</w:t>
      </w:r>
      <w:r w:rsidRPr="00F53942">
        <w:rPr>
          <w:sz w:val="20"/>
          <w:szCs w:val="20"/>
        </w:rPr>
        <w:t xml:space="preserve">rticle IV.2/1 BCEL is that there must be an abuse by the dominating undertaking of the position of economic dependency of </w:t>
      </w:r>
      <w:r w:rsidR="000E5351" w:rsidRPr="00F53942">
        <w:rPr>
          <w:sz w:val="20"/>
          <w:szCs w:val="20"/>
        </w:rPr>
        <w:t>its counterpart</w:t>
      </w:r>
      <w:r w:rsidRPr="00F53942">
        <w:rPr>
          <w:sz w:val="20"/>
          <w:szCs w:val="20"/>
        </w:rPr>
        <w:t xml:space="preserve">. The </w:t>
      </w:r>
      <w:r w:rsidR="00993465" w:rsidRPr="00F53942">
        <w:rPr>
          <w:sz w:val="20"/>
          <w:szCs w:val="20"/>
        </w:rPr>
        <w:t>legislation</w:t>
      </w:r>
      <w:r w:rsidRPr="00F53942">
        <w:rPr>
          <w:sz w:val="20"/>
          <w:szCs w:val="20"/>
        </w:rPr>
        <w:t xml:space="preserve"> itself does not </w:t>
      </w:r>
      <w:r w:rsidR="00993465" w:rsidRPr="00F53942">
        <w:rPr>
          <w:sz w:val="20"/>
          <w:szCs w:val="20"/>
        </w:rPr>
        <w:t>provide</w:t>
      </w:r>
      <w:r w:rsidRPr="00F53942">
        <w:rPr>
          <w:sz w:val="20"/>
          <w:szCs w:val="20"/>
        </w:rPr>
        <w:t xml:space="preserve"> a definition of the abuse requirement. </w:t>
      </w:r>
    </w:p>
    <w:p w14:paraId="7082B494" w14:textId="3FD500BC" w:rsidR="001A1AD9" w:rsidRPr="00F53942" w:rsidRDefault="001A1AD9" w:rsidP="001A1AD9">
      <w:pPr>
        <w:widowControl/>
        <w:shd w:val="clear" w:color="auto" w:fill="FFFFFF"/>
        <w:autoSpaceDE/>
        <w:autoSpaceDN/>
        <w:spacing w:after="140" w:line="290" w:lineRule="auto"/>
        <w:jc w:val="both"/>
        <w:rPr>
          <w:sz w:val="20"/>
          <w:szCs w:val="20"/>
        </w:rPr>
      </w:pPr>
      <w:r w:rsidRPr="00F53942">
        <w:rPr>
          <w:sz w:val="20"/>
          <w:szCs w:val="20"/>
        </w:rPr>
        <w:t>An indication of what can be understood by abuse is</w:t>
      </w:r>
      <w:r w:rsidR="000C09CB">
        <w:rPr>
          <w:sz w:val="20"/>
          <w:szCs w:val="20"/>
        </w:rPr>
        <w:t xml:space="preserve"> however</w:t>
      </w:r>
      <w:r w:rsidRPr="00F53942">
        <w:rPr>
          <w:sz w:val="20"/>
          <w:szCs w:val="20"/>
        </w:rPr>
        <w:t xml:space="preserve"> given in the preparatory works: </w:t>
      </w:r>
      <w:r w:rsidR="000B796D" w:rsidRPr="00F53942">
        <w:rPr>
          <w:sz w:val="20"/>
          <w:szCs w:val="20"/>
        </w:rPr>
        <w:t>“</w:t>
      </w:r>
      <w:r w:rsidRPr="00F53942">
        <w:rPr>
          <w:sz w:val="20"/>
          <w:szCs w:val="20"/>
        </w:rPr>
        <w:t xml:space="preserve">any behaviour that an undertaking can adopt thanks to the circumstance that it keeps its </w:t>
      </w:r>
      <w:r w:rsidR="00D375ED" w:rsidRPr="00F53942">
        <w:rPr>
          <w:sz w:val="20"/>
          <w:szCs w:val="20"/>
        </w:rPr>
        <w:t>counterpart</w:t>
      </w:r>
      <w:r w:rsidRPr="00F53942">
        <w:rPr>
          <w:sz w:val="20"/>
          <w:szCs w:val="20"/>
        </w:rPr>
        <w:t xml:space="preserve"> in a position of economic dependence</w:t>
      </w:r>
      <w:r w:rsidR="000B796D" w:rsidRPr="00F53942">
        <w:rPr>
          <w:sz w:val="20"/>
          <w:szCs w:val="20"/>
        </w:rPr>
        <w:t>”</w:t>
      </w:r>
      <w:r w:rsidRPr="00F53942">
        <w:rPr>
          <w:sz w:val="20"/>
          <w:szCs w:val="20"/>
        </w:rPr>
        <w:t>.</w:t>
      </w:r>
      <w:r w:rsidRPr="00F53942">
        <w:rPr>
          <w:rStyle w:val="FootnoteReference"/>
          <w:sz w:val="20"/>
          <w:szCs w:val="20"/>
        </w:rPr>
        <w:footnoteReference w:id="31"/>
      </w:r>
      <w:r w:rsidRPr="00F53942">
        <w:rPr>
          <w:sz w:val="20"/>
          <w:szCs w:val="20"/>
        </w:rPr>
        <w:t xml:space="preserve"> In order to understand this description, it is necessary to clarify exactly what is meant by </w:t>
      </w:r>
      <w:r w:rsidR="000B796D" w:rsidRPr="00F53942">
        <w:rPr>
          <w:sz w:val="20"/>
          <w:szCs w:val="20"/>
        </w:rPr>
        <w:t>“</w:t>
      </w:r>
      <w:r w:rsidRPr="00F53942">
        <w:rPr>
          <w:sz w:val="20"/>
          <w:szCs w:val="20"/>
        </w:rPr>
        <w:t xml:space="preserve">... keeping its </w:t>
      </w:r>
      <w:r w:rsidR="00D375ED" w:rsidRPr="00F53942">
        <w:rPr>
          <w:sz w:val="20"/>
          <w:szCs w:val="20"/>
        </w:rPr>
        <w:t>counterpart</w:t>
      </w:r>
      <w:r w:rsidRPr="00F53942">
        <w:rPr>
          <w:sz w:val="20"/>
          <w:szCs w:val="20"/>
        </w:rPr>
        <w:t xml:space="preserve"> in a position of economic dependence</w:t>
      </w:r>
      <w:r w:rsidR="000B796D" w:rsidRPr="00F53942">
        <w:rPr>
          <w:sz w:val="20"/>
          <w:szCs w:val="20"/>
        </w:rPr>
        <w:t>”</w:t>
      </w:r>
      <w:r w:rsidRPr="00F53942">
        <w:rPr>
          <w:sz w:val="20"/>
          <w:szCs w:val="20"/>
        </w:rPr>
        <w:t>. To do this, one must refer back to the requirement of a position of economic dependency: a position of economic dependency exists if an undertaking that has no reasonable alternatives can be forced to provide services or accept conditions that cannot be obtained under normal market conditions. Abuse therefore only occurs when the dominating undertaking effectively imposes on the dependent undertaking performances or conditions that it would not be able to obtain under normal market conditions, and moreover only insofar as the third condition (potential harm to competition in the Belgian market or a part thereof) is also fulfilled.</w:t>
      </w:r>
      <w:r w:rsidRPr="00F53942">
        <w:rPr>
          <w:rStyle w:val="FootnoteReference"/>
          <w:sz w:val="20"/>
          <w:szCs w:val="20"/>
        </w:rPr>
        <w:footnoteReference w:id="32"/>
      </w:r>
    </w:p>
    <w:p w14:paraId="5C18E07D" w14:textId="3B245DE1" w:rsidR="00D375ED" w:rsidRPr="00F53942" w:rsidRDefault="00A96EA4" w:rsidP="001A1AD9">
      <w:pPr>
        <w:widowControl/>
        <w:shd w:val="clear" w:color="auto" w:fill="FFFFFF"/>
        <w:autoSpaceDE/>
        <w:autoSpaceDN/>
        <w:spacing w:after="140" w:line="290" w:lineRule="auto"/>
        <w:jc w:val="both"/>
        <w:rPr>
          <w:sz w:val="20"/>
          <w:szCs w:val="20"/>
        </w:rPr>
      </w:pPr>
      <w:r w:rsidRPr="00F53942">
        <w:rPr>
          <w:sz w:val="20"/>
          <w:szCs w:val="20"/>
        </w:rPr>
        <w:lastRenderedPageBreak/>
        <w:t>As mentioned above</w:t>
      </w:r>
      <w:r w:rsidR="005E450C" w:rsidRPr="00F53942">
        <w:rPr>
          <w:sz w:val="20"/>
          <w:szCs w:val="20"/>
        </w:rPr>
        <w:t xml:space="preserve"> (Sections </w:t>
      </w:r>
      <w:r w:rsidR="005E450C" w:rsidRPr="00F53942">
        <w:rPr>
          <w:sz w:val="20"/>
          <w:szCs w:val="20"/>
        </w:rPr>
        <w:fldChar w:fldCharType="begin"/>
      </w:r>
      <w:r w:rsidR="005E450C" w:rsidRPr="00F53942">
        <w:rPr>
          <w:sz w:val="20"/>
          <w:szCs w:val="20"/>
        </w:rPr>
        <w:instrText xml:space="preserve"> REF _Ref209164904 \r \h </w:instrText>
      </w:r>
      <w:r w:rsidR="00F53942">
        <w:rPr>
          <w:sz w:val="20"/>
          <w:szCs w:val="20"/>
        </w:rPr>
        <w:instrText xml:space="preserve"> \* MERGEFORMAT </w:instrText>
      </w:r>
      <w:r w:rsidR="005E450C" w:rsidRPr="00F53942">
        <w:rPr>
          <w:sz w:val="20"/>
          <w:szCs w:val="20"/>
        </w:rPr>
      </w:r>
      <w:r w:rsidR="005E450C" w:rsidRPr="00F53942">
        <w:rPr>
          <w:sz w:val="20"/>
          <w:szCs w:val="20"/>
        </w:rPr>
        <w:fldChar w:fldCharType="separate"/>
      </w:r>
      <w:r w:rsidR="00F10409">
        <w:rPr>
          <w:sz w:val="20"/>
          <w:szCs w:val="20"/>
        </w:rPr>
        <w:t>3.2.2</w:t>
      </w:r>
      <w:r w:rsidR="005E450C" w:rsidRPr="00F53942">
        <w:rPr>
          <w:sz w:val="20"/>
          <w:szCs w:val="20"/>
        </w:rPr>
        <w:fldChar w:fldCharType="end"/>
      </w:r>
      <w:r w:rsidR="005E450C" w:rsidRPr="00F53942">
        <w:rPr>
          <w:sz w:val="20"/>
          <w:szCs w:val="20"/>
        </w:rPr>
        <w:t xml:space="preserve"> and </w:t>
      </w:r>
      <w:r w:rsidR="005E450C" w:rsidRPr="00F53942">
        <w:rPr>
          <w:sz w:val="20"/>
          <w:szCs w:val="20"/>
        </w:rPr>
        <w:fldChar w:fldCharType="begin"/>
      </w:r>
      <w:r w:rsidR="005E450C" w:rsidRPr="00F53942">
        <w:rPr>
          <w:sz w:val="20"/>
          <w:szCs w:val="20"/>
        </w:rPr>
        <w:instrText xml:space="preserve"> REF _Ref209164905 \r \h </w:instrText>
      </w:r>
      <w:r w:rsidR="00F53942">
        <w:rPr>
          <w:sz w:val="20"/>
          <w:szCs w:val="20"/>
        </w:rPr>
        <w:instrText xml:space="preserve"> \* MERGEFORMAT </w:instrText>
      </w:r>
      <w:r w:rsidR="005E450C" w:rsidRPr="00F53942">
        <w:rPr>
          <w:sz w:val="20"/>
          <w:szCs w:val="20"/>
        </w:rPr>
      </w:r>
      <w:r w:rsidR="005E450C" w:rsidRPr="00F53942">
        <w:rPr>
          <w:sz w:val="20"/>
          <w:szCs w:val="20"/>
        </w:rPr>
        <w:fldChar w:fldCharType="separate"/>
      </w:r>
      <w:r w:rsidR="00F10409">
        <w:rPr>
          <w:sz w:val="20"/>
          <w:szCs w:val="20"/>
        </w:rPr>
        <w:t>3.3.1</w:t>
      </w:r>
      <w:r w:rsidR="005E450C" w:rsidRPr="00F53942">
        <w:rPr>
          <w:sz w:val="20"/>
          <w:szCs w:val="20"/>
        </w:rPr>
        <w:fldChar w:fldCharType="end"/>
      </w:r>
      <w:r w:rsidR="005E450C" w:rsidRPr="00F53942">
        <w:rPr>
          <w:sz w:val="20"/>
          <w:szCs w:val="20"/>
        </w:rPr>
        <w:t>)</w:t>
      </w:r>
      <w:r w:rsidRPr="00F53942">
        <w:rPr>
          <w:sz w:val="20"/>
          <w:szCs w:val="20"/>
        </w:rPr>
        <w:t>, the causality between the lack of alternatives and the behaviour of the dominant undertaking</w:t>
      </w:r>
      <w:r w:rsidR="000E5351" w:rsidRPr="00F53942">
        <w:rPr>
          <w:sz w:val="20"/>
          <w:szCs w:val="20"/>
        </w:rPr>
        <w:t xml:space="preserve"> </w:t>
      </w:r>
      <w:r w:rsidRPr="00F53942">
        <w:rPr>
          <w:sz w:val="20"/>
          <w:szCs w:val="20"/>
        </w:rPr>
        <w:t xml:space="preserve">is </w:t>
      </w:r>
      <w:r w:rsidR="000E5351" w:rsidRPr="00F53942">
        <w:rPr>
          <w:sz w:val="20"/>
          <w:szCs w:val="20"/>
        </w:rPr>
        <w:t xml:space="preserve">both </w:t>
      </w:r>
      <w:r w:rsidRPr="00F53942">
        <w:rPr>
          <w:sz w:val="20"/>
          <w:szCs w:val="20"/>
        </w:rPr>
        <w:t>intertwined with the dependency requirement</w:t>
      </w:r>
      <w:r w:rsidR="000E5351" w:rsidRPr="00F53942">
        <w:rPr>
          <w:sz w:val="20"/>
          <w:szCs w:val="20"/>
        </w:rPr>
        <w:t xml:space="preserve"> and </w:t>
      </w:r>
      <w:r w:rsidRPr="00F53942">
        <w:rPr>
          <w:sz w:val="20"/>
          <w:szCs w:val="20"/>
        </w:rPr>
        <w:t xml:space="preserve">is implicit in the abuse requirement. Perhaps it would have been more straightforward if the legislator had simply defined “economic dependence” as “the position of subordination of an undertaking in relation to one or more other undertakings, characterised by the absence of a reasonably equivalent alternative available within a reasonable time and under reasonable conditions and costs” and </w:t>
      </w:r>
      <w:r w:rsidR="00993465" w:rsidRPr="00F53942">
        <w:rPr>
          <w:sz w:val="20"/>
          <w:szCs w:val="20"/>
        </w:rPr>
        <w:t>“</w:t>
      </w:r>
      <w:r w:rsidR="000E5351" w:rsidRPr="00F53942">
        <w:rPr>
          <w:sz w:val="20"/>
          <w:szCs w:val="20"/>
        </w:rPr>
        <w:t>a</w:t>
      </w:r>
      <w:r w:rsidRPr="00F53942">
        <w:rPr>
          <w:sz w:val="20"/>
          <w:szCs w:val="20"/>
        </w:rPr>
        <w:t xml:space="preserve">buse” as “any conduct that an undertaking may engage </w:t>
      </w:r>
      <w:r w:rsidR="00D67681">
        <w:rPr>
          <w:sz w:val="20"/>
          <w:szCs w:val="20"/>
        </w:rPr>
        <w:t>due</w:t>
      </w:r>
      <w:r w:rsidRPr="00F53942">
        <w:rPr>
          <w:sz w:val="20"/>
          <w:szCs w:val="20"/>
        </w:rPr>
        <w:t xml:space="preserve"> to the fact that its partner does not have a reasonable equivalent alternative and which it would not have been able to engage in under normal market conditions”</w:t>
      </w:r>
      <w:r w:rsidR="000809C6" w:rsidRPr="00F53942">
        <w:rPr>
          <w:sz w:val="20"/>
          <w:szCs w:val="20"/>
        </w:rPr>
        <w:t>.</w:t>
      </w:r>
    </w:p>
    <w:p w14:paraId="44570E93" w14:textId="301092D3" w:rsidR="00552A84" w:rsidRPr="00F53942" w:rsidRDefault="00552A84" w:rsidP="00552A84">
      <w:pPr>
        <w:pStyle w:val="Heading1"/>
        <w:numPr>
          <w:ilvl w:val="2"/>
          <w:numId w:val="1"/>
        </w:numPr>
        <w:tabs>
          <w:tab w:val="left" w:pos="363"/>
        </w:tabs>
        <w:spacing w:after="140" w:line="290" w:lineRule="auto"/>
        <w:ind w:right="6"/>
        <w:jc w:val="both"/>
        <w:rPr>
          <w:sz w:val="20"/>
          <w:szCs w:val="20"/>
        </w:rPr>
      </w:pPr>
      <w:bookmarkStart w:id="17" w:name="_Toc209451789"/>
      <w:r w:rsidRPr="00F53942">
        <w:rPr>
          <w:sz w:val="20"/>
          <w:szCs w:val="20"/>
        </w:rPr>
        <w:t>Non-Exhaustive List of Situations</w:t>
      </w:r>
      <w:bookmarkEnd w:id="17"/>
    </w:p>
    <w:p w14:paraId="5158A6C5" w14:textId="2106836F" w:rsidR="001A1AD9" w:rsidRPr="00F53942" w:rsidRDefault="001A1AD9" w:rsidP="001A1AD9">
      <w:pPr>
        <w:widowControl/>
        <w:shd w:val="clear" w:color="auto" w:fill="FFFFFF"/>
        <w:autoSpaceDE/>
        <w:autoSpaceDN/>
        <w:spacing w:after="140" w:line="290" w:lineRule="auto"/>
        <w:jc w:val="both"/>
        <w:rPr>
          <w:sz w:val="20"/>
          <w:szCs w:val="20"/>
        </w:rPr>
      </w:pPr>
      <w:r w:rsidRPr="00F53942">
        <w:rPr>
          <w:sz w:val="20"/>
          <w:szCs w:val="20"/>
        </w:rPr>
        <w:t>Article IV.2/1 BCEL itself provide</w:t>
      </w:r>
      <w:r w:rsidR="000809C6" w:rsidRPr="00F53942">
        <w:rPr>
          <w:sz w:val="20"/>
          <w:szCs w:val="20"/>
        </w:rPr>
        <w:t>s</w:t>
      </w:r>
      <w:r w:rsidRPr="00F53942">
        <w:rPr>
          <w:sz w:val="20"/>
          <w:szCs w:val="20"/>
        </w:rPr>
        <w:t xml:space="preserve"> a non-exhaustive list of situations in which there may be abuse of the position of economic dependence:</w:t>
      </w:r>
    </w:p>
    <w:p w14:paraId="5102BEB7" w14:textId="2083A9B6" w:rsidR="001A1AD9" w:rsidRPr="00F53942" w:rsidRDefault="000B796D" w:rsidP="001A1AD9">
      <w:pPr>
        <w:widowControl/>
        <w:shd w:val="clear" w:color="auto" w:fill="FFFFFF"/>
        <w:autoSpaceDE/>
        <w:autoSpaceDN/>
        <w:spacing w:line="290" w:lineRule="auto"/>
        <w:ind w:firstLine="360"/>
        <w:jc w:val="both"/>
        <w:rPr>
          <w:color w:val="000000"/>
          <w:sz w:val="20"/>
          <w:szCs w:val="20"/>
        </w:rPr>
      </w:pPr>
      <w:r w:rsidRPr="00F53942">
        <w:rPr>
          <w:color w:val="000000"/>
          <w:sz w:val="20"/>
          <w:szCs w:val="20"/>
        </w:rPr>
        <w:t>“</w:t>
      </w:r>
      <w:r w:rsidR="001A1AD9" w:rsidRPr="00F53942">
        <w:rPr>
          <w:color w:val="000000"/>
          <w:sz w:val="20"/>
          <w:szCs w:val="20"/>
        </w:rPr>
        <w:t xml:space="preserve">1° the refusal </w:t>
      </w:r>
      <w:r w:rsidR="00702803" w:rsidRPr="00F53942">
        <w:rPr>
          <w:color w:val="000000"/>
          <w:sz w:val="20"/>
          <w:szCs w:val="20"/>
        </w:rPr>
        <w:t>of a sale</w:t>
      </w:r>
      <w:r w:rsidR="001A1AD9" w:rsidRPr="00F53942">
        <w:rPr>
          <w:color w:val="000000"/>
          <w:sz w:val="20"/>
          <w:szCs w:val="20"/>
        </w:rPr>
        <w:t>, purchase or other transaction conditions;</w:t>
      </w:r>
    </w:p>
    <w:p w14:paraId="715B4293" w14:textId="77777777" w:rsidR="001A1AD9" w:rsidRPr="00F53942" w:rsidRDefault="001A1AD9" w:rsidP="001A1AD9">
      <w:pPr>
        <w:widowControl/>
        <w:shd w:val="clear" w:color="auto" w:fill="FFFFFF"/>
        <w:autoSpaceDE/>
        <w:autoSpaceDN/>
        <w:spacing w:line="290" w:lineRule="auto"/>
        <w:ind w:firstLine="360"/>
        <w:jc w:val="both"/>
        <w:rPr>
          <w:color w:val="000000"/>
          <w:sz w:val="20"/>
          <w:szCs w:val="20"/>
        </w:rPr>
      </w:pPr>
      <w:r w:rsidRPr="00F53942">
        <w:rPr>
          <w:color w:val="000000"/>
          <w:sz w:val="20"/>
          <w:szCs w:val="20"/>
        </w:rPr>
        <w:t>2° the direct or indirect imposition of purchase or selling prices or other unfair contractual conditions;</w:t>
      </w:r>
    </w:p>
    <w:p w14:paraId="55160846" w14:textId="77777777" w:rsidR="001A1AD9" w:rsidRPr="00F53942" w:rsidRDefault="001A1AD9" w:rsidP="001A1AD9">
      <w:pPr>
        <w:widowControl/>
        <w:shd w:val="clear" w:color="auto" w:fill="FFFFFF"/>
        <w:autoSpaceDE/>
        <w:autoSpaceDN/>
        <w:spacing w:line="290" w:lineRule="auto"/>
        <w:ind w:firstLine="360"/>
        <w:jc w:val="both"/>
        <w:rPr>
          <w:color w:val="000000"/>
          <w:sz w:val="20"/>
          <w:szCs w:val="20"/>
        </w:rPr>
      </w:pPr>
      <w:r w:rsidRPr="00F53942">
        <w:rPr>
          <w:color w:val="000000"/>
          <w:sz w:val="20"/>
          <w:szCs w:val="20"/>
        </w:rPr>
        <w:t>3° the limiting of production, sales or technical development to the detriment of consumers;</w:t>
      </w:r>
    </w:p>
    <w:p w14:paraId="49483D78" w14:textId="4B6C5FF1" w:rsidR="001A1AD9" w:rsidRPr="00F53942" w:rsidRDefault="001A1AD9" w:rsidP="001A1AD9">
      <w:pPr>
        <w:widowControl/>
        <w:shd w:val="clear" w:color="auto" w:fill="FFFFFF"/>
        <w:autoSpaceDE/>
        <w:autoSpaceDN/>
        <w:spacing w:line="290" w:lineRule="auto"/>
        <w:ind w:left="360"/>
        <w:jc w:val="both"/>
        <w:rPr>
          <w:color w:val="000000"/>
          <w:sz w:val="20"/>
          <w:szCs w:val="20"/>
        </w:rPr>
      </w:pPr>
      <w:r w:rsidRPr="00F53942">
        <w:rPr>
          <w:color w:val="000000"/>
          <w:sz w:val="20"/>
          <w:szCs w:val="20"/>
        </w:rPr>
        <w:t>4° applying dissimilar conditions to economic partners for equivalent transactions, thereby placing them at a competitive disadvantage;</w:t>
      </w:r>
    </w:p>
    <w:p w14:paraId="363D9310" w14:textId="2BE50296" w:rsidR="001A1AD9" w:rsidRPr="00F53942" w:rsidRDefault="001A1AD9" w:rsidP="000809C6">
      <w:pPr>
        <w:widowControl/>
        <w:shd w:val="clear" w:color="auto" w:fill="FFFFFF"/>
        <w:autoSpaceDE/>
        <w:autoSpaceDN/>
        <w:spacing w:after="140" w:line="290" w:lineRule="auto"/>
        <w:ind w:left="357"/>
        <w:jc w:val="both"/>
        <w:rPr>
          <w:color w:val="000000"/>
          <w:sz w:val="20"/>
          <w:szCs w:val="20"/>
        </w:rPr>
      </w:pPr>
      <w:r w:rsidRPr="00F53942">
        <w:rPr>
          <w:color w:val="000000"/>
          <w:sz w:val="20"/>
          <w:szCs w:val="20"/>
        </w:rPr>
        <w:t>5° the fact that the conclusion of agreements is made dependent on the acceptance by the economic partners of additional services, which, according to their nature or according to commercial practice, are not related to the subject of these agreements.</w:t>
      </w:r>
      <w:r w:rsidR="000B796D" w:rsidRPr="00F53942">
        <w:rPr>
          <w:color w:val="000000"/>
          <w:sz w:val="20"/>
          <w:szCs w:val="20"/>
        </w:rPr>
        <w:t>”</w:t>
      </w:r>
    </w:p>
    <w:p w14:paraId="3A01EEDA" w14:textId="70B2A85F" w:rsidR="00330ADD" w:rsidRPr="00F53942" w:rsidRDefault="001A1AD9" w:rsidP="00330ADD">
      <w:pPr>
        <w:widowControl/>
        <w:shd w:val="clear" w:color="auto" w:fill="FFFFFF"/>
        <w:autoSpaceDE/>
        <w:autoSpaceDN/>
        <w:spacing w:after="140" w:line="290" w:lineRule="auto"/>
        <w:jc w:val="both"/>
        <w:rPr>
          <w:sz w:val="20"/>
          <w:szCs w:val="20"/>
        </w:rPr>
      </w:pPr>
      <w:r w:rsidRPr="00F53942">
        <w:rPr>
          <w:sz w:val="20"/>
          <w:szCs w:val="20"/>
        </w:rPr>
        <w:t>These situations may constitute abuse</w:t>
      </w:r>
      <w:r w:rsidR="00600591">
        <w:rPr>
          <w:sz w:val="20"/>
          <w:szCs w:val="20"/>
        </w:rPr>
        <w:t xml:space="preserve">. However, this is not inevitably so, </w:t>
      </w:r>
      <w:r w:rsidR="00A031DC">
        <w:rPr>
          <w:sz w:val="20"/>
          <w:szCs w:val="20"/>
        </w:rPr>
        <w:t>for example whe</w:t>
      </w:r>
      <w:r w:rsidR="00600591">
        <w:rPr>
          <w:sz w:val="20"/>
          <w:szCs w:val="20"/>
        </w:rPr>
        <w:t>re</w:t>
      </w:r>
      <w:r w:rsidR="00A031DC">
        <w:rPr>
          <w:sz w:val="20"/>
          <w:szCs w:val="20"/>
        </w:rPr>
        <w:t xml:space="preserve"> there is an objective justification for the behaviour (Section </w:t>
      </w:r>
      <w:r w:rsidR="00A031DC">
        <w:rPr>
          <w:sz w:val="20"/>
          <w:szCs w:val="20"/>
        </w:rPr>
        <w:fldChar w:fldCharType="begin"/>
      </w:r>
      <w:r w:rsidR="00A031DC">
        <w:rPr>
          <w:sz w:val="20"/>
          <w:szCs w:val="20"/>
        </w:rPr>
        <w:instrText xml:space="preserve"> REF _Ref209455900 \r \h </w:instrText>
      </w:r>
      <w:r w:rsidR="00A031DC">
        <w:rPr>
          <w:sz w:val="20"/>
          <w:szCs w:val="20"/>
        </w:rPr>
      </w:r>
      <w:r w:rsidR="00A031DC">
        <w:rPr>
          <w:sz w:val="20"/>
          <w:szCs w:val="20"/>
        </w:rPr>
        <w:fldChar w:fldCharType="separate"/>
      </w:r>
      <w:r w:rsidR="00A031DC">
        <w:rPr>
          <w:sz w:val="20"/>
          <w:szCs w:val="20"/>
        </w:rPr>
        <w:t>3.3.3</w:t>
      </w:r>
      <w:r w:rsidR="00A031DC">
        <w:rPr>
          <w:sz w:val="20"/>
          <w:szCs w:val="20"/>
        </w:rPr>
        <w:fldChar w:fldCharType="end"/>
      </w:r>
      <w:r w:rsidR="00A031DC">
        <w:rPr>
          <w:sz w:val="20"/>
          <w:szCs w:val="20"/>
        </w:rPr>
        <w:t>)</w:t>
      </w:r>
      <w:r w:rsidRPr="00F53942">
        <w:rPr>
          <w:sz w:val="20"/>
          <w:szCs w:val="20"/>
        </w:rPr>
        <w:t>.</w:t>
      </w:r>
      <w:r w:rsidRPr="00F53942">
        <w:rPr>
          <w:rStyle w:val="FootnoteReference"/>
          <w:sz w:val="20"/>
          <w:szCs w:val="20"/>
        </w:rPr>
        <w:footnoteReference w:id="33"/>
      </w:r>
      <w:r w:rsidRPr="00F53942">
        <w:rPr>
          <w:sz w:val="20"/>
          <w:szCs w:val="20"/>
        </w:rPr>
        <w:t xml:space="preserve"> </w:t>
      </w:r>
    </w:p>
    <w:p w14:paraId="2BD536EF" w14:textId="6DF50B93" w:rsidR="00126FAB" w:rsidRPr="00126FAB" w:rsidRDefault="00126FAB" w:rsidP="00126FAB">
      <w:pPr>
        <w:widowControl/>
        <w:shd w:val="clear" w:color="auto" w:fill="FFFFFF"/>
        <w:autoSpaceDE/>
        <w:autoSpaceDN/>
        <w:spacing w:after="140" w:line="290" w:lineRule="auto"/>
        <w:jc w:val="both"/>
        <w:rPr>
          <w:sz w:val="20"/>
          <w:szCs w:val="20"/>
          <w:lang w:val="en-US"/>
        </w:rPr>
      </w:pPr>
      <w:r w:rsidRPr="00F53942">
        <w:rPr>
          <w:sz w:val="20"/>
          <w:szCs w:val="20"/>
        </w:rPr>
        <w:t>It is important to note that t</w:t>
      </w:r>
      <w:proofErr w:type="spellStart"/>
      <w:r w:rsidRPr="00126FAB">
        <w:rPr>
          <w:sz w:val="20"/>
          <w:szCs w:val="20"/>
          <w:lang w:val="en-US"/>
        </w:rPr>
        <w:t>hese</w:t>
      </w:r>
      <w:proofErr w:type="spellEnd"/>
      <w:r w:rsidRPr="00126FAB">
        <w:rPr>
          <w:sz w:val="20"/>
          <w:szCs w:val="20"/>
          <w:lang w:val="en-US"/>
        </w:rPr>
        <w:t xml:space="preserve"> situations stem from the abuse framework established under </w:t>
      </w:r>
      <w:r w:rsidR="00215262">
        <w:rPr>
          <w:sz w:val="20"/>
          <w:szCs w:val="20"/>
          <w:lang w:val="en-US"/>
        </w:rPr>
        <w:t>A</w:t>
      </w:r>
      <w:r w:rsidRPr="00126FAB">
        <w:rPr>
          <w:sz w:val="20"/>
          <w:szCs w:val="20"/>
          <w:lang w:val="en-US"/>
        </w:rPr>
        <w:t>rticle IV.2 BCEL, which governs absolute dominance violations. Article IV.2/1 introduces a</w:t>
      </w:r>
      <w:r w:rsidR="00FF0CAF" w:rsidRPr="00F53942">
        <w:rPr>
          <w:sz w:val="20"/>
          <w:szCs w:val="20"/>
          <w:lang w:val="en-US"/>
        </w:rPr>
        <w:t>n</w:t>
      </w:r>
      <w:r w:rsidRPr="00126FAB">
        <w:rPr>
          <w:sz w:val="20"/>
          <w:szCs w:val="20"/>
          <w:lang w:val="en-US"/>
        </w:rPr>
        <w:t xml:space="preserve"> innovation by explicitly including refusal to contract as a </w:t>
      </w:r>
      <w:proofErr w:type="spellStart"/>
      <w:r w:rsidRPr="00126FAB">
        <w:rPr>
          <w:sz w:val="20"/>
          <w:szCs w:val="20"/>
          <w:lang w:val="en-US"/>
        </w:rPr>
        <w:t>recognised</w:t>
      </w:r>
      <w:proofErr w:type="spellEnd"/>
      <w:r w:rsidRPr="00126FAB">
        <w:rPr>
          <w:sz w:val="20"/>
          <w:szCs w:val="20"/>
          <w:lang w:val="en-US"/>
        </w:rPr>
        <w:t xml:space="preserve"> form of abuse. </w:t>
      </w:r>
      <w:r w:rsidR="00FF0CAF" w:rsidRPr="00F53942">
        <w:rPr>
          <w:sz w:val="20"/>
          <w:szCs w:val="20"/>
          <w:lang w:val="en-US"/>
        </w:rPr>
        <w:t>Whilst case law had already demonstrated that refusal to contract could constitute abuse of dominance,</w:t>
      </w:r>
      <w:r w:rsidR="00FF0CAF" w:rsidRPr="00F53942">
        <w:rPr>
          <w:rStyle w:val="FootnoteReference"/>
          <w:sz w:val="20"/>
          <w:szCs w:val="20"/>
          <w:lang w:val="en-US"/>
        </w:rPr>
        <w:footnoteReference w:id="34"/>
      </w:r>
      <w:r w:rsidR="00FF0CAF" w:rsidRPr="00F53942">
        <w:rPr>
          <w:sz w:val="20"/>
          <w:szCs w:val="20"/>
          <w:lang w:val="en-US"/>
        </w:rPr>
        <w:t xml:space="preserve"> this express codification clarifies its application specifically in the economic dependence context, thereby providing greater legal certainty for conduct that may be </w:t>
      </w:r>
      <w:proofErr w:type="spellStart"/>
      <w:r w:rsidR="00FF0CAF" w:rsidRPr="00F53942">
        <w:rPr>
          <w:sz w:val="20"/>
          <w:szCs w:val="20"/>
          <w:lang w:val="en-US"/>
        </w:rPr>
        <w:t>scrutinised</w:t>
      </w:r>
      <w:proofErr w:type="spellEnd"/>
      <w:r w:rsidR="00FF0CAF" w:rsidRPr="00F53942">
        <w:rPr>
          <w:sz w:val="20"/>
          <w:szCs w:val="20"/>
          <w:lang w:val="en-US"/>
        </w:rPr>
        <w:t xml:space="preserve"> under Belgian competition law</w:t>
      </w:r>
      <w:r w:rsidRPr="00126FAB">
        <w:rPr>
          <w:sz w:val="20"/>
          <w:szCs w:val="20"/>
          <w:lang w:val="en-US"/>
        </w:rPr>
        <w:t>.</w:t>
      </w:r>
    </w:p>
    <w:p w14:paraId="6F45B1D9" w14:textId="0E6D398E" w:rsidR="00A37FC8" w:rsidRPr="00F53942" w:rsidRDefault="00735CDB" w:rsidP="00702803">
      <w:pPr>
        <w:pStyle w:val="Heading1"/>
        <w:numPr>
          <w:ilvl w:val="2"/>
          <w:numId w:val="1"/>
        </w:numPr>
        <w:tabs>
          <w:tab w:val="left" w:pos="363"/>
        </w:tabs>
        <w:spacing w:after="140" w:line="290" w:lineRule="auto"/>
        <w:ind w:right="6"/>
        <w:jc w:val="both"/>
        <w:rPr>
          <w:sz w:val="20"/>
          <w:szCs w:val="20"/>
        </w:rPr>
      </w:pPr>
      <w:bookmarkStart w:id="18" w:name="_Toc209451790"/>
      <w:bookmarkStart w:id="19" w:name="_Ref209455900"/>
      <w:r w:rsidRPr="00F53942">
        <w:rPr>
          <w:sz w:val="20"/>
          <w:szCs w:val="20"/>
        </w:rPr>
        <w:t>Particularity of Refusal to Contract</w:t>
      </w:r>
      <w:bookmarkEnd w:id="18"/>
      <w:bookmarkEnd w:id="19"/>
      <w:r w:rsidRPr="00F53942">
        <w:rPr>
          <w:sz w:val="20"/>
          <w:szCs w:val="20"/>
        </w:rPr>
        <w:t xml:space="preserve"> </w:t>
      </w:r>
    </w:p>
    <w:p w14:paraId="37F58FCD" w14:textId="5F98746E" w:rsidR="000809C6" w:rsidRPr="00F53942" w:rsidRDefault="00735CDB" w:rsidP="000809C6">
      <w:pPr>
        <w:widowControl/>
        <w:shd w:val="clear" w:color="auto" w:fill="FFFFFF"/>
        <w:autoSpaceDE/>
        <w:autoSpaceDN/>
        <w:spacing w:after="140" w:line="290" w:lineRule="auto"/>
        <w:jc w:val="both"/>
        <w:rPr>
          <w:sz w:val="20"/>
          <w:szCs w:val="20"/>
          <w:lang w:val="en-US"/>
        </w:rPr>
      </w:pPr>
      <w:r w:rsidRPr="00F53942">
        <w:rPr>
          <w:sz w:val="20"/>
          <w:szCs w:val="20"/>
        </w:rPr>
        <w:t>While companies generally enjoy freedom of contract – including the right to choose their trading partners or refuse to enter into contracts – this freedom is not absolute.</w:t>
      </w:r>
      <w:r w:rsidR="00702803" w:rsidRPr="00F53942">
        <w:rPr>
          <w:rStyle w:val="FootnoteReference"/>
          <w:sz w:val="20"/>
          <w:szCs w:val="20"/>
        </w:rPr>
        <w:footnoteReference w:id="35"/>
      </w:r>
      <w:r w:rsidRPr="00F53942">
        <w:rPr>
          <w:sz w:val="20"/>
          <w:szCs w:val="20"/>
        </w:rPr>
        <w:t xml:space="preserve"> Refusals to contract, typically manifesting as a refusal to sell or supply, are not inherently unlawful, but </w:t>
      </w:r>
      <w:r w:rsidR="000809C6" w:rsidRPr="00F53942">
        <w:rPr>
          <w:sz w:val="20"/>
          <w:szCs w:val="20"/>
        </w:rPr>
        <w:t xml:space="preserve">can </w:t>
      </w:r>
      <w:r w:rsidRPr="00F53942">
        <w:rPr>
          <w:sz w:val="20"/>
          <w:szCs w:val="20"/>
        </w:rPr>
        <w:t>become problematic if exercised abusively.</w:t>
      </w:r>
      <w:r w:rsidR="00702803" w:rsidRPr="00F53942">
        <w:rPr>
          <w:rStyle w:val="FootnoteReference"/>
          <w:sz w:val="20"/>
          <w:szCs w:val="20"/>
        </w:rPr>
        <w:footnoteReference w:id="36"/>
      </w:r>
      <w:r w:rsidRPr="00F53942">
        <w:rPr>
          <w:sz w:val="20"/>
          <w:szCs w:val="20"/>
        </w:rPr>
        <w:t xml:space="preserve"> Traditionally, challenges to such refusals were brought under the prohibitions on abuse of dominance or abuse of rights, but these avenues have not always provided effective remedies.</w:t>
      </w:r>
      <w:r w:rsidR="00702803" w:rsidRPr="00F53942">
        <w:rPr>
          <w:rStyle w:val="FootnoteReference"/>
          <w:sz w:val="20"/>
          <w:szCs w:val="20"/>
        </w:rPr>
        <w:footnoteReference w:id="37"/>
      </w:r>
      <w:r w:rsidR="000809C6" w:rsidRPr="00F53942">
        <w:rPr>
          <w:sz w:val="20"/>
          <w:szCs w:val="20"/>
        </w:rPr>
        <w:t xml:space="preserve"> </w:t>
      </w:r>
      <w:r w:rsidR="000809C6" w:rsidRPr="00F53942">
        <w:rPr>
          <w:sz w:val="20"/>
          <w:szCs w:val="20"/>
          <w:lang w:val="en-US"/>
        </w:rPr>
        <w:t xml:space="preserve">The introduction of Article IV.2/1 BCEL establishes, for the first time, an explicit legal basis on which refusal to enter into a contract can be sanctioned. </w:t>
      </w:r>
      <w:r w:rsidR="000809C6" w:rsidRPr="00F53942">
        <w:rPr>
          <w:sz w:val="20"/>
          <w:szCs w:val="20"/>
        </w:rPr>
        <w:t>This offers companies an additional argument for challenging a refusal to enter into a contract.</w:t>
      </w:r>
    </w:p>
    <w:p w14:paraId="550EB02A" w14:textId="1A366A56" w:rsidR="00735CDB" w:rsidRPr="00F53942" w:rsidRDefault="00735CDB" w:rsidP="00735CDB">
      <w:pPr>
        <w:widowControl/>
        <w:shd w:val="clear" w:color="auto" w:fill="FFFFFF"/>
        <w:autoSpaceDE/>
        <w:autoSpaceDN/>
        <w:spacing w:after="140" w:line="290" w:lineRule="auto"/>
        <w:jc w:val="both"/>
        <w:rPr>
          <w:sz w:val="20"/>
          <w:szCs w:val="20"/>
        </w:rPr>
      </w:pPr>
      <w:r w:rsidRPr="00F53942">
        <w:rPr>
          <w:sz w:val="20"/>
          <w:szCs w:val="20"/>
        </w:rPr>
        <w:t xml:space="preserve">Recent case law under </w:t>
      </w:r>
      <w:r w:rsidR="00215262">
        <w:rPr>
          <w:sz w:val="20"/>
          <w:szCs w:val="20"/>
        </w:rPr>
        <w:t>Article IV.2/1 BCEL</w:t>
      </w:r>
      <w:r w:rsidRPr="00F53942">
        <w:rPr>
          <w:sz w:val="20"/>
          <w:szCs w:val="20"/>
        </w:rPr>
        <w:t xml:space="preserve"> tends to focus on whether refusals to contract amount to abuse, with courts generally examining the motivations and circumstances behind the refusal. Objective justifications and </w:t>
      </w:r>
      <w:r w:rsidRPr="00F53942">
        <w:rPr>
          <w:sz w:val="20"/>
          <w:szCs w:val="20"/>
        </w:rPr>
        <w:lastRenderedPageBreak/>
        <w:t>legitimate motives frequently preclude a finding of abuse, while sudden or arbitrary refusals without valid cause are more likely to be sanctioned.</w:t>
      </w:r>
      <w:r w:rsidR="00702803" w:rsidRPr="00F53942">
        <w:rPr>
          <w:rStyle w:val="FootnoteReference"/>
          <w:sz w:val="20"/>
          <w:szCs w:val="20"/>
        </w:rPr>
        <w:footnoteReference w:id="38"/>
      </w:r>
    </w:p>
    <w:p w14:paraId="3E74E1BF" w14:textId="11ECFF16" w:rsidR="00702803" w:rsidRPr="00F53942" w:rsidRDefault="00702803" w:rsidP="00702803">
      <w:pPr>
        <w:pStyle w:val="Heading1"/>
        <w:numPr>
          <w:ilvl w:val="2"/>
          <w:numId w:val="1"/>
        </w:numPr>
        <w:tabs>
          <w:tab w:val="left" w:pos="363"/>
        </w:tabs>
        <w:spacing w:after="140" w:line="290" w:lineRule="auto"/>
        <w:ind w:right="6"/>
        <w:jc w:val="both"/>
        <w:rPr>
          <w:sz w:val="20"/>
          <w:szCs w:val="20"/>
        </w:rPr>
      </w:pPr>
      <w:bookmarkStart w:id="20" w:name="_Ref209164991"/>
      <w:bookmarkStart w:id="21" w:name="_Toc209451791"/>
      <w:r w:rsidRPr="00F53942">
        <w:rPr>
          <w:sz w:val="20"/>
          <w:szCs w:val="20"/>
        </w:rPr>
        <w:t xml:space="preserve">A Relative Position of Dominance </w:t>
      </w:r>
      <w:r w:rsidR="00D15773" w:rsidRPr="00F53942">
        <w:rPr>
          <w:sz w:val="20"/>
          <w:szCs w:val="20"/>
        </w:rPr>
        <w:t>Suffices</w:t>
      </w:r>
      <w:bookmarkEnd w:id="20"/>
      <w:bookmarkEnd w:id="21"/>
    </w:p>
    <w:p w14:paraId="2D113448" w14:textId="20976865" w:rsidR="0027677E" w:rsidRPr="00F53942" w:rsidRDefault="00D15773" w:rsidP="00FE3829">
      <w:pPr>
        <w:widowControl/>
        <w:shd w:val="clear" w:color="auto" w:fill="FFFFFF"/>
        <w:autoSpaceDE/>
        <w:autoSpaceDN/>
        <w:spacing w:after="140" w:line="290" w:lineRule="auto"/>
        <w:jc w:val="both"/>
        <w:rPr>
          <w:sz w:val="20"/>
          <w:szCs w:val="20"/>
        </w:rPr>
      </w:pPr>
      <w:r w:rsidRPr="00F53942">
        <w:rPr>
          <w:sz w:val="20"/>
          <w:szCs w:val="20"/>
        </w:rPr>
        <w:t>For the purpose of Article IV.2/1 BCEL, the undertaking committing the abuse does not need to occupy an absolute or objectively dominant position on the market.</w:t>
      </w:r>
      <w:r w:rsidR="00E0609E" w:rsidRPr="00F53942">
        <w:rPr>
          <w:rStyle w:val="FootnoteReference"/>
          <w:sz w:val="20"/>
          <w:szCs w:val="20"/>
        </w:rPr>
        <w:footnoteReference w:id="39"/>
      </w:r>
      <w:r w:rsidRPr="00F53942">
        <w:rPr>
          <w:sz w:val="20"/>
          <w:szCs w:val="20"/>
        </w:rPr>
        <w:t xml:space="preserve"> What matters is relative market power – where one undertaking’s specific relationship gives it leverage over its economic partner, rendering the latter vulnerable. The focus is on dominance within the relationship, not dominance across the market as a whole.</w:t>
      </w:r>
      <w:r w:rsidR="0027677E" w:rsidRPr="00F53942">
        <w:rPr>
          <w:sz w:val="20"/>
          <w:szCs w:val="20"/>
        </w:rPr>
        <w:t xml:space="preserve"> </w:t>
      </w:r>
      <w:r w:rsidRPr="00F53942">
        <w:rPr>
          <w:sz w:val="20"/>
          <w:szCs w:val="20"/>
        </w:rPr>
        <w:t xml:space="preserve">This relative standard lowers the burden of proof. </w:t>
      </w:r>
    </w:p>
    <w:p w14:paraId="77F50806" w14:textId="7A853EF7" w:rsidR="0027677E" w:rsidRPr="00F53942" w:rsidRDefault="0027677E" w:rsidP="00FE3829">
      <w:pPr>
        <w:widowControl/>
        <w:shd w:val="clear" w:color="auto" w:fill="FFFFFF"/>
        <w:autoSpaceDE/>
        <w:autoSpaceDN/>
        <w:spacing w:after="140" w:line="290" w:lineRule="auto"/>
        <w:jc w:val="both"/>
        <w:rPr>
          <w:sz w:val="20"/>
          <w:szCs w:val="20"/>
        </w:rPr>
      </w:pPr>
      <w:r w:rsidRPr="00F53942">
        <w:rPr>
          <w:sz w:val="20"/>
          <w:szCs w:val="20"/>
        </w:rPr>
        <w:t>There is, however, a significant drawback to this approach. For undertakings, it is often challenging to determine in advance whether they possess relative dominance in relation to a particular counterparty. This uncertainty is less pronounced under the prohibition of abuse of absolute dominan</w:t>
      </w:r>
      <w:r w:rsidR="005C6A5A" w:rsidRPr="00F53942">
        <w:rPr>
          <w:sz w:val="20"/>
          <w:szCs w:val="20"/>
        </w:rPr>
        <w:t>ce</w:t>
      </w:r>
      <w:r w:rsidR="004B76C2" w:rsidRPr="00F53942">
        <w:rPr>
          <w:sz w:val="20"/>
          <w:szCs w:val="20"/>
        </w:rPr>
        <w:t>,</w:t>
      </w:r>
      <w:r w:rsidR="005C6A5A" w:rsidRPr="00F53942">
        <w:rPr>
          <w:rStyle w:val="FootnoteReference"/>
          <w:sz w:val="20"/>
          <w:szCs w:val="20"/>
        </w:rPr>
        <w:footnoteReference w:id="40"/>
      </w:r>
      <w:r w:rsidRPr="00F53942">
        <w:rPr>
          <w:sz w:val="20"/>
          <w:szCs w:val="20"/>
        </w:rPr>
        <w:t xml:space="preserve"> where market power can generally be assessed more objectively. In that context, it is usually sufficient to analyse the company</w:t>
      </w:r>
      <w:r w:rsidR="005C6A5A" w:rsidRPr="00F53942">
        <w:rPr>
          <w:sz w:val="20"/>
          <w:szCs w:val="20"/>
        </w:rPr>
        <w:t>’</w:t>
      </w:r>
      <w:r w:rsidRPr="00F53942">
        <w:rPr>
          <w:sz w:val="20"/>
          <w:szCs w:val="20"/>
        </w:rPr>
        <w:t xml:space="preserve">s own standing within the market. In contrast, under Article IV.2/1 </w:t>
      </w:r>
      <w:r w:rsidR="005C6A5A" w:rsidRPr="00F53942">
        <w:rPr>
          <w:sz w:val="20"/>
          <w:szCs w:val="20"/>
        </w:rPr>
        <w:t>BCEL</w:t>
      </w:r>
      <w:r w:rsidRPr="00F53942">
        <w:rPr>
          <w:sz w:val="20"/>
          <w:szCs w:val="20"/>
        </w:rPr>
        <w:t>, the assessment hinges on the dynamics of each specific business-to-business relationship, rather than purely on the undertaking’s overall position in the market.</w:t>
      </w:r>
    </w:p>
    <w:p w14:paraId="1367029B" w14:textId="1A9A5E60" w:rsidR="00312B79" w:rsidRPr="00F53942" w:rsidRDefault="00312B79" w:rsidP="00FE3829">
      <w:pPr>
        <w:widowControl/>
        <w:shd w:val="clear" w:color="auto" w:fill="FFFFFF"/>
        <w:autoSpaceDE/>
        <w:autoSpaceDN/>
        <w:spacing w:after="140" w:line="290" w:lineRule="auto"/>
        <w:jc w:val="both"/>
        <w:rPr>
          <w:sz w:val="20"/>
          <w:szCs w:val="20"/>
        </w:rPr>
      </w:pPr>
      <w:r w:rsidRPr="00F53942">
        <w:rPr>
          <w:sz w:val="20"/>
          <w:szCs w:val="20"/>
        </w:rPr>
        <w:t xml:space="preserve">Case law shows that to determine the relative market power of the dominating undertaking </w:t>
      </w:r>
      <w:r w:rsidR="00215262">
        <w:rPr>
          <w:sz w:val="20"/>
          <w:szCs w:val="20"/>
        </w:rPr>
        <w:t>several factor are taken</w:t>
      </w:r>
      <w:r w:rsidRPr="00F53942">
        <w:rPr>
          <w:sz w:val="20"/>
          <w:szCs w:val="20"/>
        </w:rPr>
        <w:t xml:space="preserve"> into account, amongst others the share of the dominating undertaking in the turnover of the dependent undertaking, the technology or know-how possessed by the dominating undertaking, or products</w:t>
      </w:r>
      <w:r w:rsidR="00215262">
        <w:rPr>
          <w:sz w:val="20"/>
          <w:szCs w:val="20"/>
        </w:rPr>
        <w:t xml:space="preserve"> and</w:t>
      </w:r>
      <w:r w:rsidRPr="00F53942">
        <w:rPr>
          <w:sz w:val="20"/>
          <w:szCs w:val="20"/>
        </w:rPr>
        <w:t xml:space="preserve"> brands</w:t>
      </w:r>
      <w:r w:rsidR="00215262">
        <w:rPr>
          <w:sz w:val="20"/>
          <w:szCs w:val="20"/>
        </w:rPr>
        <w:t xml:space="preserve"> at stake</w:t>
      </w:r>
      <w:r w:rsidRPr="00F53942">
        <w:rPr>
          <w:sz w:val="20"/>
          <w:szCs w:val="20"/>
        </w:rPr>
        <w:t>. As an example, the sole supplier of children’s clothing of a certain brand, refusing delivery of seasonal clothing to a retailer only a few weeks before the start of the season is considered to abuse its relative market power, given the fact that the retailer’s turnover derives exclusively from the sale of this particular brand children’s clothing and given the fact that it is unfeasible in the fashion sector to find an alternative for seasonal clothing only a few weeks before the start of that season.</w:t>
      </w:r>
      <w:r w:rsidRPr="00F53942">
        <w:rPr>
          <w:rStyle w:val="FootnoteReference"/>
          <w:sz w:val="20"/>
          <w:szCs w:val="20"/>
        </w:rPr>
        <w:footnoteReference w:id="41"/>
      </w:r>
    </w:p>
    <w:p w14:paraId="1B370BC9" w14:textId="1214AE71" w:rsidR="001A1AD9" w:rsidRPr="00F53942" w:rsidRDefault="001A1AD9" w:rsidP="004E387E">
      <w:pPr>
        <w:pStyle w:val="Heading1"/>
        <w:numPr>
          <w:ilvl w:val="1"/>
          <w:numId w:val="1"/>
        </w:numPr>
        <w:tabs>
          <w:tab w:val="left" w:pos="363"/>
        </w:tabs>
        <w:spacing w:after="140" w:line="290" w:lineRule="auto"/>
        <w:ind w:right="6"/>
        <w:jc w:val="both"/>
        <w:rPr>
          <w:sz w:val="20"/>
          <w:szCs w:val="20"/>
        </w:rPr>
      </w:pPr>
      <w:bookmarkStart w:id="22" w:name="_Toc209451792"/>
      <w:r w:rsidRPr="00F53942">
        <w:rPr>
          <w:sz w:val="20"/>
          <w:szCs w:val="20"/>
        </w:rPr>
        <w:t>Potential Effect on Competition on the Belgian Market</w:t>
      </w:r>
      <w:bookmarkEnd w:id="22"/>
    </w:p>
    <w:p w14:paraId="36E2891D" w14:textId="2F234B56" w:rsidR="00896B36" w:rsidRPr="00F53942" w:rsidRDefault="001A1AD9" w:rsidP="00036E1D">
      <w:pPr>
        <w:widowControl/>
        <w:shd w:val="clear" w:color="auto" w:fill="FFFFFF"/>
        <w:autoSpaceDE/>
        <w:autoSpaceDN/>
        <w:spacing w:after="140" w:line="290" w:lineRule="auto"/>
        <w:jc w:val="both"/>
        <w:rPr>
          <w:sz w:val="20"/>
          <w:szCs w:val="20"/>
        </w:rPr>
      </w:pPr>
      <w:r w:rsidRPr="00F53942">
        <w:rPr>
          <w:sz w:val="20"/>
          <w:szCs w:val="20"/>
        </w:rPr>
        <w:t xml:space="preserve">Lastly, </w:t>
      </w:r>
      <w:r w:rsidR="00896B36" w:rsidRPr="00F53942">
        <w:rPr>
          <w:sz w:val="20"/>
          <w:szCs w:val="20"/>
        </w:rPr>
        <w:t>A</w:t>
      </w:r>
      <w:r w:rsidRPr="00F53942">
        <w:rPr>
          <w:sz w:val="20"/>
          <w:szCs w:val="20"/>
        </w:rPr>
        <w:t xml:space="preserve">rticle IV.2/1 BCEL </w:t>
      </w:r>
      <w:r w:rsidR="00896B36" w:rsidRPr="00F53942">
        <w:rPr>
          <w:sz w:val="20"/>
          <w:szCs w:val="20"/>
        </w:rPr>
        <w:t xml:space="preserve">requires that abuse has a potential effect on competition within the Belgian market, but does not define what constitutes such an effect. </w:t>
      </w:r>
      <w:r w:rsidRPr="00F53942">
        <w:rPr>
          <w:sz w:val="20"/>
          <w:szCs w:val="20"/>
        </w:rPr>
        <w:t xml:space="preserve">The preparatory works clarify that it is sufficient if the abuse can “based on legal and factual elements and with a sufficient degree of probability, directly or indirectly, actually or potentially, affect competition”. </w:t>
      </w:r>
      <w:r w:rsidR="00896B36" w:rsidRPr="00F53942">
        <w:rPr>
          <w:sz w:val="20"/>
          <w:szCs w:val="20"/>
        </w:rPr>
        <w:t> In practice, this means that an actual impairment does not need to be proven, but a realistic risk of impairment must be established</w:t>
      </w:r>
      <w:r w:rsidRPr="00F53942">
        <w:rPr>
          <w:sz w:val="20"/>
          <w:szCs w:val="20"/>
        </w:rPr>
        <w:t>.</w:t>
      </w:r>
      <w:r w:rsidRPr="00F53942">
        <w:rPr>
          <w:sz w:val="20"/>
          <w:szCs w:val="20"/>
          <w:vertAlign w:val="superscript"/>
        </w:rPr>
        <w:footnoteReference w:id="42"/>
      </w:r>
      <w:r w:rsidRPr="00F53942">
        <w:rPr>
          <w:sz w:val="20"/>
          <w:szCs w:val="20"/>
          <w:vertAlign w:val="superscript"/>
        </w:rPr>
        <w:t xml:space="preserve"> </w:t>
      </w:r>
      <w:r w:rsidRPr="00F53942">
        <w:rPr>
          <w:sz w:val="20"/>
          <w:szCs w:val="20"/>
        </w:rPr>
        <w:t xml:space="preserve">A purely hypothetical possibility of a restriction of competition is insufficient. </w:t>
      </w:r>
      <w:r w:rsidR="00896B36" w:rsidRPr="00F53942">
        <w:rPr>
          <w:sz w:val="20"/>
          <w:szCs w:val="20"/>
        </w:rPr>
        <w:t xml:space="preserve">Importantly, the provision sets a low threshold, as even the slightest potential distortion of competition suffices, unlike the stricter requirement of a significant distortion under </w:t>
      </w:r>
      <w:r w:rsidR="005C6A5A" w:rsidRPr="00F53942">
        <w:rPr>
          <w:sz w:val="20"/>
          <w:szCs w:val="20"/>
        </w:rPr>
        <w:t>classical abuse of dominance</w:t>
      </w:r>
      <w:r w:rsidR="004B76C2" w:rsidRPr="00F53942">
        <w:rPr>
          <w:sz w:val="20"/>
          <w:szCs w:val="20"/>
        </w:rPr>
        <w:t>.</w:t>
      </w:r>
      <w:r w:rsidR="005C6A5A" w:rsidRPr="00F53942">
        <w:rPr>
          <w:rStyle w:val="FootnoteReference"/>
          <w:sz w:val="20"/>
          <w:szCs w:val="20"/>
        </w:rPr>
        <w:footnoteReference w:id="43"/>
      </w:r>
    </w:p>
    <w:p w14:paraId="55EF02C7" w14:textId="3AFDAFE7" w:rsidR="00036E1D" w:rsidRPr="00F53942" w:rsidRDefault="00896B36" w:rsidP="00036E1D">
      <w:pPr>
        <w:widowControl/>
        <w:shd w:val="clear" w:color="auto" w:fill="FFFFFF"/>
        <w:autoSpaceDE/>
        <w:autoSpaceDN/>
        <w:spacing w:after="140" w:line="290" w:lineRule="auto"/>
        <w:jc w:val="both"/>
        <w:rPr>
          <w:sz w:val="20"/>
          <w:szCs w:val="20"/>
        </w:rPr>
      </w:pPr>
      <w:r w:rsidRPr="00F53942">
        <w:rPr>
          <w:sz w:val="20"/>
          <w:szCs w:val="20"/>
        </w:rPr>
        <w:t>Determining whether there is a potential impairment of Belgian competition requires identifying the relevant market. The Belgian legislator has intended the interpretation of this notion to align closely with the European competition law approach.</w:t>
      </w:r>
      <w:r w:rsidR="00036E1D" w:rsidRPr="00F53942">
        <w:rPr>
          <w:sz w:val="20"/>
          <w:szCs w:val="20"/>
        </w:rPr>
        <w:t xml:space="preserve"> Case law of the European Court of Justice and the European Commission</w:t>
      </w:r>
      <w:r w:rsidR="00993465" w:rsidRPr="00F53942">
        <w:rPr>
          <w:sz w:val="20"/>
          <w:szCs w:val="20"/>
        </w:rPr>
        <w:t>’</w:t>
      </w:r>
      <w:r w:rsidR="00036E1D" w:rsidRPr="00F53942">
        <w:rPr>
          <w:sz w:val="20"/>
          <w:szCs w:val="20"/>
        </w:rPr>
        <w:t>s notices</w:t>
      </w:r>
      <w:r w:rsidR="00036E1D" w:rsidRPr="00F53942">
        <w:rPr>
          <w:rStyle w:val="FootnoteReference"/>
          <w:sz w:val="20"/>
          <w:szCs w:val="20"/>
        </w:rPr>
        <w:footnoteReference w:id="44"/>
      </w:r>
      <w:r w:rsidR="00036E1D" w:rsidRPr="00F53942">
        <w:rPr>
          <w:sz w:val="20"/>
          <w:szCs w:val="20"/>
        </w:rPr>
        <w:t xml:space="preserve"> are therefore a prominent source of inspiration for determining the relevant market. </w:t>
      </w:r>
      <w:r w:rsidRPr="00F53942">
        <w:rPr>
          <w:sz w:val="20"/>
          <w:szCs w:val="20"/>
        </w:rPr>
        <w:t>According to Eu</w:t>
      </w:r>
      <w:r w:rsidR="00036E1D" w:rsidRPr="00F53942">
        <w:rPr>
          <w:sz w:val="20"/>
          <w:szCs w:val="20"/>
        </w:rPr>
        <w:t xml:space="preserve">ropean competition law, the relevant market is </w:t>
      </w:r>
      <w:r w:rsidR="000B796D" w:rsidRPr="00F53942">
        <w:rPr>
          <w:sz w:val="20"/>
          <w:szCs w:val="20"/>
        </w:rPr>
        <w:t>“</w:t>
      </w:r>
      <w:r w:rsidR="00036E1D" w:rsidRPr="00F53942">
        <w:rPr>
          <w:sz w:val="20"/>
          <w:szCs w:val="20"/>
        </w:rPr>
        <w:t xml:space="preserve">the set of substitutable products available in a given geographical area with sufficiently homogeneous conditions of competition to allow for an assessment of the economic situation of the undertakings </w:t>
      </w:r>
      <w:r w:rsidR="00036E1D" w:rsidRPr="00F53942">
        <w:rPr>
          <w:sz w:val="20"/>
          <w:szCs w:val="20"/>
        </w:rPr>
        <w:lastRenderedPageBreak/>
        <w:t>concerned</w:t>
      </w:r>
      <w:r w:rsidR="000B796D" w:rsidRPr="00F53942">
        <w:rPr>
          <w:sz w:val="20"/>
          <w:szCs w:val="20"/>
        </w:rPr>
        <w:t>”</w:t>
      </w:r>
      <w:r w:rsidR="00036E1D" w:rsidRPr="00F53942">
        <w:rPr>
          <w:sz w:val="20"/>
          <w:szCs w:val="20"/>
        </w:rPr>
        <w:t>.</w:t>
      </w:r>
      <w:r w:rsidR="00036E1D" w:rsidRPr="00F53942">
        <w:rPr>
          <w:rStyle w:val="FootnoteReference"/>
          <w:sz w:val="20"/>
          <w:szCs w:val="20"/>
        </w:rPr>
        <w:footnoteReference w:id="45"/>
      </w:r>
      <w:r w:rsidR="00036E1D" w:rsidRPr="00F53942">
        <w:rPr>
          <w:sz w:val="20"/>
          <w:szCs w:val="20"/>
        </w:rPr>
        <w:t xml:space="preserve">  It is generally accepted that the relevant market in which the infringement took place consists of two dimensions: on the one hand, the relevant product market (goods or services) and, on the other hand, the relevant geographic market. The relevant geographic market can be defined as </w:t>
      </w:r>
      <w:r w:rsidR="000B796D" w:rsidRPr="00F53942">
        <w:rPr>
          <w:sz w:val="20"/>
          <w:szCs w:val="20"/>
        </w:rPr>
        <w:t>“</w:t>
      </w:r>
      <w:r w:rsidR="00036E1D" w:rsidRPr="00F53942">
        <w:rPr>
          <w:sz w:val="20"/>
          <w:szCs w:val="20"/>
        </w:rPr>
        <w:t>the area in Belgium where the undertakings concerned are involved in the supply of and demand for relevant products or services, where the conditions of competition are sufficiently homogeneous and which can be distinguished from neighbouring geographic areas because, in particular, the conditions of competition are appreciably different there</w:t>
      </w:r>
      <w:r w:rsidR="000B796D" w:rsidRPr="00F53942">
        <w:rPr>
          <w:sz w:val="20"/>
          <w:szCs w:val="20"/>
        </w:rPr>
        <w:t>”</w:t>
      </w:r>
      <w:r w:rsidR="00036E1D" w:rsidRPr="00F53942">
        <w:rPr>
          <w:sz w:val="20"/>
          <w:szCs w:val="20"/>
        </w:rPr>
        <w:t>.</w:t>
      </w:r>
      <w:r w:rsidR="00036E1D" w:rsidRPr="00F53942">
        <w:rPr>
          <w:rStyle w:val="FootnoteReference"/>
          <w:sz w:val="20"/>
          <w:szCs w:val="20"/>
        </w:rPr>
        <w:footnoteReference w:id="46"/>
      </w:r>
      <w:r w:rsidRPr="00F53942">
        <w:rPr>
          <w:sz w:val="20"/>
          <w:szCs w:val="20"/>
        </w:rPr>
        <w:t xml:space="preserve"> </w:t>
      </w:r>
      <w:r w:rsidR="00036E1D" w:rsidRPr="00F53942">
        <w:rPr>
          <w:sz w:val="20"/>
          <w:szCs w:val="20"/>
        </w:rPr>
        <w:t xml:space="preserve">The relevant product market can be defined as </w:t>
      </w:r>
      <w:r w:rsidR="000B796D" w:rsidRPr="00F53942">
        <w:rPr>
          <w:sz w:val="20"/>
          <w:szCs w:val="20"/>
        </w:rPr>
        <w:t>“</w:t>
      </w:r>
      <w:r w:rsidR="00036E1D" w:rsidRPr="00F53942">
        <w:rPr>
          <w:sz w:val="20"/>
          <w:szCs w:val="20"/>
        </w:rPr>
        <w:t>the market compris</w:t>
      </w:r>
      <w:r w:rsidR="00215262">
        <w:rPr>
          <w:sz w:val="20"/>
          <w:szCs w:val="20"/>
        </w:rPr>
        <w:t>ing</w:t>
      </w:r>
      <w:r w:rsidR="00036E1D" w:rsidRPr="00F53942">
        <w:rPr>
          <w:sz w:val="20"/>
          <w:szCs w:val="20"/>
        </w:rPr>
        <w:t xml:space="preserve"> all products and/or services which, by virtue of their characteristics, their prices, and their intended use, are regarded by consumers as interchangeable or substitutable</w:t>
      </w:r>
      <w:r w:rsidR="000B796D" w:rsidRPr="00F53942">
        <w:rPr>
          <w:sz w:val="20"/>
          <w:szCs w:val="20"/>
        </w:rPr>
        <w:t>”</w:t>
      </w:r>
      <w:r w:rsidR="00036E1D" w:rsidRPr="00F53942">
        <w:rPr>
          <w:sz w:val="20"/>
          <w:szCs w:val="20"/>
        </w:rPr>
        <w:t>.</w:t>
      </w:r>
      <w:r w:rsidR="00036E1D" w:rsidRPr="00F53942">
        <w:rPr>
          <w:rStyle w:val="FootnoteReference"/>
          <w:sz w:val="20"/>
          <w:szCs w:val="20"/>
        </w:rPr>
        <w:footnoteReference w:id="47"/>
      </w:r>
      <w:r w:rsidR="00036E1D" w:rsidRPr="00F53942">
        <w:rPr>
          <w:sz w:val="20"/>
          <w:szCs w:val="20"/>
        </w:rPr>
        <w:t xml:space="preserve"> </w:t>
      </w:r>
    </w:p>
    <w:p w14:paraId="656AB827" w14:textId="1CE80A10" w:rsidR="00896B36" w:rsidRPr="00F53942" w:rsidRDefault="00896B36" w:rsidP="00036E1D">
      <w:pPr>
        <w:widowControl/>
        <w:shd w:val="clear" w:color="auto" w:fill="FFFFFF"/>
        <w:autoSpaceDE/>
        <w:autoSpaceDN/>
        <w:spacing w:after="140" w:line="290" w:lineRule="auto"/>
        <w:jc w:val="both"/>
        <w:rPr>
          <w:sz w:val="20"/>
          <w:szCs w:val="20"/>
        </w:rPr>
      </w:pPr>
      <w:r w:rsidRPr="00F53942">
        <w:rPr>
          <w:sz w:val="20"/>
          <w:szCs w:val="20"/>
        </w:rPr>
        <w:t>The requirement of Article IV.2/1 BCEL of a potential restriction of competition already includes a geographical criterion: the potential restrictions must occur on the Belgian market concerned. Case law indicates that the assessment should primarily consider the market on which the position of economic dependence exists.</w:t>
      </w:r>
      <w:r w:rsidRPr="00F53942">
        <w:rPr>
          <w:rStyle w:val="FootnoteReference"/>
          <w:sz w:val="20"/>
          <w:szCs w:val="20"/>
        </w:rPr>
        <w:footnoteReference w:id="48"/>
      </w:r>
      <w:r w:rsidRPr="00F53942">
        <w:rPr>
          <w:sz w:val="20"/>
          <w:szCs w:val="20"/>
        </w:rPr>
        <w:t xml:space="preserve"> Some commentators argue that only the market directly concerned – excluding derivative or related markets – should be taken into account when assessing the competitive impact, a view that appears to be gaining traction in </w:t>
      </w:r>
      <w:r w:rsidR="00215262">
        <w:rPr>
          <w:sz w:val="20"/>
          <w:szCs w:val="20"/>
        </w:rPr>
        <w:t>legal doctrine</w:t>
      </w:r>
      <w:r w:rsidRPr="00F53942">
        <w:rPr>
          <w:sz w:val="20"/>
          <w:szCs w:val="20"/>
        </w:rPr>
        <w:t>.</w:t>
      </w:r>
      <w:r w:rsidRPr="00F53942">
        <w:rPr>
          <w:rStyle w:val="FootnoteReference"/>
          <w:sz w:val="20"/>
          <w:szCs w:val="20"/>
        </w:rPr>
        <w:footnoteReference w:id="49"/>
      </w:r>
      <w:r w:rsidRPr="00F53942">
        <w:rPr>
          <w:sz w:val="20"/>
          <w:szCs w:val="20"/>
        </w:rPr>
        <w:t xml:space="preserve"> However, case law on this point remains limited and does not yet clearly resolve the question. If this restrictive approach becomes established, the practical reach of </w:t>
      </w:r>
      <w:r w:rsidR="00215262">
        <w:rPr>
          <w:sz w:val="20"/>
          <w:szCs w:val="20"/>
        </w:rPr>
        <w:t>A</w:t>
      </w:r>
      <w:r w:rsidRPr="00F53942">
        <w:rPr>
          <w:sz w:val="20"/>
          <w:szCs w:val="20"/>
        </w:rPr>
        <w:t>rticle IV.2/1 BCEL could be significantly limited, narrowing its scope and impact in regulating abusive practices.</w:t>
      </w:r>
    </w:p>
    <w:p w14:paraId="4DA7F0B0" w14:textId="38C9AB96" w:rsidR="0030032D" w:rsidRPr="00F53942" w:rsidRDefault="009C6020" w:rsidP="001A1AD9">
      <w:pPr>
        <w:pStyle w:val="Heading1"/>
        <w:numPr>
          <w:ilvl w:val="0"/>
          <w:numId w:val="1"/>
        </w:numPr>
        <w:tabs>
          <w:tab w:val="left" w:pos="363"/>
        </w:tabs>
        <w:spacing w:after="140" w:line="290" w:lineRule="auto"/>
        <w:ind w:right="6"/>
        <w:jc w:val="both"/>
        <w:rPr>
          <w:sz w:val="20"/>
          <w:szCs w:val="20"/>
        </w:rPr>
      </w:pPr>
      <w:bookmarkStart w:id="23" w:name="_Toc209451793"/>
      <w:r w:rsidRPr="00F53942">
        <w:rPr>
          <w:sz w:val="20"/>
          <w:szCs w:val="20"/>
        </w:rPr>
        <w:t xml:space="preserve">General, </w:t>
      </w:r>
      <w:r w:rsidR="00D4171A" w:rsidRPr="00F53942">
        <w:rPr>
          <w:sz w:val="20"/>
          <w:szCs w:val="20"/>
        </w:rPr>
        <w:t>Sector-wide, C</w:t>
      </w:r>
      <w:r w:rsidR="0030032D" w:rsidRPr="00F53942">
        <w:rPr>
          <w:sz w:val="20"/>
          <w:szCs w:val="20"/>
        </w:rPr>
        <w:t>ompetition Law Concept</w:t>
      </w:r>
      <w:bookmarkEnd w:id="23"/>
    </w:p>
    <w:p w14:paraId="37836160" w14:textId="5D708BB1" w:rsidR="007A31B2" w:rsidRPr="00F53942" w:rsidRDefault="009C6020" w:rsidP="00D4171A">
      <w:pPr>
        <w:widowControl/>
        <w:shd w:val="clear" w:color="auto" w:fill="FFFFFF"/>
        <w:autoSpaceDE/>
        <w:autoSpaceDN/>
        <w:spacing w:after="140" w:line="290" w:lineRule="auto"/>
        <w:jc w:val="both"/>
        <w:rPr>
          <w:sz w:val="20"/>
          <w:szCs w:val="20"/>
        </w:rPr>
      </w:pPr>
      <w:r w:rsidRPr="00F53942">
        <w:rPr>
          <w:sz w:val="20"/>
          <w:szCs w:val="20"/>
        </w:rPr>
        <w:t xml:space="preserve">Article IV.2/1 BCEL is a general, non-sector-specific provision. </w:t>
      </w:r>
      <w:r w:rsidR="005C6A5A" w:rsidRPr="00F53942">
        <w:rPr>
          <w:sz w:val="20"/>
          <w:szCs w:val="20"/>
        </w:rPr>
        <w:t xml:space="preserve">As </w:t>
      </w:r>
      <w:r w:rsidR="00B224C1">
        <w:rPr>
          <w:sz w:val="20"/>
          <w:szCs w:val="20"/>
        </w:rPr>
        <w:t>outlined</w:t>
      </w:r>
      <w:r w:rsidR="005E450C" w:rsidRPr="00F53942">
        <w:rPr>
          <w:sz w:val="20"/>
          <w:szCs w:val="20"/>
        </w:rPr>
        <w:t xml:space="preserve"> above (Section </w:t>
      </w:r>
      <w:r w:rsidR="005E450C" w:rsidRPr="00F53942">
        <w:rPr>
          <w:sz w:val="20"/>
          <w:szCs w:val="20"/>
        </w:rPr>
        <w:fldChar w:fldCharType="begin"/>
      </w:r>
      <w:r w:rsidR="005E450C" w:rsidRPr="00F53942">
        <w:rPr>
          <w:sz w:val="20"/>
          <w:szCs w:val="20"/>
        </w:rPr>
        <w:instrText xml:space="preserve"> REF _Ref209164991 \r \h </w:instrText>
      </w:r>
      <w:r w:rsidR="00F53942">
        <w:rPr>
          <w:sz w:val="20"/>
          <w:szCs w:val="20"/>
        </w:rPr>
        <w:instrText xml:space="preserve"> \* MERGEFORMAT </w:instrText>
      </w:r>
      <w:r w:rsidR="005E450C" w:rsidRPr="00F53942">
        <w:rPr>
          <w:sz w:val="20"/>
          <w:szCs w:val="20"/>
        </w:rPr>
      </w:r>
      <w:r w:rsidR="005E450C" w:rsidRPr="00F53942">
        <w:rPr>
          <w:sz w:val="20"/>
          <w:szCs w:val="20"/>
        </w:rPr>
        <w:fldChar w:fldCharType="separate"/>
      </w:r>
      <w:r w:rsidR="00F10409">
        <w:rPr>
          <w:sz w:val="20"/>
          <w:szCs w:val="20"/>
        </w:rPr>
        <w:t>3.3.4</w:t>
      </w:r>
      <w:r w:rsidR="005E450C" w:rsidRPr="00F53942">
        <w:rPr>
          <w:sz w:val="20"/>
          <w:szCs w:val="20"/>
        </w:rPr>
        <w:fldChar w:fldCharType="end"/>
      </w:r>
      <w:r w:rsidR="005E450C" w:rsidRPr="00F53942">
        <w:rPr>
          <w:sz w:val="20"/>
          <w:szCs w:val="20"/>
        </w:rPr>
        <w:t>)</w:t>
      </w:r>
      <w:r w:rsidR="005C6A5A" w:rsidRPr="00F53942">
        <w:rPr>
          <w:sz w:val="20"/>
          <w:szCs w:val="20"/>
        </w:rPr>
        <w:t>, t</w:t>
      </w:r>
      <w:r w:rsidRPr="00F53942">
        <w:rPr>
          <w:sz w:val="20"/>
          <w:szCs w:val="20"/>
        </w:rPr>
        <w:t>he existence of a relative dominant position is determined on the basis of the relationship between the dominating undertaking and the dependent undertaking</w:t>
      </w:r>
      <w:r w:rsidR="00755706" w:rsidRPr="00F53942">
        <w:rPr>
          <w:sz w:val="20"/>
          <w:szCs w:val="20"/>
        </w:rPr>
        <w:t xml:space="preserve">. It </w:t>
      </w:r>
      <w:r w:rsidR="00B224C1">
        <w:rPr>
          <w:sz w:val="20"/>
          <w:szCs w:val="20"/>
        </w:rPr>
        <w:t>does not depend solely</w:t>
      </w:r>
      <w:r w:rsidR="00755706" w:rsidRPr="00F53942">
        <w:rPr>
          <w:sz w:val="20"/>
          <w:szCs w:val="20"/>
        </w:rPr>
        <w:t xml:space="preserve"> </w:t>
      </w:r>
      <w:r w:rsidR="00B224C1">
        <w:rPr>
          <w:sz w:val="20"/>
          <w:szCs w:val="20"/>
        </w:rPr>
        <w:t xml:space="preserve">on the </w:t>
      </w:r>
      <w:r w:rsidRPr="00F53942">
        <w:rPr>
          <w:sz w:val="20"/>
          <w:szCs w:val="20"/>
        </w:rPr>
        <w:t>dominating undertaking</w:t>
      </w:r>
      <w:r w:rsidR="00B224C1">
        <w:rPr>
          <w:sz w:val="20"/>
          <w:szCs w:val="20"/>
        </w:rPr>
        <w:t>’s market position</w:t>
      </w:r>
      <w:r w:rsidR="007A31B2" w:rsidRPr="00F53942">
        <w:rPr>
          <w:sz w:val="20"/>
          <w:szCs w:val="20"/>
        </w:rPr>
        <w:t>,</w:t>
      </w:r>
      <w:r w:rsidRPr="00F53942">
        <w:rPr>
          <w:sz w:val="20"/>
          <w:szCs w:val="20"/>
        </w:rPr>
        <w:t xml:space="preserve"> </w:t>
      </w:r>
      <w:r w:rsidR="00B224C1">
        <w:rPr>
          <w:sz w:val="20"/>
          <w:szCs w:val="20"/>
        </w:rPr>
        <w:t>its size</w:t>
      </w:r>
      <w:r w:rsidR="007A31B2" w:rsidRPr="00F53942">
        <w:rPr>
          <w:sz w:val="20"/>
          <w:szCs w:val="20"/>
        </w:rPr>
        <w:t xml:space="preserve"> – as smaller niche players may also abuse their (relative) dominant position</w:t>
      </w:r>
      <w:r w:rsidR="007A31B2" w:rsidRPr="00F53942">
        <w:rPr>
          <w:rStyle w:val="FootnoteReference"/>
          <w:sz w:val="20"/>
          <w:szCs w:val="20"/>
        </w:rPr>
        <w:footnoteReference w:id="50"/>
      </w:r>
      <w:r w:rsidR="007A31B2" w:rsidRPr="00F53942">
        <w:rPr>
          <w:sz w:val="20"/>
          <w:szCs w:val="20"/>
        </w:rPr>
        <w:t xml:space="preserve"> –, the sector </w:t>
      </w:r>
      <w:r w:rsidR="00B224C1">
        <w:rPr>
          <w:sz w:val="20"/>
          <w:szCs w:val="20"/>
        </w:rPr>
        <w:t xml:space="preserve"> it operates in </w:t>
      </w:r>
      <w:r w:rsidR="007A31B2" w:rsidRPr="00F53942">
        <w:rPr>
          <w:sz w:val="20"/>
          <w:szCs w:val="20"/>
        </w:rPr>
        <w:t>– although financial institutions are excluded from the scope of application</w:t>
      </w:r>
      <w:r w:rsidR="007A31B2" w:rsidRPr="00F53942">
        <w:rPr>
          <w:rStyle w:val="FootnoteReference"/>
          <w:sz w:val="20"/>
          <w:szCs w:val="20"/>
        </w:rPr>
        <w:footnoteReference w:id="51"/>
      </w:r>
      <w:r w:rsidR="007A31B2" w:rsidRPr="00F53942">
        <w:rPr>
          <w:sz w:val="20"/>
          <w:szCs w:val="20"/>
        </w:rPr>
        <w:t xml:space="preserve"> –, or the</w:t>
      </w:r>
      <w:r w:rsidR="00B224C1">
        <w:rPr>
          <w:sz w:val="20"/>
          <w:szCs w:val="20"/>
        </w:rPr>
        <w:t xml:space="preserve"> type of</w:t>
      </w:r>
      <w:r w:rsidR="007A31B2" w:rsidRPr="00F53942">
        <w:rPr>
          <w:sz w:val="20"/>
          <w:szCs w:val="20"/>
        </w:rPr>
        <w:t xml:space="preserve"> products</w:t>
      </w:r>
      <w:r w:rsidR="00B224C1">
        <w:rPr>
          <w:sz w:val="20"/>
          <w:szCs w:val="20"/>
        </w:rPr>
        <w:t xml:space="preserve"> involved</w:t>
      </w:r>
      <w:r w:rsidRPr="00F53942">
        <w:rPr>
          <w:sz w:val="20"/>
          <w:szCs w:val="20"/>
        </w:rPr>
        <w:t>.</w:t>
      </w:r>
      <w:r w:rsidR="00B224C1">
        <w:rPr>
          <w:sz w:val="20"/>
          <w:szCs w:val="20"/>
        </w:rPr>
        <w:t xml:space="preserve"> Nevertheless, these factors may be considered by courts as part of their overall assessment (Section </w:t>
      </w:r>
      <w:r w:rsidR="00B224C1">
        <w:rPr>
          <w:sz w:val="20"/>
          <w:szCs w:val="20"/>
        </w:rPr>
        <w:fldChar w:fldCharType="begin"/>
      </w:r>
      <w:r w:rsidR="00B224C1">
        <w:rPr>
          <w:sz w:val="20"/>
          <w:szCs w:val="20"/>
        </w:rPr>
        <w:instrText xml:space="preserve"> REF _Ref209164991 \r \h </w:instrText>
      </w:r>
      <w:r w:rsidR="00B224C1">
        <w:rPr>
          <w:sz w:val="20"/>
          <w:szCs w:val="20"/>
        </w:rPr>
      </w:r>
      <w:r w:rsidR="00B224C1">
        <w:rPr>
          <w:sz w:val="20"/>
          <w:szCs w:val="20"/>
        </w:rPr>
        <w:fldChar w:fldCharType="separate"/>
      </w:r>
      <w:r w:rsidR="00B224C1">
        <w:rPr>
          <w:sz w:val="20"/>
          <w:szCs w:val="20"/>
        </w:rPr>
        <w:t>3.3.4</w:t>
      </w:r>
      <w:r w:rsidR="00B224C1">
        <w:rPr>
          <w:sz w:val="20"/>
          <w:szCs w:val="20"/>
        </w:rPr>
        <w:fldChar w:fldCharType="end"/>
      </w:r>
      <w:r w:rsidR="00B224C1">
        <w:rPr>
          <w:sz w:val="20"/>
          <w:szCs w:val="20"/>
        </w:rPr>
        <w:t>).</w:t>
      </w:r>
      <w:r w:rsidR="007A31B2" w:rsidRPr="00F53942">
        <w:rPr>
          <w:sz w:val="20"/>
          <w:szCs w:val="20"/>
        </w:rPr>
        <w:t xml:space="preserve"> </w:t>
      </w:r>
    </w:p>
    <w:p w14:paraId="5C108B61" w14:textId="117E75B7" w:rsidR="00FC1F56" w:rsidRPr="00F53942" w:rsidRDefault="00B11666" w:rsidP="00FC1F56">
      <w:pPr>
        <w:widowControl/>
        <w:shd w:val="clear" w:color="auto" w:fill="FFFFFF"/>
        <w:autoSpaceDE/>
        <w:autoSpaceDN/>
        <w:spacing w:after="140" w:line="290" w:lineRule="auto"/>
        <w:jc w:val="both"/>
        <w:rPr>
          <w:sz w:val="20"/>
          <w:szCs w:val="20"/>
        </w:rPr>
      </w:pPr>
      <w:r w:rsidRPr="00F53942">
        <w:rPr>
          <w:color w:val="000000"/>
          <w:sz w:val="20"/>
          <w:szCs w:val="20"/>
        </w:rPr>
        <w:t xml:space="preserve">The prohibition of abuse of economic dependence was ultimately incorporated into Book IV, </w:t>
      </w:r>
      <w:r w:rsidR="00993465" w:rsidRPr="00F53942">
        <w:rPr>
          <w:color w:val="000000"/>
          <w:sz w:val="20"/>
          <w:szCs w:val="20"/>
        </w:rPr>
        <w:t>“</w:t>
      </w:r>
      <w:r w:rsidRPr="00F53942">
        <w:rPr>
          <w:color w:val="000000"/>
          <w:sz w:val="20"/>
          <w:szCs w:val="20"/>
        </w:rPr>
        <w:t>Protection of Competition</w:t>
      </w:r>
      <w:r w:rsidR="00993465" w:rsidRPr="00F53942">
        <w:rPr>
          <w:color w:val="000000"/>
          <w:sz w:val="20"/>
          <w:szCs w:val="20"/>
        </w:rPr>
        <w:t>”</w:t>
      </w:r>
      <w:r w:rsidRPr="00F53942">
        <w:rPr>
          <w:color w:val="000000"/>
          <w:sz w:val="20"/>
          <w:szCs w:val="20"/>
        </w:rPr>
        <w:t>, of the Belgian Code of Economic Law, placing it alongside the prohibitions on anti-competitive agreements and abuse of dominance.</w:t>
      </w:r>
      <w:r w:rsidR="00312B79" w:rsidRPr="00F53942">
        <w:rPr>
          <w:rStyle w:val="FootnoteReference"/>
          <w:color w:val="000000"/>
          <w:sz w:val="20"/>
          <w:szCs w:val="20"/>
        </w:rPr>
        <w:footnoteReference w:id="52"/>
      </w:r>
      <w:r w:rsidRPr="00F53942">
        <w:rPr>
          <w:color w:val="000000"/>
          <w:sz w:val="20"/>
          <w:szCs w:val="20"/>
        </w:rPr>
        <w:t xml:space="preserve"> </w:t>
      </w:r>
      <w:r w:rsidR="00FC1F56" w:rsidRPr="00F53942">
        <w:rPr>
          <w:sz w:val="20"/>
          <w:szCs w:val="20"/>
        </w:rPr>
        <w:t xml:space="preserve">Case law shows that undertakings do rely on the prohibition but mostly seems to target vertical business relationships and the protection of individual small businesses, rather than the protection of market forces. The actual value for competition law can thus be questioned. </w:t>
      </w:r>
    </w:p>
    <w:p w14:paraId="610CBC82" w14:textId="651A9079" w:rsidR="00FC1F56" w:rsidRPr="00F53942" w:rsidRDefault="00B11666" w:rsidP="0030032D">
      <w:pPr>
        <w:widowControl/>
        <w:shd w:val="clear" w:color="auto" w:fill="FFFFFF"/>
        <w:autoSpaceDE/>
        <w:autoSpaceDN/>
        <w:spacing w:after="140" w:line="290" w:lineRule="auto"/>
        <w:jc w:val="both"/>
        <w:rPr>
          <w:color w:val="000000"/>
          <w:sz w:val="20"/>
          <w:szCs w:val="20"/>
        </w:rPr>
      </w:pPr>
      <w:r w:rsidRPr="00F53942">
        <w:rPr>
          <w:color w:val="000000"/>
          <w:sz w:val="20"/>
          <w:szCs w:val="20"/>
        </w:rPr>
        <w:t>Embedding this prohibition within competition law has</w:t>
      </w:r>
      <w:r w:rsidR="00FC1F56" w:rsidRPr="00F53942">
        <w:rPr>
          <w:color w:val="000000"/>
          <w:sz w:val="20"/>
          <w:szCs w:val="20"/>
        </w:rPr>
        <w:t xml:space="preserve"> indeed</w:t>
      </w:r>
      <w:r w:rsidRPr="00F53942">
        <w:rPr>
          <w:color w:val="000000"/>
          <w:sz w:val="20"/>
          <w:szCs w:val="20"/>
        </w:rPr>
        <w:t xml:space="preserve"> generated </w:t>
      </w:r>
      <w:r w:rsidR="00FC1F56" w:rsidRPr="00F53942">
        <w:rPr>
          <w:color w:val="000000"/>
          <w:sz w:val="20"/>
          <w:szCs w:val="20"/>
        </w:rPr>
        <w:t xml:space="preserve">some </w:t>
      </w:r>
      <w:r w:rsidRPr="00F53942">
        <w:rPr>
          <w:color w:val="000000"/>
          <w:sz w:val="20"/>
          <w:szCs w:val="20"/>
        </w:rPr>
        <w:t xml:space="preserve">debate, as some argue </w:t>
      </w:r>
      <w:r w:rsidR="00FC1F56" w:rsidRPr="00F53942">
        <w:rPr>
          <w:color w:val="000000"/>
          <w:sz w:val="20"/>
          <w:szCs w:val="20"/>
        </w:rPr>
        <w:t>the prohibition</w:t>
      </w:r>
      <w:r w:rsidRPr="00F53942">
        <w:rPr>
          <w:color w:val="000000"/>
          <w:sz w:val="20"/>
          <w:szCs w:val="20"/>
        </w:rPr>
        <w:t xml:space="preserve"> better suited </w:t>
      </w:r>
      <w:r w:rsidR="00FC1F56" w:rsidRPr="00F53942">
        <w:rPr>
          <w:color w:val="000000"/>
          <w:sz w:val="20"/>
          <w:szCs w:val="20"/>
        </w:rPr>
        <w:t>in</w:t>
      </w:r>
      <w:r w:rsidRPr="00F53942">
        <w:rPr>
          <w:color w:val="000000"/>
          <w:sz w:val="20"/>
          <w:szCs w:val="20"/>
        </w:rPr>
        <w:t xml:space="preserve">to market practices law, which focuses on ensuring fair commercial relations between individual economic actors rather than on market structure as a whole. </w:t>
      </w:r>
      <w:r w:rsidR="00A37FC8" w:rsidRPr="00F53942">
        <w:rPr>
          <w:color w:val="000000"/>
          <w:sz w:val="20"/>
          <w:szCs w:val="20"/>
        </w:rPr>
        <w:t xml:space="preserve">Proponents of the market practices law approach argue that embedding the prohibition there would </w:t>
      </w:r>
      <w:r w:rsidR="00312B79" w:rsidRPr="00F53942">
        <w:rPr>
          <w:color w:val="000000"/>
          <w:sz w:val="20"/>
          <w:szCs w:val="20"/>
        </w:rPr>
        <w:t>have made</w:t>
      </w:r>
      <w:r w:rsidR="00A37FC8" w:rsidRPr="00F53942">
        <w:rPr>
          <w:color w:val="000000"/>
          <w:sz w:val="20"/>
          <w:szCs w:val="20"/>
        </w:rPr>
        <w:t xml:space="preserve"> it easier for economically dependent undertakings to seek protection, as demonstrating a</w:t>
      </w:r>
      <w:r w:rsidR="00312B79" w:rsidRPr="00F53942">
        <w:rPr>
          <w:color w:val="000000"/>
          <w:sz w:val="20"/>
          <w:szCs w:val="20"/>
        </w:rPr>
        <w:t xml:space="preserve"> potential</w:t>
      </w:r>
      <w:r w:rsidR="00A37FC8" w:rsidRPr="00F53942">
        <w:rPr>
          <w:color w:val="000000"/>
          <w:sz w:val="20"/>
          <w:szCs w:val="20"/>
        </w:rPr>
        <w:t xml:space="preserve"> anti-competitive effect would not be required.</w:t>
      </w:r>
      <w:r w:rsidR="00735CDB" w:rsidRPr="00F53942">
        <w:rPr>
          <w:rStyle w:val="FootnoteReference"/>
          <w:color w:val="000000"/>
          <w:sz w:val="20"/>
          <w:szCs w:val="20"/>
        </w:rPr>
        <w:footnoteReference w:id="53"/>
      </w:r>
      <w:r w:rsidR="00A37FC8" w:rsidRPr="00F53942">
        <w:rPr>
          <w:color w:val="000000"/>
          <w:sz w:val="20"/>
          <w:szCs w:val="20"/>
        </w:rPr>
        <w:t xml:space="preserve"> This would </w:t>
      </w:r>
      <w:r w:rsidR="00312B79" w:rsidRPr="00F53942">
        <w:rPr>
          <w:color w:val="000000"/>
          <w:sz w:val="20"/>
          <w:szCs w:val="20"/>
        </w:rPr>
        <w:t xml:space="preserve">have </w:t>
      </w:r>
      <w:r w:rsidR="00A37FC8" w:rsidRPr="00F53942">
        <w:rPr>
          <w:color w:val="000000"/>
          <w:sz w:val="20"/>
          <w:szCs w:val="20"/>
        </w:rPr>
        <w:t>address</w:t>
      </w:r>
      <w:r w:rsidR="00312B79" w:rsidRPr="00F53942">
        <w:rPr>
          <w:color w:val="000000"/>
          <w:sz w:val="20"/>
          <w:szCs w:val="20"/>
        </w:rPr>
        <w:t xml:space="preserve">ed </w:t>
      </w:r>
      <w:r w:rsidR="00312B79" w:rsidRPr="00F53942">
        <w:rPr>
          <w:color w:val="000000"/>
          <w:sz w:val="20"/>
          <w:szCs w:val="20"/>
        </w:rPr>
        <w:lastRenderedPageBreak/>
        <w:t>the concerns – already raised in French and German case law and doctrine relating to the local provisions on abuse of economic dependency –</w:t>
      </w:r>
      <w:r w:rsidR="00A37FC8" w:rsidRPr="00F53942">
        <w:rPr>
          <w:color w:val="000000"/>
          <w:sz w:val="20"/>
          <w:szCs w:val="20"/>
        </w:rPr>
        <w:t xml:space="preserve"> about the often significant burden of proof under competition law, where complainants must typically show effects on market competition in addition to their own harm.</w:t>
      </w:r>
    </w:p>
    <w:p w14:paraId="2F86332F" w14:textId="2811E27F" w:rsidR="007A31B2" w:rsidRPr="00F53942" w:rsidRDefault="00B11666" w:rsidP="0030032D">
      <w:pPr>
        <w:widowControl/>
        <w:shd w:val="clear" w:color="auto" w:fill="FFFFFF"/>
        <w:autoSpaceDE/>
        <w:autoSpaceDN/>
        <w:spacing w:after="140" w:line="290" w:lineRule="auto"/>
        <w:jc w:val="both"/>
        <w:rPr>
          <w:color w:val="000000"/>
          <w:sz w:val="20"/>
          <w:szCs w:val="20"/>
        </w:rPr>
      </w:pPr>
      <w:r w:rsidRPr="00F53942">
        <w:rPr>
          <w:color w:val="000000"/>
          <w:sz w:val="20"/>
          <w:szCs w:val="20"/>
        </w:rPr>
        <w:t xml:space="preserve">Ultimately, the main issue is not the choice of legal framework itself, but how the prohibition’s scope and requirements – particularly regarding proof of </w:t>
      </w:r>
      <w:r w:rsidR="00312B79" w:rsidRPr="00F53942">
        <w:rPr>
          <w:color w:val="000000"/>
          <w:sz w:val="20"/>
          <w:szCs w:val="20"/>
        </w:rPr>
        <w:t xml:space="preserve">potential </w:t>
      </w:r>
      <w:r w:rsidRPr="00F53942">
        <w:rPr>
          <w:color w:val="000000"/>
          <w:sz w:val="20"/>
          <w:szCs w:val="20"/>
        </w:rPr>
        <w:t>anti-competitive effects – are interpreted and applied in practice. This ongoing discussion continues to shape how abuse of economic dependence is regulated in Belgium.</w:t>
      </w:r>
    </w:p>
    <w:p w14:paraId="70B0E757" w14:textId="6751722D" w:rsidR="0030032D" w:rsidRPr="00F53942" w:rsidRDefault="0030032D" w:rsidP="001A1AD9">
      <w:pPr>
        <w:pStyle w:val="Heading1"/>
        <w:numPr>
          <w:ilvl w:val="0"/>
          <w:numId w:val="1"/>
        </w:numPr>
        <w:tabs>
          <w:tab w:val="left" w:pos="363"/>
        </w:tabs>
        <w:spacing w:after="140" w:line="290" w:lineRule="auto"/>
        <w:ind w:right="6"/>
        <w:jc w:val="both"/>
        <w:rPr>
          <w:sz w:val="20"/>
          <w:szCs w:val="20"/>
        </w:rPr>
      </w:pPr>
      <w:bookmarkStart w:id="24" w:name="_Toc209451794"/>
      <w:r w:rsidRPr="00F53942">
        <w:rPr>
          <w:sz w:val="20"/>
          <w:szCs w:val="20"/>
        </w:rPr>
        <w:t>Enforcement</w:t>
      </w:r>
      <w:bookmarkEnd w:id="24"/>
      <w:r w:rsidRPr="00F53942">
        <w:rPr>
          <w:sz w:val="20"/>
          <w:szCs w:val="20"/>
        </w:rPr>
        <w:t xml:space="preserve"> </w:t>
      </w:r>
    </w:p>
    <w:p w14:paraId="3C6C8172" w14:textId="19F450DA" w:rsidR="005942D5" w:rsidRPr="00F53942" w:rsidRDefault="005942D5" w:rsidP="005942D5">
      <w:pPr>
        <w:widowControl/>
        <w:shd w:val="clear" w:color="auto" w:fill="FFFFFF"/>
        <w:autoSpaceDE/>
        <w:autoSpaceDN/>
        <w:spacing w:after="140" w:line="290" w:lineRule="auto"/>
        <w:jc w:val="both"/>
        <w:rPr>
          <w:color w:val="000000"/>
          <w:sz w:val="20"/>
          <w:szCs w:val="20"/>
        </w:rPr>
      </w:pPr>
      <w:r w:rsidRPr="00F53942">
        <w:rPr>
          <w:color w:val="000000"/>
          <w:sz w:val="20"/>
          <w:szCs w:val="20"/>
        </w:rPr>
        <w:t>The prohibition on the abuse of economic dependence is subject to both public and private enforcement.</w:t>
      </w:r>
      <w:r w:rsidR="00714CCA" w:rsidRPr="00F53942">
        <w:rPr>
          <w:color w:val="000000"/>
          <w:sz w:val="20"/>
          <w:szCs w:val="20"/>
        </w:rPr>
        <w:t xml:space="preserve"> The initiation of one procedure does not exclude the possibility of bringing the other.</w:t>
      </w:r>
      <w:r w:rsidRPr="00F53942">
        <w:rPr>
          <w:color w:val="000000"/>
          <w:sz w:val="20"/>
          <w:szCs w:val="20"/>
        </w:rPr>
        <w:t xml:space="preserve"> </w:t>
      </w:r>
    </w:p>
    <w:p w14:paraId="29AEBDB8" w14:textId="08BFB8D4" w:rsidR="005942D5" w:rsidRPr="00F53942" w:rsidRDefault="005942D5" w:rsidP="001A1AD9">
      <w:pPr>
        <w:pStyle w:val="Heading1"/>
        <w:numPr>
          <w:ilvl w:val="1"/>
          <w:numId w:val="1"/>
        </w:numPr>
        <w:tabs>
          <w:tab w:val="left" w:pos="363"/>
        </w:tabs>
        <w:spacing w:after="140" w:line="290" w:lineRule="auto"/>
        <w:ind w:right="6"/>
        <w:jc w:val="both"/>
        <w:rPr>
          <w:color w:val="000000"/>
          <w:sz w:val="20"/>
          <w:szCs w:val="20"/>
        </w:rPr>
      </w:pPr>
      <w:bookmarkStart w:id="25" w:name="_Toc209451795"/>
      <w:r w:rsidRPr="00F53942">
        <w:rPr>
          <w:color w:val="000000"/>
          <w:sz w:val="20"/>
          <w:szCs w:val="20"/>
        </w:rPr>
        <w:t xml:space="preserve">Public Enforcement by </w:t>
      </w:r>
      <w:r w:rsidR="009776EC" w:rsidRPr="00F53942">
        <w:rPr>
          <w:color w:val="000000"/>
          <w:sz w:val="20"/>
          <w:szCs w:val="20"/>
        </w:rPr>
        <w:t xml:space="preserve">the </w:t>
      </w:r>
      <w:r w:rsidRPr="00F53942">
        <w:rPr>
          <w:color w:val="000000"/>
          <w:sz w:val="20"/>
          <w:szCs w:val="20"/>
        </w:rPr>
        <w:t>Belgian Competition Authority</w:t>
      </w:r>
      <w:bookmarkEnd w:id="25"/>
    </w:p>
    <w:p w14:paraId="298A8454" w14:textId="169496C2" w:rsidR="00F0139C" w:rsidRPr="00F53942" w:rsidRDefault="00F0139C" w:rsidP="005942D5">
      <w:pPr>
        <w:widowControl/>
        <w:shd w:val="clear" w:color="auto" w:fill="FFFFFF"/>
        <w:autoSpaceDE/>
        <w:autoSpaceDN/>
        <w:spacing w:after="140" w:line="290" w:lineRule="auto"/>
        <w:jc w:val="both"/>
        <w:rPr>
          <w:color w:val="000000"/>
          <w:sz w:val="20"/>
          <w:szCs w:val="20"/>
        </w:rPr>
      </w:pPr>
      <w:r w:rsidRPr="00F53942">
        <w:rPr>
          <w:color w:val="000000"/>
          <w:sz w:val="20"/>
          <w:szCs w:val="20"/>
        </w:rPr>
        <w:t>The Belgian Competition Authority (BCA) is responsible for monitoring and enforcing the prohibition o</w:t>
      </w:r>
      <w:r w:rsidR="00312B79" w:rsidRPr="00F53942">
        <w:rPr>
          <w:color w:val="000000"/>
          <w:sz w:val="20"/>
          <w:szCs w:val="20"/>
        </w:rPr>
        <w:t>f</w:t>
      </w:r>
      <w:r w:rsidRPr="00F53942">
        <w:rPr>
          <w:color w:val="000000"/>
          <w:sz w:val="20"/>
          <w:szCs w:val="20"/>
        </w:rPr>
        <w:t xml:space="preserve"> abuse of economic dependence under Article IV.2/1 BCEL. </w:t>
      </w:r>
    </w:p>
    <w:p w14:paraId="56F8DF64" w14:textId="20216B1D" w:rsidR="005942D5" w:rsidRPr="00F53942" w:rsidRDefault="00F0139C" w:rsidP="005942D5">
      <w:pPr>
        <w:widowControl/>
        <w:shd w:val="clear" w:color="auto" w:fill="FFFFFF"/>
        <w:autoSpaceDE/>
        <w:autoSpaceDN/>
        <w:spacing w:after="140" w:line="290" w:lineRule="auto"/>
        <w:jc w:val="both"/>
        <w:rPr>
          <w:sz w:val="20"/>
          <w:szCs w:val="20"/>
        </w:rPr>
      </w:pPr>
      <w:r w:rsidRPr="00F53942">
        <w:rPr>
          <w:color w:val="000000"/>
          <w:sz w:val="20"/>
          <w:szCs w:val="20"/>
        </w:rPr>
        <w:t xml:space="preserve">The BCA may impose fines of up to </w:t>
      </w:r>
      <w:r w:rsidR="00312B79" w:rsidRPr="00F53942">
        <w:rPr>
          <w:color w:val="000000"/>
          <w:sz w:val="20"/>
          <w:szCs w:val="20"/>
        </w:rPr>
        <w:t>2%</w:t>
      </w:r>
      <w:r w:rsidRPr="00F53942">
        <w:rPr>
          <w:color w:val="000000"/>
          <w:sz w:val="20"/>
          <w:szCs w:val="20"/>
        </w:rPr>
        <w:t xml:space="preserve"> of the turnover of </w:t>
      </w:r>
      <w:r w:rsidR="00B224C1">
        <w:rPr>
          <w:color w:val="000000"/>
          <w:sz w:val="20"/>
          <w:szCs w:val="20"/>
        </w:rPr>
        <w:t xml:space="preserve">the </w:t>
      </w:r>
      <w:r w:rsidR="00312B79" w:rsidRPr="00F53942">
        <w:rPr>
          <w:color w:val="000000"/>
          <w:sz w:val="20"/>
          <w:szCs w:val="20"/>
        </w:rPr>
        <w:t>dominating</w:t>
      </w:r>
      <w:r w:rsidRPr="00F53942">
        <w:rPr>
          <w:color w:val="000000"/>
          <w:sz w:val="20"/>
          <w:szCs w:val="20"/>
        </w:rPr>
        <w:t xml:space="preserve"> </w:t>
      </w:r>
      <w:r w:rsidR="00B224C1">
        <w:rPr>
          <w:color w:val="000000"/>
          <w:sz w:val="20"/>
          <w:szCs w:val="20"/>
        </w:rPr>
        <w:t xml:space="preserve">undertaking </w:t>
      </w:r>
      <w:r w:rsidRPr="00F53942">
        <w:rPr>
          <w:color w:val="000000"/>
          <w:sz w:val="20"/>
          <w:szCs w:val="20"/>
        </w:rPr>
        <w:t xml:space="preserve">involved and penalty payments of up to </w:t>
      </w:r>
      <w:r w:rsidR="00312B79" w:rsidRPr="00F53942">
        <w:rPr>
          <w:color w:val="000000"/>
          <w:sz w:val="20"/>
          <w:szCs w:val="20"/>
        </w:rPr>
        <w:t>2%</w:t>
      </w:r>
      <w:r w:rsidRPr="00F53942">
        <w:rPr>
          <w:color w:val="000000"/>
          <w:sz w:val="20"/>
          <w:szCs w:val="20"/>
        </w:rPr>
        <w:t xml:space="preserve"> of the average daily turnover </w:t>
      </w:r>
      <w:r w:rsidR="00B224C1">
        <w:rPr>
          <w:color w:val="000000"/>
          <w:sz w:val="20"/>
          <w:szCs w:val="20"/>
        </w:rPr>
        <w:t xml:space="preserve">of the dominating undertaking </w:t>
      </w:r>
      <w:r w:rsidRPr="00F53942">
        <w:rPr>
          <w:color w:val="000000"/>
          <w:sz w:val="20"/>
          <w:szCs w:val="20"/>
        </w:rPr>
        <w:t>per day of delay</w:t>
      </w:r>
      <w:r w:rsidR="005942D5" w:rsidRPr="00F53942">
        <w:rPr>
          <w:sz w:val="20"/>
          <w:szCs w:val="20"/>
        </w:rPr>
        <w:t>.</w:t>
      </w:r>
      <w:r w:rsidR="005942D5" w:rsidRPr="00F53942">
        <w:rPr>
          <w:rStyle w:val="FootnoteReference"/>
          <w:sz w:val="20"/>
          <w:szCs w:val="20"/>
        </w:rPr>
        <w:footnoteReference w:id="54"/>
      </w:r>
      <w:r w:rsidR="005942D5" w:rsidRPr="00F53942">
        <w:rPr>
          <w:sz w:val="20"/>
          <w:szCs w:val="20"/>
        </w:rPr>
        <w:t xml:space="preserve"> This deviates from the regular sanctioning regime for restrictive competition practices, where the maximum fine is higher.</w:t>
      </w:r>
      <w:r w:rsidR="005942D5" w:rsidRPr="00F53942">
        <w:rPr>
          <w:rStyle w:val="FootnoteReference"/>
          <w:sz w:val="20"/>
          <w:szCs w:val="20"/>
        </w:rPr>
        <w:footnoteReference w:id="55"/>
      </w:r>
    </w:p>
    <w:p w14:paraId="249EE72E" w14:textId="062B4773" w:rsidR="005942D5" w:rsidRPr="00F53942" w:rsidRDefault="005942D5" w:rsidP="005942D5">
      <w:pPr>
        <w:widowControl/>
        <w:shd w:val="clear" w:color="auto" w:fill="FFFFFF"/>
        <w:autoSpaceDE/>
        <w:autoSpaceDN/>
        <w:spacing w:after="140" w:line="290" w:lineRule="auto"/>
        <w:jc w:val="both"/>
        <w:rPr>
          <w:sz w:val="20"/>
          <w:szCs w:val="20"/>
        </w:rPr>
      </w:pPr>
      <w:r w:rsidRPr="00F53942">
        <w:rPr>
          <w:sz w:val="20"/>
          <w:szCs w:val="20"/>
        </w:rPr>
        <w:t xml:space="preserve">The Auditor-General of the BCA </w:t>
      </w:r>
      <w:r w:rsidR="00312B79" w:rsidRPr="00F53942">
        <w:rPr>
          <w:sz w:val="20"/>
          <w:szCs w:val="20"/>
        </w:rPr>
        <w:t>may also invite</w:t>
      </w:r>
      <w:r w:rsidR="00F0139C" w:rsidRPr="00F53942">
        <w:rPr>
          <w:sz w:val="20"/>
          <w:szCs w:val="20"/>
        </w:rPr>
        <w:t xml:space="preserve"> </w:t>
      </w:r>
      <w:r w:rsidRPr="00F53942">
        <w:rPr>
          <w:sz w:val="20"/>
          <w:szCs w:val="20"/>
        </w:rPr>
        <w:t>the dominating undertaking concerned to enter into settlement discussions.</w:t>
      </w:r>
      <w:r w:rsidRPr="00F53942">
        <w:rPr>
          <w:rStyle w:val="FootnoteReference"/>
          <w:sz w:val="20"/>
          <w:szCs w:val="20"/>
        </w:rPr>
        <w:footnoteReference w:id="56"/>
      </w:r>
      <w:r w:rsidRPr="00F53942">
        <w:rPr>
          <w:sz w:val="20"/>
          <w:szCs w:val="20"/>
        </w:rPr>
        <w:t xml:space="preserve"> </w:t>
      </w:r>
      <w:r w:rsidR="00F0139C" w:rsidRPr="00F53942">
        <w:rPr>
          <w:sz w:val="20"/>
          <w:szCs w:val="20"/>
        </w:rPr>
        <w:t>If this leads to a settlement, the undertaking must admit liability and accept the proposed fine.</w:t>
      </w:r>
      <w:r w:rsidR="00F0139C" w:rsidRPr="00F53942">
        <w:rPr>
          <w:rStyle w:val="FootnoteReference"/>
          <w:sz w:val="20"/>
          <w:szCs w:val="20"/>
        </w:rPr>
        <w:footnoteReference w:id="57"/>
      </w:r>
      <w:r w:rsidR="00F0139C" w:rsidRPr="00F53942">
        <w:rPr>
          <w:sz w:val="20"/>
          <w:szCs w:val="20"/>
        </w:rPr>
        <w:t xml:space="preserve"> A reduction of 10% may be granted by the hearing officer</w:t>
      </w:r>
      <w:r w:rsidRPr="00F53942">
        <w:rPr>
          <w:sz w:val="20"/>
          <w:szCs w:val="20"/>
        </w:rPr>
        <w:t>.</w:t>
      </w:r>
      <w:r w:rsidRPr="00F53942">
        <w:rPr>
          <w:rStyle w:val="FootnoteReference"/>
          <w:sz w:val="20"/>
          <w:szCs w:val="20"/>
        </w:rPr>
        <w:footnoteReference w:id="58"/>
      </w:r>
    </w:p>
    <w:p w14:paraId="3B5F197E" w14:textId="3FE7D0A5" w:rsidR="00F0139C" w:rsidRPr="00F0139C" w:rsidRDefault="00F0139C" w:rsidP="00F0139C">
      <w:pPr>
        <w:widowControl/>
        <w:shd w:val="clear" w:color="auto" w:fill="FFFFFF"/>
        <w:autoSpaceDE/>
        <w:autoSpaceDN/>
        <w:spacing w:after="140" w:line="290" w:lineRule="auto"/>
        <w:jc w:val="both"/>
        <w:rPr>
          <w:sz w:val="20"/>
          <w:szCs w:val="20"/>
        </w:rPr>
      </w:pPr>
      <w:r w:rsidRPr="00F0139C">
        <w:rPr>
          <w:sz w:val="20"/>
          <w:szCs w:val="20"/>
        </w:rPr>
        <w:t>The BCA procedure offers certain advantages over court proceedings. Notably, it strives to maintain the anonymity of parties, particularly benefitting complainants concerned about retaliation.</w:t>
      </w:r>
      <w:r w:rsidRPr="00F53942">
        <w:rPr>
          <w:rStyle w:val="FootnoteReference"/>
          <w:sz w:val="20"/>
          <w:szCs w:val="20"/>
        </w:rPr>
        <w:footnoteReference w:id="59"/>
      </w:r>
      <w:r w:rsidRPr="00F53942">
        <w:rPr>
          <w:sz w:val="20"/>
          <w:szCs w:val="20"/>
        </w:rPr>
        <w:t xml:space="preserve"> </w:t>
      </w:r>
      <w:r w:rsidRPr="00F0139C">
        <w:rPr>
          <w:sz w:val="20"/>
          <w:szCs w:val="20"/>
        </w:rPr>
        <w:t>The BCA can issue provisional measures swiftly, generally within two months, and its proceedings are free of charge.</w:t>
      </w:r>
      <w:r w:rsidRPr="00F53942">
        <w:rPr>
          <w:rStyle w:val="FootnoteReference"/>
          <w:sz w:val="20"/>
          <w:szCs w:val="20"/>
        </w:rPr>
        <w:footnoteReference w:id="60"/>
      </w:r>
    </w:p>
    <w:p w14:paraId="1BE83989" w14:textId="12F9F8B7" w:rsidR="005942D5" w:rsidRPr="00F53942" w:rsidRDefault="00F0139C" w:rsidP="005942D5">
      <w:pPr>
        <w:widowControl/>
        <w:shd w:val="clear" w:color="auto" w:fill="FFFFFF"/>
        <w:autoSpaceDE/>
        <w:autoSpaceDN/>
        <w:spacing w:after="140" w:line="290" w:lineRule="auto"/>
        <w:jc w:val="both"/>
        <w:rPr>
          <w:sz w:val="20"/>
          <w:szCs w:val="20"/>
        </w:rPr>
      </w:pPr>
      <w:r w:rsidRPr="00F0139C">
        <w:rPr>
          <w:sz w:val="20"/>
          <w:szCs w:val="20"/>
        </w:rPr>
        <w:t xml:space="preserve">Since this prohibition came into force, the BCA has not adopted any decisions. </w:t>
      </w:r>
      <w:r w:rsidR="008E014F" w:rsidRPr="00F53942">
        <w:rPr>
          <w:sz w:val="20"/>
          <w:szCs w:val="20"/>
        </w:rPr>
        <w:t>In 2023, it initiated a single investigation that did not result in further action, and to date, it has issued just one amicus curiae opinion</w:t>
      </w:r>
      <w:r w:rsidRPr="00F53942">
        <w:rPr>
          <w:rStyle w:val="FootnoteReference"/>
          <w:color w:val="000000"/>
          <w:sz w:val="20"/>
          <w:szCs w:val="20"/>
        </w:rPr>
        <w:footnoteReference w:id="61"/>
      </w:r>
      <w:r w:rsidRPr="00F0139C">
        <w:rPr>
          <w:sz w:val="20"/>
          <w:szCs w:val="20"/>
        </w:rPr>
        <w:t xml:space="preserve">. </w:t>
      </w:r>
      <w:r w:rsidR="008E014F" w:rsidRPr="00F53942">
        <w:rPr>
          <w:sz w:val="20"/>
          <w:szCs w:val="20"/>
        </w:rPr>
        <w:t xml:space="preserve">Despite listing abuse of economic dependence as a priority area for three years, the BCA’s administrative activity has been limited. This likely reflects the BCA’s practice of intervening only in matters with a demonstrable impact, </w:t>
      </w:r>
      <w:r w:rsidR="003F0E9F" w:rsidRPr="00F53942">
        <w:rPr>
          <w:sz w:val="20"/>
          <w:szCs w:val="20"/>
        </w:rPr>
        <w:t>whereas</w:t>
      </w:r>
      <w:r w:rsidR="008E014F" w:rsidRPr="00F53942">
        <w:rPr>
          <w:sz w:val="20"/>
          <w:szCs w:val="20"/>
        </w:rPr>
        <w:t xml:space="preserve"> </w:t>
      </w:r>
      <w:r w:rsidR="00215262">
        <w:rPr>
          <w:sz w:val="20"/>
          <w:szCs w:val="20"/>
        </w:rPr>
        <w:t>A</w:t>
      </w:r>
      <w:r w:rsidR="008E014F" w:rsidRPr="00F53942">
        <w:rPr>
          <w:sz w:val="20"/>
          <w:szCs w:val="20"/>
        </w:rPr>
        <w:t>rticle IV.2/1 BCEL may apply in cases involving minor potential distortions of competition. Nevertheless, it is reported that the BCA has drawn on complaints received to develop practical insights and an evolving analytical framework.</w:t>
      </w:r>
      <w:r w:rsidR="005942D5" w:rsidRPr="00F53942">
        <w:rPr>
          <w:rStyle w:val="FootnoteReference"/>
          <w:color w:val="000000"/>
          <w:sz w:val="20"/>
          <w:szCs w:val="20"/>
        </w:rPr>
        <w:footnoteReference w:id="62"/>
      </w:r>
    </w:p>
    <w:p w14:paraId="36F4012E" w14:textId="26CBBAED" w:rsidR="005942D5" w:rsidRPr="00F53942" w:rsidRDefault="005942D5" w:rsidP="001A1AD9">
      <w:pPr>
        <w:pStyle w:val="Heading1"/>
        <w:numPr>
          <w:ilvl w:val="1"/>
          <w:numId w:val="1"/>
        </w:numPr>
        <w:tabs>
          <w:tab w:val="left" w:pos="363"/>
        </w:tabs>
        <w:spacing w:after="140" w:line="290" w:lineRule="auto"/>
        <w:ind w:right="6"/>
        <w:jc w:val="both"/>
        <w:rPr>
          <w:sz w:val="20"/>
          <w:szCs w:val="20"/>
        </w:rPr>
      </w:pPr>
      <w:bookmarkStart w:id="26" w:name="_Toc209451796"/>
      <w:r w:rsidRPr="00F53942">
        <w:rPr>
          <w:color w:val="000000"/>
          <w:sz w:val="20"/>
          <w:szCs w:val="20"/>
        </w:rPr>
        <w:t>Private Enforcement</w:t>
      </w:r>
      <w:r w:rsidR="009776EC" w:rsidRPr="00F53942">
        <w:rPr>
          <w:color w:val="000000"/>
          <w:sz w:val="20"/>
          <w:szCs w:val="20"/>
        </w:rPr>
        <w:t xml:space="preserve"> by Belgian Courts</w:t>
      </w:r>
      <w:bookmarkEnd w:id="26"/>
    </w:p>
    <w:p w14:paraId="364288DF" w14:textId="12811C50" w:rsidR="001B5379" w:rsidRPr="00F53942" w:rsidRDefault="0079456E" w:rsidP="000B796D">
      <w:pPr>
        <w:widowControl/>
        <w:shd w:val="clear" w:color="auto" w:fill="FFFFFF"/>
        <w:autoSpaceDE/>
        <w:autoSpaceDN/>
        <w:spacing w:after="140" w:line="290" w:lineRule="auto"/>
        <w:jc w:val="both"/>
        <w:rPr>
          <w:sz w:val="20"/>
          <w:szCs w:val="20"/>
        </w:rPr>
      </w:pPr>
      <w:r w:rsidRPr="00F53942">
        <w:rPr>
          <w:color w:val="000000"/>
          <w:sz w:val="20"/>
          <w:szCs w:val="20"/>
        </w:rPr>
        <w:t xml:space="preserve">The dependent undertaking </w:t>
      </w:r>
      <w:r w:rsidR="00F0139C" w:rsidRPr="00F53942">
        <w:rPr>
          <w:color w:val="000000"/>
          <w:sz w:val="20"/>
          <w:szCs w:val="20"/>
        </w:rPr>
        <w:t>may bring actions before the enterprise court for a variety of remedies</w:t>
      </w:r>
      <w:r w:rsidRPr="00F53942">
        <w:rPr>
          <w:color w:val="000000"/>
          <w:sz w:val="20"/>
          <w:szCs w:val="20"/>
        </w:rPr>
        <w:t>. Contrary to public law</w:t>
      </w:r>
      <w:r w:rsidR="00D67681">
        <w:rPr>
          <w:color w:val="000000"/>
          <w:sz w:val="20"/>
          <w:szCs w:val="20"/>
        </w:rPr>
        <w:t xml:space="preserve"> </w:t>
      </w:r>
      <w:r w:rsidRPr="00F53942">
        <w:rPr>
          <w:color w:val="000000"/>
          <w:sz w:val="20"/>
          <w:szCs w:val="20"/>
        </w:rPr>
        <w:t xml:space="preserve">enforcement, </w:t>
      </w:r>
      <w:r w:rsidR="001B5379" w:rsidRPr="00F53942">
        <w:rPr>
          <w:sz w:val="20"/>
          <w:szCs w:val="20"/>
        </w:rPr>
        <w:t>the anonymity of the dependent undertaking is not guaranteed</w:t>
      </w:r>
      <w:r w:rsidRPr="00F53942">
        <w:rPr>
          <w:sz w:val="20"/>
          <w:szCs w:val="20"/>
        </w:rPr>
        <w:t xml:space="preserve"> in the context of private </w:t>
      </w:r>
      <w:r w:rsidRPr="00F53942">
        <w:rPr>
          <w:sz w:val="20"/>
          <w:szCs w:val="20"/>
        </w:rPr>
        <w:lastRenderedPageBreak/>
        <w:t>enforcement</w:t>
      </w:r>
      <w:r w:rsidR="001B5379" w:rsidRPr="00F53942">
        <w:rPr>
          <w:sz w:val="20"/>
          <w:szCs w:val="20"/>
        </w:rPr>
        <w:t xml:space="preserve">. </w:t>
      </w:r>
      <w:r w:rsidRPr="00F53942">
        <w:rPr>
          <w:sz w:val="20"/>
          <w:szCs w:val="20"/>
        </w:rPr>
        <w:t>Practice however shows that undertakings turn more often towards civil courts for any case of abuse of economic dependency</w:t>
      </w:r>
      <w:r w:rsidR="001B5379" w:rsidRPr="00F53942">
        <w:rPr>
          <w:sz w:val="20"/>
          <w:szCs w:val="20"/>
        </w:rPr>
        <w:t>.</w:t>
      </w:r>
    </w:p>
    <w:p w14:paraId="181DC735" w14:textId="61B85462" w:rsidR="004E387E" w:rsidRPr="00F53942" w:rsidRDefault="00F0139C" w:rsidP="005942D5">
      <w:pPr>
        <w:widowControl/>
        <w:shd w:val="clear" w:color="auto" w:fill="FFFFFF"/>
        <w:autoSpaceDE/>
        <w:autoSpaceDN/>
        <w:spacing w:after="140" w:line="290" w:lineRule="auto"/>
        <w:jc w:val="both"/>
        <w:rPr>
          <w:color w:val="000000"/>
          <w:sz w:val="20"/>
          <w:szCs w:val="20"/>
        </w:rPr>
      </w:pPr>
      <w:r w:rsidRPr="00F53942">
        <w:rPr>
          <w:color w:val="000000"/>
          <w:sz w:val="20"/>
          <w:szCs w:val="20"/>
        </w:rPr>
        <w:t>Sanctions available to civil courts differ from those of the BCA and include</w:t>
      </w:r>
      <w:r w:rsidR="00D67681">
        <w:rPr>
          <w:color w:val="000000"/>
          <w:sz w:val="20"/>
          <w:szCs w:val="20"/>
        </w:rPr>
        <w:t xml:space="preserve"> the following</w:t>
      </w:r>
      <w:r w:rsidR="0079456E" w:rsidRPr="00F53942">
        <w:rPr>
          <w:color w:val="000000"/>
          <w:sz w:val="20"/>
          <w:szCs w:val="20"/>
        </w:rPr>
        <w:t xml:space="preserve">: </w:t>
      </w:r>
    </w:p>
    <w:p w14:paraId="51C32709" w14:textId="7A0A2C25" w:rsidR="009776EC" w:rsidRPr="00F53942" w:rsidRDefault="00D67681" w:rsidP="004E387E">
      <w:pPr>
        <w:pStyle w:val="ListParagraph"/>
        <w:widowControl/>
        <w:numPr>
          <w:ilvl w:val="0"/>
          <w:numId w:val="13"/>
        </w:numPr>
        <w:shd w:val="clear" w:color="auto" w:fill="FFFFFF"/>
        <w:autoSpaceDE/>
        <w:autoSpaceDN/>
        <w:spacing w:after="140" w:line="290" w:lineRule="auto"/>
        <w:jc w:val="both"/>
        <w:rPr>
          <w:color w:val="000000"/>
          <w:sz w:val="20"/>
          <w:szCs w:val="20"/>
        </w:rPr>
      </w:pPr>
      <w:r>
        <w:rPr>
          <w:color w:val="000000"/>
          <w:sz w:val="20"/>
          <w:szCs w:val="20"/>
        </w:rPr>
        <w:t>Courts</w:t>
      </w:r>
      <w:r w:rsidR="00F0139C" w:rsidRPr="00F53942">
        <w:rPr>
          <w:color w:val="000000"/>
          <w:sz w:val="20"/>
          <w:szCs w:val="20"/>
        </w:rPr>
        <w:t xml:space="preserve"> can </w:t>
      </w:r>
      <w:r w:rsidR="0016656F" w:rsidRPr="00F53942">
        <w:rPr>
          <w:color w:val="000000"/>
          <w:sz w:val="20"/>
          <w:szCs w:val="20"/>
        </w:rPr>
        <w:t>put a stop</w:t>
      </w:r>
      <w:r w:rsidR="00F0139C" w:rsidRPr="00F53942">
        <w:rPr>
          <w:color w:val="000000"/>
          <w:sz w:val="20"/>
          <w:szCs w:val="20"/>
        </w:rPr>
        <w:t xml:space="preserve"> to the abuse </w:t>
      </w:r>
      <w:r w:rsidR="0016656F" w:rsidRPr="00F53942">
        <w:rPr>
          <w:color w:val="000000"/>
          <w:sz w:val="20"/>
          <w:szCs w:val="20"/>
        </w:rPr>
        <w:t>by ordering</w:t>
      </w:r>
      <w:r w:rsidR="00F0139C" w:rsidRPr="00F53942">
        <w:rPr>
          <w:color w:val="000000"/>
          <w:sz w:val="20"/>
          <w:szCs w:val="20"/>
        </w:rPr>
        <w:t xml:space="preserve"> injunctions, with potential publication of the judgment and accompanying penalty payments to ensure compliance.</w:t>
      </w:r>
      <w:r w:rsidR="009776EC" w:rsidRPr="00F53942">
        <w:rPr>
          <w:rStyle w:val="FootnoteReference"/>
          <w:sz w:val="20"/>
          <w:szCs w:val="20"/>
        </w:rPr>
        <w:footnoteReference w:id="63"/>
      </w:r>
      <w:r w:rsidR="0016656F" w:rsidRPr="00F53942">
        <w:rPr>
          <w:rFonts w:ascii="Helvetica" w:hAnsi="Helvetica"/>
          <w:color w:val="000000"/>
          <w:sz w:val="20"/>
          <w:szCs w:val="20"/>
          <w:shd w:val="clear" w:color="auto" w:fill="FFFFFF"/>
        </w:rPr>
        <w:t xml:space="preserve"> </w:t>
      </w:r>
      <w:r w:rsidR="0016656F" w:rsidRPr="00F53942">
        <w:rPr>
          <w:color w:val="000000"/>
          <w:sz w:val="20"/>
          <w:szCs w:val="20"/>
        </w:rPr>
        <w:t>The publication of the judgment and the threat of penalty payments serve not only to deter further violations, but also to inform the market and other stakeholders of the unlawful conduct. This immediate judicial intervention is often preferred because it can rapidly halt ongoing harm and prevent its escalation, providing timely protection to the affected business. Indeed,</w:t>
      </w:r>
      <w:r w:rsidR="0016656F" w:rsidRPr="00F53942">
        <w:rPr>
          <w:sz w:val="20"/>
          <w:szCs w:val="20"/>
        </w:rPr>
        <w:t xml:space="preserve"> case law demonstrates that injunctions are frequently among the first remedies sought by companies that find themselves victims of abuse of economic dependence.</w:t>
      </w:r>
      <w:r w:rsidR="0016656F" w:rsidRPr="00F53942">
        <w:rPr>
          <w:rStyle w:val="FootnoteReference"/>
          <w:sz w:val="20"/>
          <w:szCs w:val="20"/>
        </w:rPr>
        <w:footnoteReference w:id="64"/>
      </w:r>
    </w:p>
    <w:p w14:paraId="1C693201" w14:textId="72C0C4D7" w:rsidR="001B5379" w:rsidRPr="00F53942" w:rsidRDefault="00D67681" w:rsidP="004E387E">
      <w:pPr>
        <w:pStyle w:val="ListParagraph"/>
        <w:widowControl/>
        <w:numPr>
          <w:ilvl w:val="0"/>
          <w:numId w:val="13"/>
        </w:numPr>
        <w:shd w:val="clear" w:color="auto" w:fill="FFFFFF"/>
        <w:autoSpaceDE/>
        <w:autoSpaceDN/>
        <w:spacing w:after="140" w:line="290" w:lineRule="auto"/>
        <w:jc w:val="both"/>
        <w:rPr>
          <w:sz w:val="20"/>
          <w:szCs w:val="20"/>
        </w:rPr>
      </w:pPr>
      <w:r>
        <w:rPr>
          <w:color w:val="000000"/>
          <w:sz w:val="20"/>
          <w:szCs w:val="20"/>
        </w:rPr>
        <w:t>Courts</w:t>
      </w:r>
      <w:r w:rsidR="00F0139C" w:rsidRPr="00F53942">
        <w:rPr>
          <w:color w:val="000000"/>
          <w:sz w:val="20"/>
          <w:szCs w:val="20"/>
        </w:rPr>
        <w:t xml:space="preserve"> may annul (entirely or partly) contracts concluded as a result of abuse</w:t>
      </w:r>
      <w:r w:rsidR="00276C8F" w:rsidRPr="00F53942">
        <w:rPr>
          <w:color w:val="000000"/>
          <w:sz w:val="20"/>
          <w:szCs w:val="20"/>
        </w:rPr>
        <w:t xml:space="preserve"> of economic dependence</w:t>
      </w:r>
      <w:r w:rsidR="00F0139C" w:rsidRPr="00F53942">
        <w:rPr>
          <w:color w:val="000000"/>
          <w:sz w:val="20"/>
          <w:szCs w:val="20"/>
        </w:rPr>
        <w:t>, with restitution of performances already rendered, if the abuse influenced the agreement</w:t>
      </w:r>
      <w:r w:rsidR="00993465" w:rsidRPr="00F53942">
        <w:rPr>
          <w:color w:val="000000"/>
          <w:sz w:val="20"/>
          <w:szCs w:val="20"/>
        </w:rPr>
        <w:t>’</w:t>
      </w:r>
      <w:r w:rsidR="00F0139C" w:rsidRPr="00F53942">
        <w:rPr>
          <w:color w:val="000000"/>
          <w:sz w:val="20"/>
          <w:szCs w:val="20"/>
        </w:rPr>
        <w:t>s conclusion or validity.</w:t>
      </w:r>
      <w:r w:rsidR="00F0139C" w:rsidRPr="00F53942">
        <w:rPr>
          <w:rStyle w:val="FootnoteReference"/>
          <w:sz w:val="20"/>
          <w:szCs w:val="20"/>
        </w:rPr>
        <w:footnoteReference w:id="65"/>
      </w:r>
      <w:r w:rsidR="001B5379" w:rsidRPr="00F53942">
        <w:rPr>
          <w:sz w:val="20"/>
          <w:szCs w:val="20"/>
        </w:rPr>
        <w:t xml:space="preserve"> </w:t>
      </w:r>
    </w:p>
    <w:p w14:paraId="611423D3" w14:textId="790659E8" w:rsidR="001B5379" w:rsidRPr="00F53942" w:rsidRDefault="00F0139C" w:rsidP="004E387E">
      <w:pPr>
        <w:pStyle w:val="ListParagraph"/>
        <w:widowControl/>
        <w:numPr>
          <w:ilvl w:val="0"/>
          <w:numId w:val="13"/>
        </w:numPr>
        <w:shd w:val="clear" w:color="auto" w:fill="FFFFFF"/>
        <w:autoSpaceDE/>
        <w:autoSpaceDN/>
        <w:spacing w:after="140" w:line="290" w:lineRule="auto"/>
        <w:jc w:val="both"/>
        <w:rPr>
          <w:sz w:val="20"/>
          <w:szCs w:val="20"/>
          <w:u w:val="single"/>
        </w:rPr>
      </w:pPr>
      <w:r w:rsidRPr="00F53942">
        <w:rPr>
          <w:sz w:val="20"/>
          <w:szCs w:val="20"/>
        </w:rPr>
        <w:t>Injured parties may claim full compensation for damage suffered, either individually or as part of collective redress, provided fault, damage, and causation are established.</w:t>
      </w:r>
      <w:r w:rsidRPr="00F53942">
        <w:rPr>
          <w:rStyle w:val="FootnoteReference"/>
          <w:sz w:val="20"/>
          <w:szCs w:val="20"/>
        </w:rPr>
        <w:footnoteReference w:id="66"/>
      </w:r>
      <w:r w:rsidRPr="00F53942">
        <w:rPr>
          <w:sz w:val="20"/>
          <w:szCs w:val="20"/>
        </w:rPr>
        <w:t xml:space="preserve"> If </w:t>
      </w:r>
      <w:r w:rsidR="00714CCA" w:rsidRPr="00F53942">
        <w:rPr>
          <w:sz w:val="20"/>
          <w:szCs w:val="20"/>
        </w:rPr>
        <w:t>the</w:t>
      </w:r>
      <w:r w:rsidRPr="00F53942">
        <w:rPr>
          <w:sz w:val="20"/>
          <w:szCs w:val="20"/>
        </w:rPr>
        <w:t xml:space="preserve"> BCA </w:t>
      </w:r>
      <w:r w:rsidR="00714CCA" w:rsidRPr="00F53942">
        <w:rPr>
          <w:sz w:val="20"/>
          <w:szCs w:val="20"/>
        </w:rPr>
        <w:t>has first established an infringement of Article IV.2/1 BCEL</w:t>
      </w:r>
      <w:r w:rsidRPr="00F53942">
        <w:rPr>
          <w:sz w:val="20"/>
          <w:szCs w:val="20"/>
        </w:rPr>
        <w:t>, this creates a presumption for civil proceedings</w:t>
      </w:r>
      <w:r w:rsidR="00714CCA" w:rsidRPr="00F53942">
        <w:rPr>
          <w:sz w:val="20"/>
          <w:szCs w:val="20"/>
        </w:rPr>
        <w:t>. Nevertheless</w:t>
      </w:r>
      <w:r w:rsidRPr="00F53942">
        <w:rPr>
          <w:sz w:val="20"/>
          <w:szCs w:val="20"/>
        </w:rPr>
        <w:t xml:space="preserve">, fault </w:t>
      </w:r>
      <w:r w:rsidR="00714CCA" w:rsidRPr="00F53942">
        <w:rPr>
          <w:sz w:val="20"/>
          <w:szCs w:val="20"/>
        </w:rPr>
        <w:t xml:space="preserve">will </w:t>
      </w:r>
      <w:r w:rsidRPr="00F53942">
        <w:rPr>
          <w:sz w:val="20"/>
          <w:szCs w:val="20"/>
        </w:rPr>
        <w:t xml:space="preserve">still need to be </w:t>
      </w:r>
      <w:r w:rsidR="00714CCA" w:rsidRPr="00F53942">
        <w:rPr>
          <w:sz w:val="20"/>
          <w:szCs w:val="20"/>
        </w:rPr>
        <w:t>demonstrated</w:t>
      </w:r>
      <w:r w:rsidRPr="00F53942">
        <w:rPr>
          <w:sz w:val="20"/>
          <w:szCs w:val="20"/>
        </w:rPr>
        <w:t xml:space="preserve">, </w:t>
      </w:r>
      <w:r w:rsidR="00714CCA" w:rsidRPr="00F53942">
        <w:rPr>
          <w:sz w:val="20"/>
          <w:szCs w:val="20"/>
        </w:rPr>
        <w:t>which generally requires showing that the infringement of Article IV.2/1 BCEL was committed knowingly and intentionally</w:t>
      </w:r>
      <w:r w:rsidRPr="00F53942">
        <w:rPr>
          <w:sz w:val="20"/>
          <w:szCs w:val="20"/>
        </w:rPr>
        <w:t>.</w:t>
      </w:r>
      <w:r w:rsidR="001B5379" w:rsidRPr="00F53942">
        <w:rPr>
          <w:sz w:val="20"/>
          <w:szCs w:val="20"/>
        </w:rPr>
        <w:t xml:space="preserve"> </w:t>
      </w:r>
    </w:p>
    <w:p w14:paraId="404BF301" w14:textId="48EC837F" w:rsidR="009776EC" w:rsidRPr="00F53942" w:rsidRDefault="00276C8F" w:rsidP="00276C8F">
      <w:pPr>
        <w:pStyle w:val="ListParagraph"/>
        <w:widowControl/>
        <w:numPr>
          <w:ilvl w:val="0"/>
          <w:numId w:val="13"/>
        </w:numPr>
        <w:autoSpaceDE/>
        <w:autoSpaceDN/>
        <w:spacing w:after="140" w:line="290" w:lineRule="auto"/>
        <w:jc w:val="both"/>
        <w:rPr>
          <w:sz w:val="20"/>
          <w:szCs w:val="20"/>
          <w:lang w:val="en-US"/>
        </w:rPr>
      </w:pPr>
      <w:r w:rsidRPr="00F53942">
        <w:rPr>
          <w:color w:val="000000"/>
          <w:sz w:val="20"/>
          <w:szCs w:val="20"/>
        </w:rPr>
        <w:t>Since 2018, it has been possible for SMEs to participate in collective actions in Belgium. SMEs cannot themselves initiate a collective redress procedure; this must be done through a group representative, as set out in Book XVII BCEL.</w:t>
      </w:r>
      <w:r w:rsidRPr="00F53942">
        <w:rPr>
          <w:rStyle w:val="FootnoteReference"/>
          <w:sz w:val="20"/>
          <w:szCs w:val="20"/>
        </w:rPr>
        <w:footnoteReference w:id="67"/>
      </w:r>
      <w:r w:rsidRPr="00F53942">
        <w:rPr>
          <w:color w:val="000000"/>
          <w:sz w:val="20"/>
          <w:szCs w:val="20"/>
        </w:rPr>
        <w:t xml:space="preserve"> </w:t>
      </w:r>
      <w:r w:rsidRPr="00F53942">
        <w:rPr>
          <w:sz w:val="20"/>
          <w:szCs w:val="20"/>
          <w:lang w:val="en-US"/>
        </w:rPr>
        <w:t>The collective redress procedure appears particularly useful where individual damages are relatively minor compared to the costs associated with separate legal actions by each injured party.</w:t>
      </w:r>
      <w:r w:rsidRPr="00F53942">
        <w:rPr>
          <w:rStyle w:val="FootnoteReference"/>
          <w:sz w:val="20"/>
          <w:szCs w:val="20"/>
          <w:lang w:val="en-US"/>
        </w:rPr>
        <w:footnoteReference w:id="68"/>
      </w:r>
      <w:r w:rsidRPr="00F53942">
        <w:rPr>
          <w:sz w:val="20"/>
          <w:szCs w:val="20"/>
          <w:lang w:val="en-US"/>
        </w:rPr>
        <w:t xml:space="preserve"> The introduction of these new rules for collective actions in competition law aims to promote private enforcement of competition law and improve access to justice.</w:t>
      </w:r>
      <w:r w:rsidRPr="00F53942">
        <w:rPr>
          <w:rStyle w:val="FootnoteReference"/>
          <w:sz w:val="20"/>
          <w:szCs w:val="20"/>
          <w:lang w:val="en-US"/>
        </w:rPr>
        <w:footnoteReference w:id="69"/>
      </w:r>
      <w:r w:rsidRPr="00F53942">
        <w:rPr>
          <w:sz w:val="20"/>
          <w:szCs w:val="20"/>
          <w:lang w:val="en-US"/>
        </w:rPr>
        <w:t xml:space="preserve"> However, to date, no collective action has been initiated by SMEs for breaches of Article IV.2/1 BCEL, so it is too early to assess the effectiveness of this mechanism.</w:t>
      </w:r>
    </w:p>
    <w:p w14:paraId="3419CF0D" w14:textId="1DF957FB" w:rsidR="0013290F" w:rsidRPr="00F53942" w:rsidRDefault="00F0139C" w:rsidP="0016656F">
      <w:pPr>
        <w:pStyle w:val="ListParagraph"/>
        <w:widowControl/>
        <w:numPr>
          <w:ilvl w:val="0"/>
          <w:numId w:val="13"/>
        </w:numPr>
        <w:shd w:val="clear" w:color="auto" w:fill="FFFFFF"/>
        <w:autoSpaceDE/>
        <w:autoSpaceDN/>
        <w:spacing w:after="140" w:line="290" w:lineRule="auto"/>
        <w:jc w:val="both"/>
        <w:rPr>
          <w:sz w:val="20"/>
          <w:szCs w:val="20"/>
        </w:rPr>
      </w:pPr>
      <w:r w:rsidRPr="00F53942">
        <w:rPr>
          <w:sz w:val="20"/>
          <w:szCs w:val="20"/>
        </w:rPr>
        <w:t xml:space="preserve">Courts can also modify unfair commercial relationships. </w:t>
      </w:r>
      <w:r w:rsidR="003F0E9F" w:rsidRPr="00F53942">
        <w:rPr>
          <w:sz w:val="20"/>
          <w:szCs w:val="20"/>
        </w:rPr>
        <w:t>For example, w</w:t>
      </w:r>
      <w:r w:rsidRPr="00F53942">
        <w:rPr>
          <w:sz w:val="20"/>
          <w:szCs w:val="20"/>
        </w:rPr>
        <w:t>here unfair contractual terms are imposed, courts may declare them void or revise them, ensuring the contract remains otherwise valid</w:t>
      </w:r>
      <w:r w:rsidR="0013290F" w:rsidRPr="00F53942">
        <w:rPr>
          <w:sz w:val="20"/>
          <w:szCs w:val="20"/>
        </w:rPr>
        <w:t>.</w:t>
      </w:r>
      <w:r w:rsidR="0013290F" w:rsidRPr="00F53942">
        <w:rPr>
          <w:rStyle w:val="FootnoteReference"/>
          <w:sz w:val="20"/>
          <w:szCs w:val="20"/>
        </w:rPr>
        <w:footnoteReference w:id="70"/>
      </w:r>
      <w:r w:rsidR="0013290F" w:rsidRPr="00F53942">
        <w:rPr>
          <w:sz w:val="20"/>
          <w:szCs w:val="20"/>
        </w:rPr>
        <w:t xml:space="preserve"> </w:t>
      </w:r>
    </w:p>
    <w:p w14:paraId="743A309B" w14:textId="101C7F7D" w:rsidR="00F0139C" w:rsidRPr="00F53942" w:rsidRDefault="00F0139C" w:rsidP="0013290F">
      <w:pPr>
        <w:widowControl/>
        <w:shd w:val="clear" w:color="auto" w:fill="FFFFFF"/>
        <w:autoSpaceDE/>
        <w:autoSpaceDN/>
        <w:spacing w:after="140" w:line="290" w:lineRule="auto"/>
        <w:jc w:val="both"/>
        <w:rPr>
          <w:sz w:val="20"/>
          <w:szCs w:val="20"/>
        </w:rPr>
      </w:pPr>
      <w:r w:rsidRPr="00F53942">
        <w:rPr>
          <w:sz w:val="20"/>
          <w:szCs w:val="20"/>
        </w:rPr>
        <w:t xml:space="preserve">Although there is somewhat more activity in private enforcement than public, it remains limited. Since the prohibition’s adoption, courts have issued </w:t>
      </w:r>
      <w:r w:rsidR="003F0E9F" w:rsidRPr="00F53942">
        <w:rPr>
          <w:sz w:val="20"/>
          <w:szCs w:val="20"/>
        </w:rPr>
        <w:t>only</w:t>
      </w:r>
      <w:r w:rsidRPr="00F53942">
        <w:rPr>
          <w:sz w:val="20"/>
          <w:szCs w:val="20"/>
        </w:rPr>
        <w:t xml:space="preserve"> handful of judgements: one </w:t>
      </w:r>
      <w:r w:rsidR="001C7663" w:rsidRPr="00F53942">
        <w:rPr>
          <w:sz w:val="20"/>
          <w:szCs w:val="20"/>
        </w:rPr>
        <w:t>by</w:t>
      </w:r>
      <w:r w:rsidRPr="00F53942">
        <w:rPr>
          <w:sz w:val="20"/>
          <w:szCs w:val="20"/>
        </w:rPr>
        <w:t xml:space="preserve"> the Supreme Court</w:t>
      </w:r>
      <w:r w:rsidR="001C7663" w:rsidRPr="00F53942">
        <w:rPr>
          <w:sz w:val="20"/>
          <w:szCs w:val="20"/>
        </w:rPr>
        <w:t xml:space="preserve"> clarifying that abuse of economic dependence does not require the existence of a contractual relationship</w:t>
      </w:r>
      <w:r w:rsidR="00D41E8B" w:rsidRPr="00F53942">
        <w:rPr>
          <w:rStyle w:val="FootnoteReference"/>
          <w:sz w:val="20"/>
          <w:szCs w:val="20"/>
        </w:rPr>
        <w:footnoteReference w:id="71"/>
      </w:r>
      <w:r w:rsidRPr="00F53942">
        <w:rPr>
          <w:sz w:val="20"/>
          <w:szCs w:val="20"/>
        </w:rPr>
        <w:t xml:space="preserve">, one by the </w:t>
      </w:r>
      <w:r w:rsidR="001C7663" w:rsidRPr="00F53942">
        <w:rPr>
          <w:sz w:val="20"/>
          <w:szCs w:val="20"/>
        </w:rPr>
        <w:t>c</w:t>
      </w:r>
      <w:r w:rsidRPr="00F53942">
        <w:rPr>
          <w:sz w:val="20"/>
          <w:szCs w:val="20"/>
        </w:rPr>
        <w:t xml:space="preserve">ourt of </w:t>
      </w:r>
      <w:r w:rsidR="001C7663" w:rsidRPr="00F53942">
        <w:rPr>
          <w:sz w:val="20"/>
          <w:szCs w:val="20"/>
        </w:rPr>
        <w:lastRenderedPageBreak/>
        <w:t>a</w:t>
      </w:r>
      <w:r w:rsidRPr="00F53942">
        <w:rPr>
          <w:sz w:val="20"/>
          <w:szCs w:val="20"/>
        </w:rPr>
        <w:t>ppeal in Brussels</w:t>
      </w:r>
      <w:r w:rsidR="00D41E8B" w:rsidRPr="00F53942">
        <w:rPr>
          <w:rStyle w:val="FootnoteReference"/>
          <w:sz w:val="20"/>
          <w:szCs w:val="20"/>
        </w:rPr>
        <w:footnoteReference w:id="72"/>
      </w:r>
      <w:r w:rsidRPr="00F53942">
        <w:rPr>
          <w:sz w:val="20"/>
          <w:szCs w:val="20"/>
        </w:rPr>
        <w:t xml:space="preserve">, </w:t>
      </w:r>
      <w:r w:rsidR="001C7663" w:rsidRPr="00F53942">
        <w:rPr>
          <w:sz w:val="20"/>
          <w:szCs w:val="20"/>
        </w:rPr>
        <w:t xml:space="preserve">one </w:t>
      </w:r>
      <w:r w:rsidR="00D41E8B" w:rsidRPr="00F53942">
        <w:rPr>
          <w:sz w:val="20"/>
          <w:szCs w:val="20"/>
        </w:rPr>
        <w:t>by the court of Appeal in</w:t>
      </w:r>
      <w:r w:rsidRPr="00F53942">
        <w:rPr>
          <w:sz w:val="20"/>
          <w:szCs w:val="20"/>
        </w:rPr>
        <w:t xml:space="preserve"> Antwerp</w:t>
      </w:r>
      <w:r w:rsidR="00D41E8B" w:rsidRPr="00F53942">
        <w:rPr>
          <w:rStyle w:val="FootnoteReference"/>
          <w:sz w:val="20"/>
          <w:szCs w:val="20"/>
        </w:rPr>
        <w:footnoteReference w:id="73"/>
      </w:r>
      <w:r w:rsidRPr="00F53942">
        <w:rPr>
          <w:sz w:val="20"/>
          <w:szCs w:val="20"/>
        </w:rPr>
        <w:t xml:space="preserve">, one </w:t>
      </w:r>
      <w:r w:rsidR="001C7663" w:rsidRPr="00F53942">
        <w:rPr>
          <w:sz w:val="20"/>
          <w:szCs w:val="20"/>
        </w:rPr>
        <w:t>by the court of appeal in</w:t>
      </w:r>
      <w:r w:rsidRPr="00F53942">
        <w:rPr>
          <w:sz w:val="20"/>
          <w:szCs w:val="20"/>
        </w:rPr>
        <w:t xml:space="preserve"> Ghent</w:t>
      </w:r>
      <w:r w:rsidR="001C7663" w:rsidRPr="00F53942">
        <w:rPr>
          <w:rStyle w:val="FootnoteReference"/>
          <w:sz w:val="20"/>
          <w:szCs w:val="20"/>
        </w:rPr>
        <w:footnoteReference w:id="74"/>
      </w:r>
      <w:r w:rsidR="001C7663" w:rsidRPr="00F53942">
        <w:rPr>
          <w:sz w:val="20"/>
          <w:szCs w:val="20"/>
        </w:rPr>
        <w:t xml:space="preserve"> and</w:t>
      </w:r>
      <w:r w:rsidRPr="00F53942">
        <w:rPr>
          <w:sz w:val="20"/>
          <w:szCs w:val="20"/>
        </w:rPr>
        <w:t xml:space="preserve"> </w:t>
      </w:r>
      <w:r w:rsidR="001C7663" w:rsidRPr="00F53942">
        <w:rPr>
          <w:sz w:val="20"/>
          <w:szCs w:val="20"/>
        </w:rPr>
        <w:t>six</w:t>
      </w:r>
      <w:r w:rsidRPr="00F53942">
        <w:rPr>
          <w:sz w:val="20"/>
          <w:szCs w:val="20"/>
        </w:rPr>
        <w:t xml:space="preserve"> from enterprise courts</w:t>
      </w:r>
      <w:r w:rsidR="001C7663" w:rsidRPr="00F53942">
        <w:rPr>
          <w:rStyle w:val="FootnoteReference"/>
          <w:sz w:val="20"/>
          <w:szCs w:val="20"/>
        </w:rPr>
        <w:footnoteReference w:id="75"/>
      </w:r>
      <w:r w:rsidR="001C7663" w:rsidRPr="00F53942">
        <w:rPr>
          <w:sz w:val="20"/>
          <w:szCs w:val="20"/>
        </w:rPr>
        <w:t xml:space="preserve"> all</w:t>
      </w:r>
      <w:r w:rsidRPr="00F53942">
        <w:rPr>
          <w:sz w:val="20"/>
          <w:szCs w:val="20"/>
        </w:rPr>
        <w:t xml:space="preserve"> rejecting abuse, and four from enterprise courts finding abuse established</w:t>
      </w:r>
      <w:r w:rsidR="001C7663" w:rsidRPr="00F53942">
        <w:rPr>
          <w:rStyle w:val="FootnoteReference"/>
          <w:sz w:val="20"/>
          <w:szCs w:val="20"/>
        </w:rPr>
        <w:footnoteReference w:id="76"/>
      </w:r>
      <w:r w:rsidRPr="00F53942">
        <w:rPr>
          <w:sz w:val="20"/>
          <w:szCs w:val="20"/>
        </w:rPr>
        <w:t>.</w:t>
      </w:r>
    </w:p>
    <w:p w14:paraId="7AEC1B5B" w14:textId="374590D6" w:rsidR="00315055" w:rsidRPr="00F53942" w:rsidRDefault="00904B52" w:rsidP="00315055">
      <w:pPr>
        <w:pStyle w:val="Heading1"/>
        <w:numPr>
          <w:ilvl w:val="0"/>
          <w:numId w:val="1"/>
        </w:numPr>
        <w:tabs>
          <w:tab w:val="left" w:pos="363"/>
        </w:tabs>
        <w:spacing w:after="140" w:line="290" w:lineRule="auto"/>
        <w:ind w:right="6"/>
        <w:jc w:val="both"/>
        <w:rPr>
          <w:sz w:val="20"/>
          <w:szCs w:val="20"/>
        </w:rPr>
      </w:pPr>
      <w:bookmarkStart w:id="27" w:name="_Toc209451797"/>
      <w:r w:rsidRPr="00F53942">
        <w:rPr>
          <w:sz w:val="20"/>
          <w:szCs w:val="20"/>
        </w:rPr>
        <w:t>Critical Assessment</w:t>
      </w:r>
      <w:bookmarkEnd w:id="27"/>
      <w:r w:rsidRPr="00F53942">
        <w:rPr>
          <w:sz w:val="20"/>
          <w:szCs w:val="20"/>
        </w:rPr>
        <w:t xml:space="preserve"> </w:t>
      </w:r>
    </w:p>
    <w:p w14:paraId="4E1742B6" w14:textId="5F340514" w:rsidR="00A00B1D" w:rsidRPr="00F53942" w:rsidRDefault="00A00B1D" w:rsidP="00A00B1D">
      <w:pPr>
        <w:widowControl/>
        <w:shd w:val="clear" w:color="auto" w:fill="FFFFFF"/>
        <w:autoSpaceDE/>
        <w:autoSpaceDN/>
        <w:spacing w:after="140" w:line="290" w:lineRule="auto"/>
        <w:jc w:val="both"/>
        <w:rPr>
          <w:sz w:val="20"/>
          <w:szCs w:val="20"/>
        </w:rPr>
      </w:pPr>
      <w:r w:rsidRPr="00F53942">
        <w:rPr>
          <w:sz w:val="20"/>
          <w:szCs w:val="20"/>
        </w:rPr>
        <w:t>The implementation of the prohibition on abuse of economic dependence in Belgian law has highlighted a number of significant challenges and unresolved questions regarding its practical operation. Despite the legislat</w:t>
      </w:r>
      <w:r w:rsidR="00D67681">
        <w:rPr>
          <w:sz w:val="20"/>
          <w:szCs w:val="20"/>
        </w:rPr>
        <w:t>or</w:t>
      </w:r>
      <w:r w:rsidRPr="00F53942">
        <w:rPr>
          <w:sz w:val="20"/>
          <w:szCs w:val="20"/>
        </w:rPr>
        <w:t>’s intention to address gaps left by traditional competition rules, judicial decisions reveal persistent legal uncertainty and divergent approaches</w:t>
      </w:r>
      <w:r w:rsidR="005E450C" w:rsidRPr="00F53942">
        <w:rPr>
          <w:sz w:val="20"/>
          <w:szCs w:val="20"/>
        </w:rPr>
        <w:t xml:space="preserve"> (Section </w:t>
      </w:r>
      <w:r w:rsidR="005E450C" w:rsidRPr="00F53942">
        <w:rPr>
          <w:sz w:val="20"/>
          <w:szCs w:val="20"/>
        </w:rPr>
        <w:fldChar w:fldCharType="begin"/>
      </w:r>
      <w:r w:rsidR="005E450C" w:rsidRPr="00F53942">
        <w:rPr>
          <w:sz w:val="20"/>
          <w:szCs w:val="20"/>
        </w:rPr>
        <w:instrText xml:space="preserve"> REF _Ref209164822 \r \h </w:instrText>
      </w:r>
      <w:r w:rsidR="00F53942">
        <w:rPr>
          <w:sz w:val="20"/>
          <w:szCs w:val="20"/>
        </w:rPr>
        <w:instrText xml:space="preserve"> \* MERGEFORMAT </w:instrText>
      </w:r>
      <w:r w:rsidR="005E450C" w:rsidRPr="00F53942">
        <w:rPr>
          <w:sz w:val="20"/>
          <w:szCs w:val="20"/>
        </w:rPr>
      </w:r>
      <w:r w:rsidR="005E450C" w:rsidRPr="00F53942">
        <w:rPr>
          <w:sz w:val="20"/>
          <w:szCs w:val="20"/>
        </w:rPr>
        <w:fldChar w:fldCharType="separate"/>
      </w:r>
      <w:r w:rsidR="00F10409">
        <w:rPr>
          <w:sz w:val="20"/>
          <w:szCs w:val="20"/>
        </w:rPr>
        <w:t>6.1</w:t>
      </w:r>
      <w:r w:rsidR="005E450C" w:rsidRPr="00F53942">
        <w:rPr>
          <w:sz w:val="20"/>
          <w:szCs w:val="20"/>
        </w:rPr>
        <w:fldChar w:fldCharType="end"/>
      </w:r>
      <w:r w:rsidR="005E450C" w:rsidRPr="00F53942">
        <w:rPr>
          <w:sz w:val="20"/>
          <w:szCs w:val="20"/>
        </w:rPr>
        <w:t>)</w:t>
      </w:r>
      <w:r w:rsidRPr="00F53942">
        <w:rPr>
          <w:sz w:val="20"/>
          <w:szCs w:val="20"/>
        </w:rPr>
        <w:t>. The overlap between the abuse of economic dependence and other legal concepts further complicates the framework and occasionally leads to inconsistent outcomes</w:t>
      </w:r>
      <w:r w:rsidR="005E450C" w:rsidRPr="00F53942">
        <w:rPr>
          <w:sz w:val="20"/>
          <w:szCs w:val="20"/>
        </w:rPr>
        <w:t xml:space="preserve"> (Section </w:t>
      </w:r>
      <w:r w:rsidR="005E450C" w:rsidRPr="00F53942">
        <w:rPr>
          <w:sz w:val="20"/>
          <w:szCs w:val="20"/>
        </w:rPr>
        <w:fldChar w:fldCharType="begin"/>
      </w:r>
      <w:r w:rsidR="005E450C" w:rsidRPr="00F53942">
        <w:rPr>
          <w:sz w:val="20"/>
          <w:szCs w:val="20"/>
        </w:rPr>
        <w:instrText xml:space="preserve"> REF _Ref209164837 \r \h </w:instrText>
      </w:r>
      <w:r w:rsidR="00F53942">
        <w:rPr>
          <w:sz w:val="20"/>
          <w:szCs w:val="20"/>
        </w:rPr>
        <w:instrText xml:space="preserve"> \* MERGEFORMAT </w:instrText>
      </w:r>
      <w:r w:rsidR="005E450C" w:rsidRPr="00F53942">
        <w:rPr>
          <w:sz w:val="20"/>
          <w:szCs w:val="20"/>
        </w:rPr>
      </w:r>
      <w:r w:rsidR="005E450C" w:rsidRPr="00F53942">
        <w:rPr>
          <w:sz w:val="20"/>
          <w:szCs w:val="20"/>
        </w:rPr>
        <w:fldChar w:fldCharType="separate"/>
      </w:r>
      <w:r w:rsidR="00F10409">
        <w:rPr>
          <w:sz w:val="20"/>
          <w:szCs w:val="20"/>
        </w:rPr>
        <w:t>6.2</w:t>
      </w:r>
      <w:r w:rsidR="005E450C" w:rsidRPr="00F53942">
        <w:rPr>
          <w:sz w:val="20"/>
          <w:szCs w:val="20"/>
        </w:rPr>
        <w:fldChar w:fldCharType="end"/>
      </w:r>
      <w:r w:rsidR="005E450C" w:rsidRPr="00F53942">
        <w:rPr>
          <w:sz w:val="20"/>
          <w:szCs w:val="20"/>
        </w:rPr>
        <w:t>)</w:t>
      </w:r>
      <w:r w:rsidRPr="00F53942">
        <w:rPr>
          <w:sz w:val="20"/>
          <w:szCs w:val="20"/>
        </w:rPr>
        <w:t>. These issues underscore the need for further clarification, both in legal doctrine and in the jurisprudence, to ensure the intended protection of economically dependent undertakings and to enhance legal certainty within commercial practice.</w:t>
      </w:r>
    </w:p>
    <w:p w14:paraId="620AB054" w14:textId="77777777" w:rsidR="00A56753" w:rsidRPr="00F53942" w:rsidRDefault="00904B52" w:rsidP="00A56753">
      <w:pPr>
        <w:pStyle w:val="Heading1"/>
        <w:numPr>
          <w:ilvl w:val="1"/>
          <w:numId w:val="1"/>
        </w:numPr>
        <w:tabs>
          <w:tab w:val="left" w:pos="363"/>
        </w:tabs>
        <w:spacing w:after="140" w:line="290" w:lineRule="auto"/>
        <w:ind w:right="6"/>
        <w:jc w:val="both"/>
        <w:rPr>
          <w:sz w:val="20"/>
          <w:szCs w:val="20"/>
        </w:rPr>
      </w:pPr>
      <w:bookmarkStart w:id="28" w:name="_Ref209164822"/>
      <w:bookmarkStart w:id="29" w:name="_Toc209451798"/>
      <w:r w:rsidRPr="00F53942">
        <w:rPr>
          <w:sz w:val="20"/>
          <w:szCs w:val="20"/>
        </w:rPr>
        <w:t>Divergencies in Case Law due to Legal Uncertainty</w:t>
      </w:r>
      <w:bookmarkEnd w:id="28"/>
      <w:bookmarkEnd w:id="29"/>
    </w:p>
    <w:p w14:paraId="31C47B23" w14:textId="02A72A34" w:rsidR="00A56753" w:rsidRPr="00F53942" w:rsidRDefault="00A56753" w:rsidP="00A56753">
      <w:pPr>
        <w:pStyle w:val="Heading1"/>
        <w:numPr>
          <w:ilvl w:val="2"/>
          <w:numId w:val="1"/>
        </w:numPr>
        <w:tabs>
          <w:tab w:val="left" w:pos="363"/>
        </w:tabs>
        <w:spacing w:after="140" w:line="290" w:lineRule="auto"/>
        <w:ind w:right="6"/>
        <w:jc w:val="both"/>
        <w:rPr>
          <w:sz w:val="20"/>
          <w:szCs w:val="20"/>
        </w:rPr>
      </w:pPr>
      <w:bookmarkStart w:id="30" w:name="_Toc209451799"/>
      <w:r w:rsidRPr="00F53942">
        <w:rPr>
          <w:sz w:val="20"/>
          <w:szCs w:val="20"/>
        </w:rPr>
        <w:t>Limitations and Uncertainties in Defining Economic Dependence and Establishing the Causal Link with Abusive Conduct</w:t>
      </w:r>
      <w:bookmarkEnd w:id="30"/>
    </w:p>
    <w:p w14:paraId="1B8E0D23" w14:textId="47938628" w:rsidR="00A56753" w:rsidRPr="00F53942" w:rsidRDefault="006D4258" w:rsidP="00315055">
      <w:pPr>
        <w:widowControl/>
        <w:shd w:val="clear" w:color="auto" w:fill="FFFFFF"/>
        <w:autoSpaceDE/>
        <w:autoSpaceDN/>
        <w:spacing w:after="140" w:line="290" w:lineRule="auto"/>
        <w:jc w:val="both"/>
        <w:rPr>
          <w:sz w:val="20"/>
          <w:szCs w:val="20"/>
        </w:rPr>
      </w:pPr>
      <w:r w:rsidRPr="00F53942">
        <w:rPr>
          <w:sz w:val="20"/>
          <w:szCs w:val="20"/>
        </w:rPr>
        <w:t xml:space="preserve">As discussed (Sections </w:t>
      </w:r>
      <w:r w:rsidRPr="00F53942">
        <w:rPr>
          <w:sz w:val="20"/>
          <w:szCs w:val="20"/>
        </w:rPr>
        <w:fldChar w:fldCharType="begin"/>
      </w:r>
      <w:r w:rsidRPr="00F53942">
        <w:rPr>
          <w:sz w:val="20"/>
          <w:szCs w:val="20"/>
        </w:rPr>
        <w:instrText xml:space="preserve"> REF _Ref209165220 \r \h </w:instrText>
      </w:r>
      <w:r w:rsidR="00F53942">
        <w:rPr>
          <w:sz w:val="20"/>
          <w:szCs w:val="20"/>
        </w:rPr>
        <w:instrText xml:space="preserve"> \* MERGEFORMAT </w:instrText>
      </w:r>
      <w:r w:rsidRPr="00F53942">
        <w:rPr>
          <w:sz w:val="20"/>
          <w:szCs w:val="20"/>
        </w:rPr>
      </w:r>
      <w:r w:rsidRPr="00F53942">
        <w:rPr>
          <w:sz w:val="20"/>
          <w:szCs w:val="20"/>
        </w:rPr>
        <w:fldChar w:fldCharType="separate"/>
      </w:r>
      <w:r w:rsidR="00F10409">
        <w:rPr>
          <w:sz w:val="20"/>
          <w:szCs w:val="20"/>
        </w:rPr>
        <w:t>3.2.2</w:t>
      </w:r>
      <w:r w:rsidRPr="00F53942">
        <w:rPr>
          <w:sz w:val="20"/>
          <w:szCs w:val="20"/>
        </w:rPr>
        <w:fldChar w:fldCharType="end"/>
      </w:r>
      <w:r w:rsidRPr="00F53942">
        <w:rPr>
          <w:sz w:val="20"/>
          <w:szCs w:val="20"/>
        </w:rPr>
        <w:t xml:space="preserve"> and </w:t>
      </w:r>
      <w:r w:rsidRPr="00F53942">
        <w:rPr>
          <w:sz w:val="20"/>
          <w:szCs w:val="20"/>
        </w:rPr>
        <w:fldChar w:fldCharType="begin"/>
      </w:r>
      <w:r w:rsidRPr="00F53942">
        <w:rPr>
          <w:sz w:val="20"/>
          <w:szCs w:val="20"/>
        </w:rPr>
        <w:instrText xml:space="preserve"> REF _Ref209165224 \r \h </w:instrText>
      </w:r>
      <w:r w:rsidR="00F53942">
        <w:rPr>
          <w:sz w:val="20"/>
          <w:szCs w:val="20"/>
        </w:rPr>
        <w:instrText xml:space="preserve"> \* MERGEFORMAT </w:instrText>
      </w:r>
      <w:r w:rsidRPr="00F53942">
        <w:rPr>
          <w:sz w:val="20"/>
          <w:szCs w:val="20"/>
        </w:rPr>
      </w:r>
      <w:r w:rsidRPr="00F53942">
        <w:rPr>
          <w:sz w:val="20"/>
          <w:szCs w:val="20"/>
        </w:rPr>
        <w:fldChar w:fldCharType="separate"/>
      </w:r>
      <w:r w:rsidR="00F10409">
        <w:rPr>
          <w:sz w:val="20"/>
          <w:szCs w:val="20"/>
        </w:rPr>
        <w:t>3.3.1</w:t>
      </w:r>
      <w:r w:rsidRPr="00F53942">
        <w:rPr>
          <w:sz w:val="20"/>
          <w:szCs w:val="20"/>
        </w:rPr>
        <w:fldChar w:fldCharType="end"/>
      </w:r>
      <w:r w:rsidRPr="00F53942">
        <w:rPr>
          <w:sz w:val="20"/>
          <w:szCs w:val="20"/>
        </w:rPr>
        <w:t>), a</w:t>
      </w:r>
      <w:r w:rsidR="00315055" w:rsidRPr="00F53942">
        <w:rPr>
          <w:sz w:val="20"/>
          <w:szCs w:val="20"/>
        </w:rPr>
        <w:t xml:space="preserve"> status of economic dependency </w:t>
      </w:r>
      <w:r w:rsidR="00A56753" w:rsidRPr="00F53942">
        <w:rPr>
          <w:sz w:val="20"/>
          <w:szCs w:val="20"/>
        </w:rPr>
        <w:t>necessitates the absence of reasonable alternatives</w:t>
      </w:r>
      <w:r w:rsidR="00552569">
        <w:rPr>
          <w:sz w:val="20"/>
          <w:szCs w:val="20"/>
        </w:rPr>
        <w:t>, as well as</w:t>
      </w:r>
      <w:r w:rsidR="00A56753" w:rsidRPr="00F53942">
        <w:rPr>
          <w:sz w:val="20"/>
          <w:szCs w:val="20"/>
        </w:rPr>
        <w:t xml:space="preserve"> a clear causal link between this absence and the potential for the dominating undertaking to impose unfair conditions. </w:t>
      </w:r>
    </w:p>
    <w:p w14:paraId="5ED89EE5" w14:textId="6947A271" w:rsidR="00A56753" w:rsidRPr="00F53942" w:rsidRDefault="00552569" w:rsidP="00315055">
      <w:pPr>
        <w:widowControl/>
        <w:shd w:val="clear" w:color="auto" w:fill="FFFFFF"/>
        <w:autoSpaceDE/>
        <w:autoSpaceDN/>
        <w:spacing w:after="140" w:line="290" w:lineRule="auto"/>
        <w:jc w:val="both"/>
        <w:rPr>
          <w:sz w:val="20"/>
          <w:szCs w:val="20"/>
        </w:rPr>
      </w:pPr>
      <w:r>
        <w:rPr>
          <w:sz w:val="20"/>
          <w:szCs w:val="20"/>
        </w:rPr>
        <w:t>I</w:t>
      </w:r>
      <w:r w:rsidR="00A56753" w:rsidRPr="00F53942">
        <w:rPr>
          <w:sz w:val="20"/>
          <w:szCs w:val="20"/>
        </w:rPr>
        <w:t>n practice, courts frequently evaluate whether reasonable alternatives exist without sufficiently scrutinising whether such alternatives are truly accessible – that is, whether they are available at acceptable costs, on reasonable terms, and within a viable timeframe. Crucially, courts sometimes presume the absence of reasonable alternatives without adequately investigating the origins of the dependence, particularly in situations where the undertaking’s own decisions have resulted in comprehensive reliance on a supplier. This raises the issue of whether the domina</w:t>
      </w:r>
      <w:r w:rsidR="00D67681">
        <w:rPr>
          <w:sz w:val="20"/>
          <w:szCs w:val="20"/>
        </w:rPr>
        <w:t xml:space="preserve">ting </w:t>
      </w:r>
      <w:r w:rsidR="00A56753" w:rsidRPr="00F53942">
        <w:rPr>
          <w:sz w:val="20"/>
          <w:szCs w:val="20"/>
        </w:rPr>
        <w:t>undertaking should be deemed liable in such circumstances.</w:t>
      </w:r>
    </w:p>
    <w:p w14:paraId="204B145B" w14:textId="79528E7C" w:rsidR="006D4258" w:rsidRPr="00F53942" w:rsidRDefault="00A56753" w:rsidP="00315055">
      <w:pPr>
        <w:widowControl/>
        <w:shd w:val="clear" w:color="auto" w:fill="FFFFFF"/>
        <w:autoSpaceDE/>
        <w:autoSpaceDN/>
        <w:spacing w:after="140" w:line="290" w:lineRule="auto"/>
        <w:jc w:val="both"/>
        <w:rPr>
          <w:sz w:val="20"/>
          <w:szCs w:val="20"/>
        </w:rPr>
      </w:pPr>
      <w:r w:rsidRPr="00F53942">
        <w:rPr>
          <w:sz w:val="20"/>
          <w:szCs w:val="20"/>
        </w:rPr>
        <w:t>Furthermore, judicial analysis rarely extends to examining whether the lack of alternatives specifically empowers the dominat</w:t>
      </w:r>
      <w:r w:rsidR="00D67681">
        <w:rPr>
          <w:sz w:val="20"/>
          <w:szCs w:val="20"/>
        </w:rPr>
        <w:t>ing</w:t>
      </w:r>
      <w:r w:rsidRPr="00F53942">
        <w:rPr>
          <w:sz w:val="20"/>
          <w:szCs w:val="20"/>
        </w:rPr>
        <w:t xml:space="preserve"> undertaking to pursue abusive conduct. As indicated in S</w:t>
      </w:r>
      <w:r w:rsidR="006D4258" w:rsidRPr="00F53942">
        <w:rPr>
          <w:sz w:val="20"/>
          <w:szCs w:val="20"/>
        </w:rPr>
        <w:t xml:space="preserve">ection </w:t>
      </w:r>
      <w:r w:rsidR="006D4258" w:rsidRPr="00F53942">
        <w:rPr>
          <w:sz w:val="20"/>
          <w:szCs w:val="20"/>
        </w:rPr>
        <w:fldChar w:fldCharType="begin"/>
      </w:r>
      <w:r w:rsidR="006D4258" w:rsidRPr="00F53942">
        <w:rPr>
          <w:sz w:val="20"/>
          <w:szCs w:val="20"/>
        </w:rPr>
        <w:instrText xml:space="preserve"> REF _Ref209165224 \r \h </w:instrText>
      </w:r>
      <w:r w:rsidR="00F53942">
        <w:rPr>
          <w:sz w:val="20"/>
          <w:szCs w:val="20"/>
        </w:rPr>
        <w:instrText xml:space="preserve"> \* MERGEFORMAT </w:instrText>
      </w:r>
      <w:r w:rsidR="006D4258" w:rsidRPr="00F53942">
        <w:rPr>
          <w:sz w:val="20"/>
          <w:szCs w:val="20"/>
        </w:rPr>
      </w:r>
      <w:r w:rsidR="006D4258" w:rsidRPr="00F53942">
        <w:rPr>
          <w:sz w:val="20"/>
          <w:szCs w:val="20"/>
        </w:rPr>
        <w:fldChar w:fldCharType="separate"/>
      </w:r>
      <w:r w:rsidR="00F10409">
        <w:rPr>
          <w:sz w:val="20"/>
          <w:szCs w:val="20"/>
        </w:rPr>
        <w:t>3.3.1</w:t>
      </w:r>
      <w:r w:rsidR="006D4258" w:rsidRPr="00F53942">
        <w:rPr>
          <w:sz w:val="20"/>
          <w:szCs w:val="20"/>
        </w:rPr>
        <w:fldChar w:fldCharType="end"/>
      </w:r>
      <w:r w:rsidR="006D4258" w:rsidRPr="00F53942">
        <w:rPr>
          <w:sz w:val="20"/>
          <w:szCs w:val="20"/>
        </w:rPr>
        <w:t xml:space="preserve">, a better definition of the concepts “economic dependence” and “abuse” </w:t>
      </w:r>
      <w:r w:rsidRPr="00F53942">
        <w:rPr>
          <w:sz w:val="20"/>
          <w:szCs w:val="20"/>
        </w:rPr>
        <w:t>could have mitigated these problems.</w:t>
      </w:r>
    </w:p>
    <w:p w14:paraId="79C01DA5" w14:textId="50F12327" w:rsidR="00A56753" w:rsidRDefault="00D67681" w:rsidP="00A56753">
      <w:pPr>
        <w:widowControl/>
        <w:shd w:val="clear" w:color="auto" w:fill="FFFFFF"/>
        <w:autoSpaceDE/>
        <w:autoSpaceDN/>
        <w:spacing w:after="140" w:line="290" w:lineRule="auto"/>
        <w:jc w:val="both"/>
        <w:rPr>
          <w:sz w:val="20"/>
          <w:szCs w:val="20"/>
        </w:rPr>
      </w:pPr>
      <w:r>
        <w:rPr>
          <w:sz w:val="20"/>
          <w:szCs w:val="20"/>
        </w:rPr>
        <w:t>Additionally</w:t>
      </w:r>
      <w:r w:rsidR="00A56753" w:rsidRPr="00F53942">
        <w:rPr>
          <w:sz w:val="20"/>
          <w:szCs w:val="20"/>
        </w:rPr>
        <w:t>, in the majority of cases, courts seldom refer to the list of indicative factors articulated in the preparatory works. When these factors are considered, they are often misinterpreted or treated as substitutes for the formal legal criteria, rather than as aspects to be evaluated in conjunction with them. As a result, there is considerable legal uncertainty: judicial reasoning regarding the establishment of economic dependence frequently lacks transparency and clarity.</w:t>
      </w:r>
    </w:p>
    <w:p w14:paraId="0A0A68C9" w14:textId="35DEF7FD" w:rsidR="00552569" w:rsidRPr="00552569" w:rsidRDefault="00552569" w:rsidP="00A56753">
      <w:pPr>
        <w:widowControl/>
        <w:shd w:val="clear" w:color="auto" w:fill="FFFFFF"/>
        <w:autoSpaceDE/>
        <w:autoSpaceDN/>
        <w:spacing w:after="140" w:line="290" w:lineRule="auto"/>
        <w:jc w:val="both"/>
        <w:rPr>
          <w:sz w:val="20"/>
          <w:szCs w:val="20"/>
        </w:rPr>
      </w:pPr>
      <w:r w:rsidRPr="00F53942">
        <w:rPr>
          <w:sz w:val="20"/>
          <w:szCs w:val="20"/>
        </w:rPr>
        <w:t xml:space="preserve">Case law has also grappled with whether a contractual relationship between undertakings is necessary to establish </w:t>
      </w:r>
      <w:r>
        <w:rPr>
          <w:sz w:val="20"/>
          <w:szCs w:val="20"/>
        </w:rPr>
        <w:t>a position of</w:t>
      </w:r>
      <w:r w:rsidRPr="00F53942">
        <w:rPr>
          <w:sz w:val="20"/>
          <w:szCs w:val="20"/>
        </w:rPr>
        <w:t xml:space="preserve"> economic dependence. </w:t>
      </w:r>
      <w:r>
        <w:rPr>
          <w:sz w:val="20"/>
          <w:szCs w:val="20"/>
        </w:rPr>
        <w:t xml:space="preserve">In its judgement of 20 October 2021, the Court of Appeal of Antwerp </w:t>
      </w:r>
      <w:r w:rsidRPr="00F53942">
        <w:rPr>
          <w:sz w:val="20"/>
          <w:szCs w:val="20"/>
        </w:rPr>
        <w:t xml:space="preserve">held that </w:t>
      </w:r>
      <w:r>
        <w:rPr>
          <w:sz w:val="20"/>
          <w:szCs w:val="20"/>
        </w:rPr>
        <w:t xml:space="preserve">a position of </w:t>
      </w:r>
      <w:r w:rsidRPr="00F53942">
        <w:rPr>
          <w:sz w:val="20"/>
          <w:szCs w:val="20"/>
        </w:rPr>
        <w:t>economic dependence cannot arise where there is no long-term contractual relationship, reasoning that the absence of such a relationship indicates the availability of alternatives and, therefore, no dependence.</w:t>
      </w:r>
      <w:r w:rsidRPr="00F53942">
        <w:rPr>
          <w:rStyle w:val="FootnoteReference"/>
          <w:sz w:val="20"/>
          <w:szCs w:val="20"/>
        </w:rPr>
        <w:footnoteReference w:id="77"/>
      </w:r>
      <w:r w:rsidRPr="00F53942">
        <w:rPr>
          <w:sz w:val="20"/>
          <w:szCs w:val="20"/>
        </w:rPr>
        <w:t xml:space="preserve"> This approach, however, was clarified by the Belgian Supreme Court in its decision of 20 February 2025, which </w:t>
      </w:r>
      <w:r w:rsidRPr="00F53942">
        <w:rPr>
          <w:sz w:val="20"/>
          <w:szCs w:val="20"/>
        </w:rPr>
        <w:lastRenderedPageBreak/>
        <w:t>confirmed that a</w:t>
      </w:r>
      <w:r>
        <w:rPr>
          <w:sz w:val="20"/>
          <w:szCs w:val="20"/>
        </w:rPr>
        <w:t xml:space="preserve"> position</w:t>
      </w:r>
      <w:r w:rsidRPr="00F53942">
        <w:rPr>
          <w:sz w:val="20"/>
          <w:szCs w:val="20"/>
        </w:rPr>
        <w:t xml:space="preserve"> of economic dependence under </w:t>
      </w:r>
      <w:r>
        <w:rPr>
          <w:sz w:val="20"/>
          <w:szCs w:val="20"/>
        </w:rPr>
        <w:t>A</w:t>
      </w:r>
      <w:r w:rsidRPr="00F53942">
        <w:rPr>
          <w:sz w:val="20"/>
          <w:szCs w:val="20"/>
        </w:rPr>
        <w:t>rticle IV.2/1 BCEL does not require the existence of a contractual relationship, settling an area of initial uncertainty.</w:t>
      </w:r>
      <w:r w:rsidRPr="00F53942">
        <w:rPr>
          <w:rStyle w:val="FootnoteReference"/>
          <w:sz w:val="20"/>
          <w:szCs w:val="20"/>
        </w:rPr>
        <w:footnoteReference w:id="78"/>
      </w:r>
      <w:r w:rsidRPr="00F53942">
        <w:rPr>
          <w:sz w:val="20"/>
          <w:szCs w:val="20"/>
        </w:rPr>
        <w:t xml:space="preserve"> </w:t>
      </w:r>
    </w:p>
    <w:p w14:paraId="763D925B" w14:textId="68F0D249" w:rsidR="00315055" w:rsidRPr="00F53942" w:rsidRDefault="00315055" w:rsidP="00A56753">
      <w:pPr>
        <w:pStyle w:val="Heading1"/>
        <w:numPr>
          <w:ilvl w:val="2"/>
          <w:numId w:val="1"/>
        </w:numPr>
        <w:tabs>
          <w:tab w:val="left" w:pos="363"/>
        </w:tabs>
        <w:spacing w:after="140" w:line="290" w:lineRule="auto"/>
        <w:ind w:right="6"/>
        <w:jc w:val="both"/>
        <w:rPr>
          <w:sz w:val="20"/>
          <w:szCs w:val="20"/>
        </w:rPr>
      </w:pPr>
      <w:bookmarkStart w:id="31" w:name="_Toc209451800"/>
      <w:r w:rsidRPr="00F53942">
        <w:rPr>
          <w:sz w:val="20"/>
          <w:szCs w:val="20"/>
        </w:rPr>
        <w:t>Different Interpretations of the Notion “Abuse”</w:t>
      </w:r>
      <w:bookmarkEnd w:id="31"/>
    </w:p>
    <w:p w14:paraId="3F5707B8" w14:textId="256EB536" w:rsidR="008D6633" w:rsidRPr="00F53942" w:rsidRDefault="008D6633" w:rsidP="008D6633">
      <w:pPr>
        <w:widowControl/>
        <w:shd w:val="clear" w:color="auto" w:fill="FFFFFF"/>
        <w:autoSpaceDE/>
        <w:autoSpaceDN/>
        <w:spacing w:after="140" w:line="290" w:lineRule="auto"/>
        <w:jc w:val="both"/>
        <w:rPr>
          <w:sz w:val="20"/>
          <w:szCs w:val="20"/>
        </w:rPr>
      </w:pPr>
      <w:r w:rsidRPr="00F53942">
        <w:rPr>
          <w:sz w:val="20"/>
          <w:szCs w:val="20"/>
        </w:rPr>
        <w:t xml:space="preserve">Belgian case law demonstrates a diverse and evolving approach to the interpretation of “abuse” under </w:t>
      </w:r>
      <w:r w:rsidR="00215262">
        <w:rPr>
          <w:sz w:val="20"/>
          <w:szCs w:val="20"/>
        </w:rPr>
        <w:t>A</w:t>
      </w:r>
      <w:r w:rsidRPr="00F53942">
        <w:rPr>
          <w:sz w:val="20"/>
          <w:szCs w:val="20"/>
        </w:rPr>
        <w:t xml:space="preserve">rticle IV.2/1 BCEL. While the examples of abusive conduct set out in </w:t>
      </w:r>
      <w:r w:rsidR="00215262">
        <w:rPr>
          <w:sz w:val="20"/>
          <w:szCs w:val="20"/>
        </w:rPr>
        <w:t>A</w:t>
      </w:r>
      <w:r w:rsidRPr="00F53942">
        <w:rPr>
          <w:sz w:val="20"/>
          <w:szCs w:val="20"/>
        </w:rPr>
        <w:t xml:space="preserve">rticle IV.2/1 BCEL are derived from those in </w:t>
      </w:r>
      <w:r w:rsidR="00215262">
        <w:rPr>
          <w:sz w:val="20"/>
          <w:szCs w:val="20"/>
        </w:rPr>
        <w:t>A</w:t>
      </w:r>
      <w:r w:rsidRPr="00F53942">
        <w:rPr>
          <w:sz w:val="20"/>
          <w:szCs w:val="20"/>
        </w:rPr>
        <w:t xml:space="preserve">rticle IV.2 BCEL on abuse of dominance, this parallel does not mean that the legal notion of abuse must be understood identically in both contexts. The jurisprudence reflects considerable divergence regarding the precise contours of the abuse requirement. At times, courts and </w:t>
      </w:r>
      <w:r w:rsidR="00A031DC">
        <w:rPr>
          <w:sz w:val="20"/>
          <w:szCs w:val="20"/>
        </w:rPr>
        <w:t>legal scholars</w:t>
      </w:r>
      <w:r w:rsidRPr="00F53942">
        <w:rPr>
          <w:sz w:val="20"/>
          <w:szCs w:val="20"/>
        </w:rPr>
        <w:t xml:space="preserve"> have drawn direct analogies between the two provisions, suggesting a legislative intent to create convergent interpretations.</w:t>
      </w:r>
      <w:r w:rsidRPr="00F53942">
        <w:rPr>
          <w:rStyle w:val="FootnoteReference"/>
          <w:sz w:val="20"/>
          <w:szCs w:val="20"/>
        </w:rPr>
        <w:footnoteReference w:id="79"/>
      </w:r>
      <w:r w:rsidRPr="00F53942">
        <w:rPr>
          <w:sz w:val="20"/>
          <w:szCs w:val="20"/>
        </w:rPr>
        <w:t xml:space="preserve"> However, this view is not </w:t>
      </w:r>
      <w:r w:rsidR="002C380C" w:rsidRPr="00F53942">
        <w:rPr>
          <w:sz w:val="20"/>
          <w:szCs w:val="20"/>
        </w:rPr>
        <w:t>broadly endorsed</w:t>
      </w:r>
      <w:r w:rsidRPr="00F53942">
        <w:rPr>
          <w:sz w:val="20"/>
          <w:szCs w:val="20"/>
        </w:rPr>
        <w:t>: a number of legal scholars have emphasised important distinctions, arguing for a more nuanced application in cases of economic dependence.</w:t>
      </w:r>
      <w:r w:rsidRPr="00F53942">
        <w:rPr>
          <w:rStyle w:val="FootnoteReference"/>
          <w:sz w:val="20"/>
          <w:szCs w:val="20"/>
        </w:rPr>
        <w:footnoteReference w:id="80"/>
      </w:r>
      <w:r w:rsidRPr="00F53942">
        <w:rPr>
          <w:sz w:val="20"/>
          <w:szCs w:val="20"/>
        </w:rPr>
        <w:t xml:space="preserve"> In other decisions and </w:t>
      </w:r>
      <w:r w:rsidR="002C380C" w:rsidRPr="00F53942">
        <w:rPr>
          <w:sz w:val="20"/>
          <w:szCs w:val="20"/>
        </w:rPr>
        <w:t xml:space="preserve">legal </w:t>
      </w:r>
      <w:r w:rsidR="00A031DC">
        <w:rPr>
          <w:sz w:val="20"/>
          <w:szCs w:val="20"/>
        </w:rPr>
        <w:t>doctrine</w:t>
      </w:r>
      <w:r w:rsidRPr="00F53942">
        <w:rPr>
          <w:sz w:val="20"/>
          <w:szCs w:val="20"/>
        </w:rPr>
        <w:t>, the notion of abuse is aligned more closely with the doctrine of abuse of rights, further highlighting the lack of consensus</w:t>
      </w:r>
      <w:r w:rsidR="00904B52" w:rsidRPr="00F53942">
        <w:rPr>
          <w:sz w:val="20"/>
          <w:szCs w:val="20"/>
        </w:rPr>
        <w:t>.</w:t>
      </w:r>
      <w:r w:rsidR="00904B52" w:rsidRPr="00F53942">
        <w:rPr>
          <w:rStyle w:val="FootnoteReference"/>
          <w:sz w:val="20"/>
          <w:szCs w:val="20"/>
        </w:rPr>
        <w:footnoteReference w:id="81"/>
      </w:r>
      <w:r w:rsidRPr="00F53942">
        <w:rPr>
          <w:sz w:val="20"/>
          <w:szCs w:val="20"/>
        </w:rPr>
        <w:t xml:space="preserve"> </w:t>
      </w:r>
    </w:p>
    <w:p w14:paraId="03BCC6E3" w14:textId="60409988" w:rsidR="008D6633" w:rsidRPr="00F53942" w:rsidRDefault="00C66DB2" w:rsidP="00904B52">
      <w:pPr>
        <w:widowControl/>
        <w:shd w:val="clear" w:color="auto" w:fill="FFFFFF"/>
        <w:autoSpaceDE/>
        <w:autoSpaceDN/>
        <w:spacing w:after="140" w:line="290" w:lineRule="auto"/>
        <w:jc w:val="both"/>
        <w:rPr>
          <w:sz w:val="20"/>
          <w:szCs w:val="20"/>
        </w:rPr>
      </w:pPr>
      <w:r w:rsidRPr="00F53942">
        <w:rPr>
          <w:sz w:val="20"/>
          <w:szCs w:val="20"/>
        </w:rPr>
        <w:t>Assessments of abuse in practice are shaped by an examination of both motives and objective justifications. Courts may take into account whether an undertaking acted with illegitimate intent, and generally exclude abuse where the conduct is supported by objective grounds.</w:t>
      </w:r>
      <w:r w:rsidRPr="00F53942">
        <w:rPr>
          <w:rStyle w:val="FootnoteReference"/>
          <w:sz w:val="20"/>
          <w:szCs w:val="20"/>
        </w:rPr>
        <w:footnoteReference w:id="82"/>
      </w:r>
      <w:r w:rsidRPr="00F53942">
        <w:rPr>
          <w:sz w:val="20"/>
          <w:szCs w:val="20"/>
        </w:rPr>
        <w:t xml:space="preserve"> </w:t>
      </w:r>
      <w:r w:rsidR="002C380C" w:rsidRPr="00F53942">
        <w:rPr>
          <w:sz w:val="20"/>
          <w:szCs w:val="20"/>
        </w:rPr>
        <w:t xml:space="preserve">Additionally, also </w:t>
      </w:r>
      <w:r w:rsidRPr="00F53942">
        <w:rPr>
          <w:sz w:val="20"/>
          <w:szCs w:val="20"/>
        </w:rPr>
        <w:t>voluntary and extensive negotiations between the parties can weigh against a finding of abuse. </w:t>
      </w:r>
      <w:r w:rsidR="008D6633" w:rsidRPr="00F53942">
        <w:rPr>
          <w:sz w:val="20"/>
          <w:szCs w:val="20"/>
        </w:rPr>
        <w:t>In a judgement of the Enterprise Court of Leuven of 27 April 2021, the President took into account the many years of negotiations between the parties before ultimately ruling that the domina</w:t>
      </w:r>
      <w:r w:rsidR="00600591">
        <w:rPr>
          <w:sz w:val="20"/>
          <w:szCs w:val="20"/>
        </w:rPr>
        <w:t>ting</w:t>
      </w:r>
      <w:r w:rsidR="008D6633" w:rsidRPr="00F53942">
        <w:rPr>
          <w:sz w:val="20"/>
          <w:szCs w:val="20"/>
        </w:rPr>
        <w:t xml:space="preserve"> undertaking had not abused the other party</w:t>
      </w:r>
      <w:r w:rsidR="00993465" w:rsidRPr="00F53942">
        <w:rPr>
          <w:sz w:val="20"/>
          <w:szCs w:val="20"/>
        </w:rPr>
        <w:t>’</w:t>
      </w:r>
      <w:r w:rsidR="008D6633" w:rsidRPr="00F53942">
        <w:rPr>
          <w:sz w:val="20"/>
          <w:szCs w:val="20"/>
        </w:rPr>
        <w:t>s position of dependence. However, the President also took other factors into consideration when assessing the alleged abuse (e.g., whether the price increases</w:t>
      </w:r>
      <w:r w:rsidR="00600591">
        <w:rPr>
          <w:sz w:val="20"/>
          <w:szCs w:val="20"/>
        </w:rPr>
        <w:t xml:space="preserve"> at stake</w:t>
      </w:r>
      <w:r w:rsidR="008D6633" w:rsidRPr="00F53942">
        <w:rPr>
          <w:sz w:val="20"/>
          <w:szCs w:val="20"/>
        </w:rPr>
        <w:t xml:space="preserve"> were objectively justified).</w:t>
      </w:r>
      <w:r w:rsidR="008D6633" w:rsidRPr="00F53942">
        <w:rPr>
          <w:rStyle w:val="FootnoteReference"/>
          <w:sz w:val="20"/>
          <w:szCs w:val="20"/>
        </w:rPr>
        <w:footnoteReference w:id="83"/>
      </w:r>
    </w:p>
    <w:p w14:paraId="37476355" w14:textId="77777777" w:rsidR="00315055" w:rsidRPr="00F53942" w:rsidRDefault="00315055" w:rsidP="00904B52">
      <w:pPr>
        <w:pStyle w:val="Heading1"/>
        <w:numPr>
          <w:ilvl w:val="2"/>
          <w:numId w:val="1"/>
        </w:numPr>
        <w:tabs>
          <w:tab w:val="left" w:pos="363"/>
        </w:tabs>
        <w:spacing w:after="140" w:line="290" w:lineRule="auto"/>
        <w:ind w:right="6"/>
        <w:jc w:val="both"/>
        <w:rPr>
          <w:sz w:val="20"/>
          <w:szCs w:val="20"/>
        </w:rPr>
      </w:pPr>
      <w:bookmarkStart w:id="32" w:name="_Toc209451801"/>
      <w:r w:rsidRPr="00F53942">
        <w:rPr>
          <w:sz w:val="20"/>
          <w:szCs w:val="20"/>
        </w:rPr>
        <w:t>Ignoring the Potential Impairment of Belgian Competition</w:t>
      </w:r>
      <w:bookmarkEnd w:id="32"/>
    </w:p>
    <w:p w14:paraId="02A4F21C" w14:textId="77777777" w:rsidR="00EA244F" w:rsidRPr="00F53942" w:rsidRDefault="00FF0CAF" w:rsidP="00EA244F">
      <w:pPr>
        <w:widowControl/>
        <w:shd w:val="clear" w:color="auto" w:fill="FFFFFF"/>
        <w:autoSpaceDE/>
        <w:autoSpaceDN/>
        <w:spacing w:after="140" w:line="290" w:lineRule="auto"/>
        <w:jc w:val="both"/>
        <w:rPr>
          <w:sz w:val="20"/>
          <w:szCs w:val="20"/>
        </w:rPr>
      </w:pPr>
      <w:r w:rsidRPr="00F53942">
        <w:rPr>
          <w:sz w:val="20"/>
          <w:szCs w:val="20"/>
        </w:rPr>
        <w:t xml:space="preserve">The requirement of a potential distortion of competition is the main obstacle to the application of Article IV.2/1 BCEL. Indeed, </w:t>
      </w:r>
      <w:r w:rsidR="00ED1CC9" w:rsidRPr="00F53942">
        <w:rPr>
          <w:sz w:val="20"/>
          <w:szCs w:val="20"/>
        </w:rPr>
        <w:t>Belgian courts rarely assess whether abuse of economic dependence could potentially affect competition</w:t>
      </w:r>
      <w:r w:rsidR="006C62AC" w:rsidRPr="00F53942">
        <w:rPr>
          <w:sz w:val="20"/>
          <w:szCs w:val="20"/>
        </w:rPr>
        <w:t xml:space="preserve">, despite frequently making findings of abuse. </w:t>
      </w:r>
      <w:r w:rsidR="00EA244F" w:rsidRPr="00F53942">
        <w:rPr>
          <w:sz w:val="20"/>
          <w:szCs w:val="20"/>
        </w:rPr>
        <w:t>Where it is taken into consideration, an analysis of this criterion usually leads to the conclusion that there is no potential distortion of Belgian competition.</w:t>
      </w:r>
    </w:p>
    <w:p w14:paraId="7CD73035" w14:textId="24914586" w:rsidR="006C62AC" w:rsidRPr="00F53942" w:rsidRDefault="001A67CD" w:rsidP="00315055">
      <w:pPr>
        <w:widowControl/>
        <w:shd w:val="clear" w:color="auto" w:fill="FFFFFF"/>
        <w:autoSpaceDE/>
        <w:autoSpaceDN/>
        <w:spacing w:after="140" w:line="290" w:lineRule="auto"/>
        <w:jc w:val="both"/>
        <w:rPr>
          <w:sz w:val="20"/>
          <w:szCs w:val="20"/>
          <w:lang w:val="en-US"/>
        </w:rPr>
      </w:pPr>
      <w:r>
        <w:rPr>
          <w:sz w:val="20"/>
          <w:szCs w:val="20"/>
          <w:lang w:val="en-US"/>
        </w:rPr>
        <w:t>All published</w:t>
      </w:r>
      <w:r w:rsidR="006C62AC" w:rsidRPr="006C62AC">
        <w:rPr>
          <w:sz w:val="20"/>
          <w:szCs w:val="20"/>
          <w:lang w:val="en-US"/>
        </w:rPr>
        <w:t xml:space="preserve"> judgments</w:t>
      </w:r>
      <w:r w:rsidR="00600591">
        <w:rPr>
          <w:sz w:val="20"/>
          <w:szCs w:val="20"/>
          <w:lang w:val="en-US"/>
        </w:rPr>
        <w:t xml:space="preserve"> </w:t>
      </w:r>
      <w:r w:rsidR="006C62AC" w:rsidRPr="006C62AC">
        <w:rPr>
          <w:sz w:val="20"/>
          <w:szCs w:val="20"/>
          <w:lang w:val="en-US"/>
        </w:rPr>
        <w:t xml:space="preserve">concerning abuse of economic dependence </w:t>
      </w:r>
      <w:r w:rsidRPr="001A67CD">
        <w:rPr>
          <w:sz w:val="20"/>
          <w:szCs w:val="20"/>
        </w:rPr>
        <w:t>have exclusively concerned</w:t>
      </w:r>
      <w:r w:rsidR="006C62AC" w:rsidRPr="006C62AC">
        <w:rPr>
          <w:sz w:val="20"/>
          <w:szCs w:val="20"/>
          <w:lang w:val="en-US"/>
        </w:rPr>
        <w:t xml:space="preserve"> refusal</w:t>
      </w:r>
      <w:r>
        <w:rPr>
          <w:sz w:val="20"/>
          <w:szCs w:val="20"/>
          <w:lang w:val="en-US"/>
        </w:rPr>
        <w:t>s</w:t>
      </w:r>
      <w:r w:rsidR="006C62AC" w:rsidRPr="006C62AC">
        <w:rPr>
          <w:sz w:val="20"/>
          <w:szCs w:val="20"/>
          <w:lang w:val="en-US"/>
        </w:rPr>
        <w:t xml:space="preserve"> to contrac</w:t>
      </w:r>
      <w:r w:rsidR="006C62AC" w:rsidRPr="00F53942">
        <w:rPr>
          <w:sz w:val="20"/>
          <w:szCs w:val="20"/>
          <w:lang w:val="en-US"/>
        </w:rPr>
        <w:t>t</w:t>
      </w:r>
      <w:r w:rsidR="006C62AC" w:rsidRPr="006C62AC">
        <w:rPr>
          <w:sz w:val="20"/>
          <w:szCs w:val="20"/>
          <w:lang w:val="en-US"/>
        </w:rPr>
        <w:t>.</w:t>
      </w:r>
      <w:r w:rsidR="0028350F">
        <w:rPr>
          <w:rStyle w:val="FootnoteReference"/>
          <w:sz w:val="20"/>
          <w:szCs w:val="20"/>
          <w:lang w:val="en-US"/>
        </w:rPr>
        <w:footnoteReference w:id="84"/>
      </w:r>
      <w:r w:rsidR="006C62AC" w:rsidRPr="00F53942">
        <w:rPr>
          <w:sz w:val="20"/>
          <w:szCs w:val="20"/>
          <w:lang w:val="en-US"/>
        </w:rPr>
        <w:t xml:space="preserve"> </w:t>
      </w:r>
      <w:r w:rsidR="006C62AC" w:rsidRPr="00F53942">
        <w:rPr>
          <w:sz w:val="20"/>
          <w:szCs w:val="20"/>
        </w:rPr>
        <w:t>In these cases, courts frequently hold that such conduct constitutes at minimum an unfair market practice</w:t>
      </w:r>
      <w:r w:rsidR="0049380C">
        <w:rPr>
          <w:sz w:val="20"/>
          <w:szCs w:val="20"/>
        </w:rPr>
        <w:t>, sanctioned by Article VI.104 BCEL</w:t>
      </w:r>
      <w:r w:rsidR="00F53942" w:rsidRPr="00F53942">
        <w:rPr>
          <w:sz w:val="20"/>
          <w:szCs w:val="20"/>
        </w:rPr>
        <w:t>.</w:t>
      </w:r>
      <w:r w:rsidR="00F53942" w:rsidRPr="00F53942">
        <w:rPr>
          <w:rStyle w:val="FootnoteReference"/>
          <w:sz w:val="20"/>
          <w:szCs w:val="20"/>
        </w:rPr>
        <w:footnoteReference w:id="85"/>
      </w:r>
      <w:r w:rsidR="00F53942" w:rsidRPr="00F53942">
        <w:rPr>
          <w:sz w:val="20"/>
          <w:szCs w:val="20"/>
        </w:rPr>
        <w:t xml:space="preserve"> Notably, establishing a violation of Article VI.104 BCEL does not require </w:t>
      </w:r>
      <w:r w:rsidR="00F53942" w:rsidRPr="00F53942">
        <w:rPr>
          <w:sz w:val="20"/>
          <w:szCs w:val="20"/>
        </w:rPr>
        <w:lastRenderedPageBreak/>
        <w:t xml:space="preserve">complex market analysis </w:t>
      </w:r>
      <w:r w:rsidR="0028350F">
        <w:rPr>
          <w:sz w:val="20"/>
          <w:szCs w:val="20"/>
        </w:rPr>
        <w:t>n</w:t>
      </w:r>
      <w:r w:rsidR="00F53942" w:rsidRPr="00F53942">
        <w:rPr>
          <w:sz w:val="20"/>
          <w:szCs w:val="20"/>
        </w:rPr>
        <w:t>or proof of actual</w:t>
      </w:r>
      <w:r w:rsidR="006C62AC" w:rsidRPr="00F53942">
        <w:rPr>
          <w:sz w:val="20"/>
          <w:szCs w:val="20"/>
        </w:rPr>
        <w:t xml:space="preserve"> or potential harm to competition. </w:t>
      </w:r>
      <w:r w:rsidR="00F53942" w:rsidRPr="00F53942">
        <w:rPr>
          <w:sz w:val="20"/>
          <w:szCs w:val="20"/>
        </w:rPr>
        <w:t xml:space="preserve">On this basis, courts often find an infringement of Article IV.2/1 BCEL without </w:t>
      </w:r>
      <w:r w:rsidR="00F53942">
        <w:rPr>
          <w:sz w:val="20"/>
          <w:szCs w:val="20"/>
        </w:rPr>
        <w:t>assessing whether there is a</w:t>
      </w:r>
      <w:r w:rsidR="00F53942" w:rsidRPr="00F53942">
        <w:rPr>
          <w:sz w:val="20"/>
          <w:szCs w:val="20"/>
        </w:rPr>
        <w:t xml:space="preserve"> potential restriction of competition, </w:t>
      </w:r>
      <w:r w:rsidR="00F53942">
        <w:rPr>
          <w:sz w:val="20"/>
          <w:szCs w:val="20"/>
        </w:rPr>
        <w:t xml:space="preserve">relying solely on the finding that </w:t>
      </w:r>
      <w:r w:rsidR="00F53942" w:rsidRPr="00F53942">
        <w:rPr>
          <w:sz w:val="20"/>
          <w:szCs w:val="20"/>
        </w:rPr>
        <w:t xml:space="preserve">the behaviour constitutes at least an unfair market practice. </w:t>
      </w:r>
      <w:r w:rsidR="0028350F">
        <w:rPr>
          <w:sz w:val="20"/>
          <w:szCs w:val="20"/>
        </w:rPr>
        <w:t>As such</w:t>
      </w:r>
      <w:r w:rsidR="00F53942" w:rsidRPr="00F53942">
        <w:rPr>
          <w:sz w:val="20"/>
          <w:szCs w:val="20"/>
        </w:rPr>
        <w:t xml:space="preserve">, Article VI.104 BCEL is used to address abuses of economic dependence more broadly. </w:t>
      </w:r>
      <w:r w:rsidR="00C4082D" w:rsidRPr="00C4082D">
        <w:rPr>
          <w:sz w:val="20"/>
          <w:szCs w:val="20"/>
        </w:rPr>
        <w:t>This development, which was anticipated and has been met with concern by commentators,</w:t>
      </w:r>
      <w:r w:rsidR="0049380C">
        <w:rPr>
          <w:rStyle w:val="FootnoteReference"/>
          <w:sz w:val="20"/>
          <w:szCs w:val="20"/>
        </w:rPr>
        <w:footnoteReference w:id="86"/>
      </w:r>
      <w:r w:rsidR="00C4082D" w:rsidRPr="00C4082D">
        <w:rPr>
          <w:sz w:val="20"/>
          <w:szCs w:val="20"/>
        </w:rPr>
        <w:t xml:space="preserve"> means that Article IV.2/1 BCEL increasingly serves as an illustration of an unfair market practice within the meaning of Article VI.104 BCEL, rather than as an autonomous ground for </w:t>
      </w:r>
      <w:r w:rsidR="00600591">
        <w:rPr>
          <w:sz w:val="20"/>
          <w:szCs w:val="20"/>
        </w:rPr>
        <w:t>infringement of competition law</w:t>
      </w:r>
      <w:r w:rsidR="00C4082D" w:rsidRPr="00C4082D">
        <w:rPr>
          <w:sz w:val="20"/>
          <w:szCs w:val="20"/>
        </w:rPr>
        <w:t>.</w:t>
      </w:r>
    </w:p>
    <w:p w14:paraId="34D3806F" w14:textId="4DFC50AB" w:rsidR="00315055" w:rsidRPr="00F53942" w:rsidRDefault="00ED1CC9" w:rsidP="00315055">
      <w:pPr>
        <w:widowControl/>
        <w:shd w:val="clear" w:color="auto" w:fill="FFFFFF"/>
        <w:autoSpaceDE/>
        <w:autoSpaceDN/>
        <w:spacing w:after="140" w:line="290" w:lineRule="auto"/>
        <w:jc w:val="both"/>
        <w:rPr>
          <w:sz w:val="20"/>
          <w:szCs w:val="20"/>
        </w:rPr>
      </w:pPr>
      <w:r w:rsidRPr="00F53942">
        <w:rPr>
          <w:sz w:val="20"/>
          <w:szCs w:val="20"/>
        </w:rPr>
        <w:t>An important consideration in this context is the “negative spillover effect” of competition law. Some authors argue that when conduct is permitted under specific competition law provisions (such as Article IV.2/1 BCEL), it cannot subsequently be prohibited under the broader unfair market practices rules.</w:t>
      </w:r>
      <w:r w:rsidR="00315055" w:rsidRPr="00F53942">
        <w:rPr>
          <w:sz w:val="20"/>
          <w:szCs w:val="20"/>
        </w:rPr>
        <w:t xml:space="preserve"> </w:t>
      </w:r>
      <w:r w:rsidRPr="00F53942">
        <w:rPr>
          <w:sz w:val="20"/>
          <w:szCs w:val="20"/>
        </w:rPr>
        <w:t>In other words, if there is no infringement of competition law, there should be no finding of unfair market practices either.</w:t>
      </w:r>
      <w:r w:rsidR="00315055" w:rsidRPr="00F53942">
        <w:rPr>
          <w:rStyle w:val="FootnoteReference"/>
          <w:sz w:val="20"/>
          <w:szCs w:val="20"/>
        </w:rPr>
        <w:footnoteReference w:id="87"/>
      </w:r>
      <w:r w:rsidR="00315055" w:rsidRPr="00F53942">
        <w:rPr>
          <w:sz w:val="20"/>
          <w:szCs w:val="20"/>
        </w:rPr>
        <w:t xml:space="preserve"> The Belgian Supreme Court </w:t>
      </w:r>
      <w:r w:rsidRPr="00F53942">
        <w:rPr>
          <w:sz w:val="20"/>
          <w:szCs w:val="20"/>
        </w:rPr>
        <w:t>endorsed</w:t>
      </w:r>
      <w:r w:rsidR="00315055" w:rsidRPr="00F53942">
        <w:rPr>
          <w:sz w:val="20"/>
          <w:szCs w:val="20"/>
        </w:rPr>
        <w:t xml:space="preserve"> this view</w:t>
      </w:r>
      <w:r w:rsidR="00424DDA" w:rsidRPr="00F53942">
        <w:rPr>
          <w:sz w:val="20"/>
          <w:szCs w:val="20"/>
        </w:rPr>
        <w:t xml:space="preserve"> in its </w:t>
      </w:r>
      <w:r w:rsidR="00315055" w:rsidRPr="00910EF2">
        <w:rPr>
          <w:sz w:val="20"/>
          <w:szCs w:val="20"/>
        </w:rPr>
        <w:t>Equiform j</w:t>
      </w:r>
      <w:r w:rsidR="00315055" w:rsidRPr="00F53942">
        <w:rPr>
          <w:sz w:val="20"/>
          <w:szCs w:val="20"/>
        </w:rPr>
        <w:t>udgment.</w:t>
      </w:r>
      <w:r w:rsidR="00315055" w:rsidRPr="00F53942">
        <w:rPr>
          <w:rStyle w:val="FootnoteReference"/>
          <w:sz w:val="20"/>
          <w:szCs w:val="20"/>
        </w:rPr>
        <w:footnoteReference w:id="88"/>
      </w:r>
      <w:r w:rsidR="00315055" w:rsidRPr="00F53942">
        <w:rPr>
          <w:sz w:val="20"/>
          <w:szCs w:val="20"/>
        </w:rPr>
        <w:t xml:space="preserve"> In concrete terms, this means that where there is a characteri</w:t>
      </w:r>
      <w:r w:rsidR="00424DDA" w:rsidRPr="00F53942">
        <w:rPr>
          <w:sz w:val="20"/>
          <w:szCs w:val="20"/>
        </w:rPr>
        <w:t>s</w:t>
      </w:r>
      <w:r w:rsidR="00315055" w:rsidRPr="00F53942">
        <w:rPr>
          <w:sz w:val="20"/>
          <w:szCs w:val="20"/>
        </w:rPr>
        <w:t xml:space="preserve">ed form of economic dependence but no distortion of competition, </w:t>
      </w:r>
      <w:r w:rsidR="00FF0CAF" w:rsidRPr="00F53942">
        <w:rPr>
          <w:sz w:val="20"/>
          <w:szCs w:val="20"/>
        </w:rPr>
        <w:t xml:space="preserve">and as such the behaviour is allowed under competition law, </w:t>
      </w:r>
      <w:r w:rsidR="00315055" w:rsidRPr="00F53942">
        <w:rPr>
          <w:sz w:val="20"/>
          <w:szCs w:val="20"/>
        </w:rPr>
        <w:t xml:space="preserve">a court may not apply the general standard of Article VI.104 BCEL. This </w:t>
      </w:r>
      <w:r w:rsidRPr="00F53942">
        <w:rPr>
          <w:sz w:val="20"/>
          <w:szCs w:val="20"/>
        </w:rPr>
        <w:t>approach</w:t>
      </w:r>
      <w:r w:rsidR="00315055" w:rsidRPr="00F53942">
        <w:rPr>
          <w:sz w:val="20"/>
          <w:szCs w:val="20"/>
        </w:rPr>
        <w:t xml:space="preserve"> has only been </w:t>
      </w:r>
      <w:r w:rsidRPr="00F53942">
        <w:rPr>
          <w:sz w:val="20"/>
          <w:szCs w:val="20"/>
        </w:rPr>
        <w:t>adopted</w:t>
      </w:r>
      <w:r w:rsidR="00315055" w:rsidRPr="00F53942">
        <w:rPr>
          <w:sz w:val="20"/>
          <w:szCs w:val="20"/>
        </w:rPr>
        <w:t xml:space="preserve"> once in </w:t>
      </w:r>
      <w:r w:rsidRPr="00F53942">
        <w:rPr>
          <w:sz w:val="20"/>
          <w:szCs w:val="20"/>
        </w:rPr>
        <w:t>Belgian</w:t>
      </w:r>
      <w:r w:rsidR="00315055" w:rsidRPr="00F53942">
        <w:rPr>
          <w:sz w:val="20"/>
          <w:szCs w:val="20"/>
        </w:rPr>
        <w:t xml:space="preserve"> case law on abuse of economic dependence.</w:t>
      </w:r>
      <w:r w:rsidR="00315055" w:rsidRPr="00F53942">
        <w:rPr>
          <w:rStyle w:val="FootnoteReference"/>
          <w:sz w:val="20"/>
          <w:szCs w:val="20"/>
        </w:rPr>
        <w:footnoteReference w:id="89"/>
      </w:r>
      <w:r w:rsidR="00315055" w:rsidRPr="00F53942">
        <w:rPr>
          <w:sz w:val="20"/>
          <w:szCs w:val="20"/>
        </w:rPr>
        <w:t xml:space="preserve"> </w:t>
      </w:r>
    </w:p>
    <w:p w14:paraId="30F2FBDD" w14:textId="2F80E287" w:rsidR="00315055" w:rsidRPr="00F53942" w:rsidRDefault="00ED1CC9" w:rsidP="00315055">
      <w:pPr>
        <w:widowControl/>
        <w:shd w:val="clear" w:color="auto" w:fill="FFFFFF"/>
        <w:autoSpaceDE/>
        <w:autoSpaceDN/>
        <w:spacing w:after="140" w:line="290" w:lineRule="auto"/>
        <w:jc w:val="both"/>
        <w:rPr>
          <w:sz w:val="20"/>
          <w:szCs w:val="20"/>
        </w:rPr>
      </w:pPr>
      <w:r w:rsidRPr="00F53942">
        <w:rPr>
          <w:sz w:val="20"/>
          <w:szCs w:val="20"/>
        </w:rPr>
        <w:t xml:space="preserve">Given these issues, a clearer delineation between </w:t>
      </w:r>
      <w:r w:rsidR="00315055" w:rsidRPr="00F53942">
        <w:rPr>
          <w:sz w:val="20"/>
          <w:szCs w:val="20"/>
        </w:rPr>
        <w:t xml:space="preserve">Article IV.2/1 BCEL and Article VI.104 BCEL </w:t>
      </w:r>
      <w:r w:rsidRPr="00F53942">
        <w:rPr>
          <w:sz w:val="20"/>
          <w:szCs w:val="20"/>
        </w:rPr>
        <w:t>would help ensure that courts apply both provisions correctly and consistently, and would also promote greater legal certainty for undertakings.</w:t>
      </w:r>
    </w:p>
    <w:p w14:paraId="2B1BB4D8" w14:textId="62E90E9E" w:rsidR="00B245DC" w:rsidRPr="00F53942" w:rsidRDefault="00B245DC" w:rsidP="00B245DC">
      <w:pPr>
        <w:widowControl/>
        <w:shd w:val="clear" w:color="auto" w:fill="FFFFFF"/>
        <w:autoSpaceDE/>
        <w:autoSpaceDN/>
        <w:spacing w:after="140" w:line="290" w:lineRule="auto"/>
        <w:jc w:val="both"/>
        <w:rPr>
          <w:sz w:val="20"/>
          <w:szCs w:val="20"/>
        </w:rPr>
      </w:pPr>
      <w:r w:rsidRPr="00F53942">
        <w:rPr>
          <w:sz w:val="20"/>
          <w:szCs w:val="20"/>
        </w:rPr>
        <w:t xml:space="preserve">That both courts and undertakings often </w:t>
      </w:r>
      <w:r w:rsidR="00ED1CC9" w:rsidRPr="00F53942">
        <w:rPr>
          <w:sz w:val="20"/>
          <w:szCs w:val="20"/>
        </w:rPr>
        <w:t>bypass</w:t>
      </w:r>
      <w:r w:rsidRPr="00F53942">
        <w:rPr>
          <w:sz w:val="20"/>
          <w:szCs w:val="20"/>
        </w:rPr>
        <w:t xml:space="preserve"> the requirement of a potential impairment on Belgian competition and try to find other ways to punish any abuse, </w:t>
      </w:r>
      <w:r w:rsidR="00ED1CC9" w:rsidRPr="00F53942">
        <w:rPr>
          <w:sz w:val="20"/>
          <w:szCs w:val="20"/>
        </w:rPr>
        <w:t>is unsurprising</w:t>
      </w:r>
      <w:r w:rsidRPr="00F53942">
        <w:rPr>
          <w:sz w:val="20"/>
          <w:szCs w:val="20"/>
        </w:rPr>
        <w:t xml:space="preserve">. </w:t>
      </w:r>
      <w:r w:rsidR="00ED1CC9" w:rsidRPr="00F53942">
        <w:rPr>
          <w:sz w:val="20"/>
          <w:szCs w:val="20"/>
        </w:rPr>
        <w:t>Demonstrating such impairment places a considerable burden of proof on claimants, as it requires extensive resources and knowledge to carry out these economic complex analyses</w:t>
      </w:r>
      <w:r w:rsidRPr="00F53942">
        <w:rPr>
          <w:sz w:val="20"/>
          <w:szCs w:val="20"/>
        </w:rPr>
        <w:t>.</w:t>
      </w:r>
      <w:r w:rsidR="00ED1CC9" w:rsidRPr="00F53942">
        <w:rPr>
          <w:sz w:val="20"/>
          <w:szCs w:val="20"/>
        </w:rPr>
        <w:t xml:space="preserve"> Also courts are usually not equipped to conduct such market studies if parties do not provide them with the relevant data. </w:t>
      </w:r>
      <w:r w:rsidRPr="00F53942">
        <w:rPr>
          <w:sz w:val="20"/>
          <w:szCs w:val="20"/>
        </w:rPr>
        <w:t xml:space="preserve">This </w:t>
      </w:r>
      <w:r w:rsidR="00ED1CC9" w:rsidRPr="00F53942">
        <w:rPr>
          <w:sz w:val="20"/>
          <w:szCs w:val="20"/>
        </w:rPr>
        <w:t>challenge was highlighted</w:t>
      </w:r>
      <w:r w:rsidRPr="00F53942">
        <w:rPr>
          <w:sz w:val="20"/>
          <w:szCs w:val="20"/>
        </w:rPr>
        <w:t xml:space="preserve"> in the explanatory memorandum to the 2015 bill</w:t>
      </w:r>
      <w:r w:rsidR="00DA2E1D" w:rsidRPr="00F53942">
        <w:rPr>
          <w:sz w:val="20"/>
          <w:szCs w:val="20"/>
        </w:rPr>
        <w:t xml:space="preserve"> and was also a main concern in other jurisdictions with a similar provision on abuse of economic dependence</w:t>
      </w:r>
      <w:r w:rsidR="00812E34" w:rsidRPr="00F53942">
        <w:rPr>
          <w:sz w:val="20"/>
          <w:szCs w:val="20"/>
        </w:rPr>
        <w:t>.</w:t>
      </w:r>
      <w:r w:rsidR="00DA2E1D" w:rsidRPr="00F53942">
        <w:rPr>
          <w:rStyle w:val="FootnoteReference"/>
          <w:sz w:val="20"/>
          <w:szCs w:val="20"/>
        </w:rPr>
        <w:footnoteReference w:id="90"/>
      </w:r>
      <w:r w:rsidR="00DA2E1D" w:rsidRPr="00F53942">
        <w:rPr>
          <w:sz w:val="20"/>
          <w:szCs w:val="20"/>
        </w:rPr>
        <w:t xml:space="preserve"> </w:t>
      </w:r>
    </w:p>
    <w:p w14:paraId="678A36FD" w14:textId="781BD62A" w:rsidR="005942D5" w:rsidRPr="00F53942" w:rsidRDefault="00424DDA" w:rsidP="00904B52">
      <w:pPr>
        <w:pStyle w:val="Heading1"/>
        <w:numPr>
          <w:ilvl w:val="1"/>
          <w:numId w:val="1"/>
        </w:numPr>
        <w:tabs>
          <w:tab w:val="left" w:pos="363"/>
        </w:tabs>
        <w:spacing w:after="140" w:line="290" w:lineRule="auto"/>
        <w:ind w:right="6"/>
        <w:jc w:val="both"/>
        <w:rPr>
          <w:sz w:val="20"/>
          <w:szCs w:val="20"/>
        </w:rPr>
      </w:pPr>
      <w:bookmarkStart w:id="34" w:name="_Ref209164837"/>
      <w:bookmarkStart w:id="35" w:name="_Toc209451802"/>
      <w:r w:rsidRPr="00F53942">
        <w:rPr>
          <w:sz w:val="20"/>
          <w:szCs w:val="20"/>
        </w:rPr>
        <w:t>Parallels with Other Legal Concepts</w:t>
      </w:r>
      <w:bookmarkEnd w:id="34"/>
      <w:bookmarkEnd w:id="35"/>
    </w:p>
    <w:p w14:paraId="38F2A10C" w14:textId="77777777" w:rsidR="00F8391A" w:rsidRPr="00F53942" w:rsidRDefault="00424DDA" w:rsidP="00424DDA">
      <w:pPr>
        <w:widowControl/>
        <w:shd w:val="clear" w:color="auto" w:fill="FFFFFF"/>
        <w:autoSpaceDE/>
        <w:autoSpaceDN/>
        <w:spacing w:after="140" w:line="290" w:lineRule="auto"/>
        <w:jc w:val="both"/>
        <w:rPr>
          <w:sz w:val="20"/>
          <w:szCs w:val="20"/>
        </w:rPr>
      </w:pPr>
      <w:r w:rsidRPr="00F53942">
        <w:rPr>
          <w:sz w:val="20"/>
          <w:szCs w:val="20"/>
        </w:rPr>
        <w:t xml:space="preserve">The prohibition of abuse of economic dependence has parallels with many other concepts in </w:t>
      </w:r>
      <w:r w:rsidR="00F8391A" w:rsidRPr="00F53942">
        <w:rPr>
          <w:sz w:val="20"/>
          <w:szCs w:val="20"/>
        </w:rPr>
        <w:t>Belgian competition law, market practices</w:t>
      </w:r>
      <w:r w:rsidRPr="00F53942">
        <w:rPr>
          <w:sz w:val="20"/>
          <w:szCs w:val="20"/>
        </w:rPr>
        <w:t xml:space="preserve"> law and contract law, such as the prohibition of cartels, the prohibition of abuse of dominance, the prohibition of unfair terms, the prohibition of unfair, misleading and aggressive market practices, the concept of abuse of rights, and defects of consent such as error, fraud, and abuse of circumstances. </w:t>
      </w:r>
      <w:r w:rsidR="00F8391A" w:rsidRPr="00F53942">
        <w:rPr>
          <w:sz w:val="20"/>
          <w:szCs w:val="20"/>
        </w:rPr>
        <w:t>T</w:t>
      </w:r>
      <w:r w:rsidRPr="00F53942">
        <w:rPr>
          <w:sz w:val="20"/>
          <w:szCs w:val="20"/>
        </w:rPr>
        <w:t xml:space="preserve">he legislator </w:t>
      </w:r>
      <w:r w:rsidR="00F8391A" w:rsidRPr="00F53942">
        <w:rPr>
          <w:sz w:val="20"/>
          <w:szCs w:val="20"/>
        </w:rPr>
        <w:t xml:space="preserve">however </w:t>
      </w:r>
      <w:r w:rsidRPr="00F53942">
        <w:rPr>
          <w:sz w:val="20"/>
          <w:szCs w:val="20"/>
        </w:rPr>
        <w:t xml:space="preserve">failed to clarify the link between the prohibition of abuse of economic dependence and these other legal concepts. </w:t>
      </w:r>
    </w:p>
    <w:p w14:paraId="1C3C7369" w14:textId="77777777" w:rsidR="001A67CD" w:rsidRDefault="00424DDA" w:rsidP="00B454CE">
      <w:pPr>
        <w:widowControl/>
        <w:shd w:val="clear" w:color="auto" w:fill="FFFFFF"/>
        <w:autoSpaceDE/>
        <w:autoSpaceDN/>
        <w:spacing w:after="140" w:line="290" w:lineRule="auto"/>
        <w:jc w:val="both"/>
        <w:rPr>
          <w:sz w:val="20"/>
          <w:szCs w:val="20"/>
        </w:rPr>
      </w:pPr>
      <w:r w:rsidRPr="00F53942">
        <w:rPr>
          <w:sz w:val="20"/>
          <w:szCs w:val="20"/>
        </w:rPr>
        <w:t xml:space="preserve">Most of these legal concepts are not sufficient to cover </w:t>
      </w:r>
      <w:r w:rsidRPr="00600591">
        <w:rPr>
          <w:i/>
          <w:iCs/>
          <w:sz w:val="20"/>
          <w:szCs w:val="20"/>
        </w:rPr>
        <w:t>every</w:t>
      </w:r>
      <w:r w:rsidRPr="00F53942">
        <w:rPr>
          <w:sz w:val="20"/>
          <w:szCs w:val="20"/>
        </w:rPr>
        <w:t xml:space="preserve"> situation of abuse of economic dependence. The main reason for this is that often not all the conditions for the application of these other legal grounds are met. </w:t>
      </w:r>
      <w:r w:rsidR="00F8391A" w:rsidRPr="00F53942">
        <w:rPr>
          <w:sz w:val="20"/>
          <w:szCs w:val="20"/>
        </w:rPr>
        <w:t>For example, the prohibition of cartels</w:t>
      </w:r>
      <w:r w:rsidR="00F8391A" w:rsidRPr="00F53942">
        <w:rPr>
          <w:rStyle w:val="FootnoteReference"/>
          <w:sz w:val="20"/>
          <w:szCs w:val="20"/>
        </w:rPr>
        <w:footnoteReference w:id="91"/>
      </w:r>
      <w:r w:rsidR="00F8391A" w:rsidRPr="00F53942">
        <w:rPr>
          <w:sz w:val="20"/>
          <w:szCs w:val="20"/>
        </w:rPr>
        <w:t xml:space="preserve"> requires collaboration between undertakings and is therefore not suitable where dependence results from unilateral behaviour. The prohibition on abuse of dominance</w:t>
      </w:r>
      <w:r w:rsidR="00F8391A" w:rsidRPr="00F53942">
        <w:rPr>
          <w:rStyle w:val="FootnoteReference"/>
          <w:sz w:val="20"/>
          <w:szCs w:val="20"/>
        </w:rPr>
        <w:footnoteReference w:id="92"/>
      </w:r>
      <w:r w:rsidR="00F8391A" w:rsidRPr="00F53942">
        <w:rPr>
          <w:sz w:val="20"/>
          <w:szCs w:val="20"/>
        </w:rPr>
        <w:t xml:space="preserve"> only applies when an undertaking holds absolute market power, which is not always present in dependency scenarios. The</w:t>
      </w:r>
      <w:r w:rsidR="00902986" w:rsidRPr="00F53942">
        <w:rPr>
          <w:sz w:val="20"/>
          <w:szCs w:val="20"/>
        </w:rPr>
        <w:t xml:space="preserve"> </w:t>
      </w:r>
      <w:r w:rsidR="00F8391A" w:rsidRPr="00F53942">
        <w:rPr>
          <w:sz w:val="20"/>
          <w:szCs w:val="20"/>
        </w:rPr>
        <w:t>prohibiti</w:t>
      </w:r>
      <w:r w:rsidR="00B454CE" w:rsidRPr="00F53942">
        <w:rPr>
          <w:sz w:val="20"/>
          <w:szCs w:val="20"/>
        </w:rPr>
        <w:t>ons on</w:t>
      </w:r>
      <w:r w:rsidR="00F8391A" w:rsidRPr="00F53942">
        <w:rPr>
          <w:sz w:val="20"/>
          <w:szCs w:val="20"/>
        </w:rPr>
        <w:t xml:space="preserve"> unfair terms</w:t>
      </w:r>
      <w:r w:rsidR="00F8391A" w:rsidRPr="00F53942">
        <w:rPr>
          <w:rStyle w:val="FootnoteReference"/>
          <w:sz w:val="20"/>
          <w:szCs w:val="20"/>
        </w:rPr>
        <w:footnoteReference w:id="93"/>
      </w:r>
      <w:r w:rsidR="00F8391A" w:rsidRPr="00F53942">
        <w:rPr>
          <w:sz w:val="20"/>
          <w:szCs w:val="20"/>
        </w:rPr>
        <w:t xml:space="preserve"> </w:t>
      </w:r>
      <w:r w:rsidR="00B454CE" w:rsidRPr="00F53942">
        <w:rPr>
          <w:sz w:val="20"/>
          <w:szCs w:val="20"/>
        </w:rPr>
        <w:t>are</w:t>
      </w:r>
      <w:r w:rsidR="00F8391A" w:rsidRPr="00F53942">
        <w:rPr>
          <w:sz w:val="20"/>
          <w:szCs w:val="20"/>
        </w:rPr>
        <w:t xml:space="preserve"> </w:t>
      </w:r>
      <w:r w:rsidR="00B454CE" w:rsidRPr="00F53942">
        <w:rPr>
          <w:sz w:val="20"/>
          <w:szCs w:val="20"/>
        </w:rPr>
        <w:t>mainly confined</w:t>
      </w:r>
      <w:r w:rsidR="00F8391A" w:rsidRPr="00F53942">
        <w:rPr>
          <w:sz w:val="20"/>
          <w:szCs w:val="20"/>
        </w:rPr>
        <w:t xml:space="preserve"> to contractual relationships</w:t>
      </w:r>
      <w:r w:rsidR="00902986" w:rsidRPr="00F53942">
        <w:rPr>
          <w:sz w:val="20"/>
          <w:szCs w:val="20"/>
        </w:rPr>
        <w:t xml:space="preserve">, limiting their suitability for addressing abuse of </w:t>
      </w:r>
      <w:r w:rsidR="00902986" w:rsidRPr="00F53942">
        <w:rPr>
          <w:sz w:val="20"/>
          <w:szCs w:val="20"/>
        </w:rPr>
        <w:lastRenderedPageBreak/>
        <w:t>economic dependence</w:t>
      </w:r>
      <w:r w:rsidR="00F8391A" w:rsidRPr="00F53942">
        <w:rPr>
          <w:sz w:val="20"/>
          <w:szCs w:val="20"/>
        </w:rPr>
        <w:t xml:space="preserve">. </w:t>
      </w:r>
      <w:r w:rsidR="00B454CE" w:rsidRPr="00F53942">
        <w:rPr>
          <w:sz w:val="20"/>
          <w:szCs w:val="20"/>
        </w:rPr>
        <w:t>R</w:t>
      </w:r>
      <w:r w:rsidR="00F8391A" w:rsidRPr="00F53942">
        <w:rPr>
          <w:sz w:val="20"/>
          <w:szCs w:val="20"/>
        </w:rPr>
        <w:t>emedies based on defects of will</w:t>
      </w:r>
      <w:r w:rsidR="00902986" w:rsidRPr="00F53942">
        <w:rPr>
          <w:sz w:val="20"/>
          <w:szCs w:val="20"/>
        </w:rPr>
        <w:t xml:space="preserve"> – </w:t>
      </w:r>
      <w:r w:rsidR="00F8391A" w:rsidRPr="00F53942">
        <w:rPr>
          <w:sz w:val="20"/>
          <w:szCs w:val="20"/>
        </w:rPr>
        <w:t>such as error or fraud</w:t>
      </w:r>
      <w:r w:rsidR="00902986" w:rsidRPr="00F53942">
        <w:rPr>
          <w:rStyle w:val="FootnoteReference"/>
          <w:sz w:val="20"/>
          <w:szCs w:val="20"/>
        </w:rPr>
        <w:footnoteReference w:id="94"/>
      </w:r>
      <w:r w:rsidR="00902986" w:rsidRPr="00F53942">
        <w:rPr>
          <w:sz w:val="20"/>
          <w:szCs w:val="20"/>
        </w:rPr>
        <w:t xml:space="preserve"> – </w:t>
      </w:r>
      <w:r w:rsidR="00B454CE" w:rsidRPr="00F53942">
        <w:rPr>
          <w:sz w:val="20"/>
          <w:szCs w:val="20"/>
        </w:rPr>
        <w:t>also primarily address issues within formal agreements and do not capture the diverse and often subtle forms of economic dependence</w:t>
      </w:r>
      <w:r w:rsidR="00F8391A" w:rsidRPr="00F53942">
        <w:rPr>
          <w:sz w:val="20"/>
          <w:szCs w:val="20"/>
        </w:rPr>
        <w:t>.</w:t>
      </w:r>
      <w:r w:rsidR="00902986" w:rsidRPr="00F53942">
        <w:rPr>
          <w:sz w:val="20"/>
          <w:szCs w:val="20"/>
        </w:rPr>
        <w:t xml:space="preserve"> </w:t>
      </w:r>
      <w:r w:rsidR="00B454CE" w:rsidRPr="00F53942">
        <w:rPr>
          <w:sz w:val="20"/>
          <w:szCs w:val="20"/>
        </w:rPr>
        <w:t>Further, prohibitions on misleading market practices</w:t>
      </w:r>
      <w:r w:rsidR="001A67CD" w:rsidRPr="00F53942">
        <w:rPr>
          <w:rStyle w:val="FootnoteReference"/>
          <w:sz w:val="20"/>
          <w:szCs w:val="20"/>
        </w:rPr>
        <w:footnoteReference w:id="95"/>
      </w:r>
      <w:r w:rsidR="00B454CE" w:rsidRPr="00F53942">
        <w:rPr>
          <w:sz w:val="20"/>
          <w:szCs w:val="20"/>
        </w:rPr>
        <w:t xml:space="preserve"> are only relevant in rare cases where the abuse takes the form of deceptive information. </w:t>
      </w:r>
      <w:r w:rsidR="00B454CE" w:rsidRPr="00F8391A">
        <w:rPr>
          <w:sz w:val="20"/>
          <w:szCs w:val="20"/>
        </w:rPr>
        <w:t>The prohibition on abuse of circumstances</w:t>
      </w:r>
      <w:r w:rsidR="00B454CE" w:rsidRPr="00F53942">
        <w:rPr>
          <w:rStyle w:val="FootnoteReference"/>
          <w:sz w:val="20"/>
          <w:szCs w:val="20"/>
        </w:rPr>
        <w:footnoteReference w:id="96"/>
      </w:r>
      <w:r w:rsidR="00B454CE" w:rsidRPr="00F8391A">
        <w:rPr>
          <w:sz w:val="20"/>
          <w:szCs w:val="20"/>
        </w:rPr>
        <w:t xml:space="preserve"> could provide an effective solution for contractual cases, but does not extend to non-contractual settings.</w:t>
      </w:r>
      <w:r w:rsidR="0001503D" w:rsidRPr="00F53942">
        <w:rPr>
          <w:sz w:val="20"/>
          <w:szCs w:val="20"/>
        </w:rPr>
        <w:t xml:space="preserve"> </w:t>
      </w:r>
    </w:p>
    <w:p w14:paraId="32C9846C" w14:textId="0CD36F6C" w:rsidR="0001503D" w:rsidRPr="00F53942" w:rsidRDefault="00B454CE" w:rsidP="00424DDA">
      <w:pPr>
        <w:widowControl/>
        <w:shd w:val="clear" w:color="auto" w:fill="FFFFFF"/>
        <w:autoSpaceDE/>
        <w:autoSpaceDN/>
        <w:spacing w:after="140" w:line="290" w:lineRule="auto"/>
        <w:jc w:val="both"/>
        <w:rPr>
          <w:sz w:val="20"/>
          <w:szCs w:val="20"/>
        </w:rPr>
      </w:pPr>
      <w:r w:rsidRPr="00F53942">
        <w:rPr>
          <w:sz w:val="20"/>
          <w:szCs w:val="20"/>
        </w:rPr>
        <w:t>Nonetheless, certain broader legislative tools remain relevant. Prohibitions such as those against unfair or aggressive market practices</w:t>
      </w:r>
      <w:r w:rsidRPr="00F53942">
        <w:rPr>
          <w:rStyle w:val="FootnoteReference"/>
          <w:sz w:val="20"/>
          <w:szCs w:val="20"/>
        </w:rPr>
        <w:footnoteReference w:id="97"/>
      </w:r>
      <w:r w:rsidRPr="00F53942">
        <w:rPr>
          <w:sz w:val="20"/>
          <w:szCs w:val="20"/>
        </w:rPr>
        <w:t xml:space="preserve"> and the principle against abuse of rights</w:t>
      </w:r>
      <w:r w:rsidRPr="00F53942">
        <w:rPr>
          <w:rStyle w:val="FootnoteReference"/>
          <w:sz w:val="20"/>
          <w:szCs w:val="20"/>
        </w:rPr>
        <w:footnoteReference w:id="98"/>
      </w:r>
      <w:r w:rsidRPr="00F53942">
        <w:rPr>
          <w:sz w:val="20"/>
          <w:szCs w:val="20"/>
        </w:rPr>
        <w:t xml:space="preserve"> </w:t>
      </w:r>
      <w:r w:rsidR="0001503D" w:rsidRPr="00F53942">
        <w:rPr>
          <w:sz w:val="20"/>
          <w:szCs w:val="20"/>
        </w:rPr>
        <w:t xml:space="preserve">appear to form a solid basis for addressing abusive conduct </w:t>
      </w:r>
      <w:r w:rsidR="002F6031">
        <w:rPr>
          <w:sz w:val="20"/>
          <w:szCs w:val="20"/>
        </w:rPr>
        <w:t>in the context of</w:t>
      </w:r>
      <w:r w:rsidR="0001503D" w:rsidRPr="00F53942">
        <w:rPr>
          <w:sz w:val="20"/>
          <w:szCs w:val="20"/>
        </w:rPr>
        <w:t xml:space="preserve"> economic dependen</w:t>
      </w:r>
      <w:r w:rsidR="002F6031">
        <w:rPr>
          <w:sz w:val="20"/>
          <w:szCs w:val="20"/>
        </w:rPr>
        <w:t>cy relationships</w:t>
      </w:r>
      <w:r w:rsidRPr="00F53942">
        <w:rPr>
          <w:sz w:val="20"/>
          <w:szCs w:val="20"/>
        </w:rPr>
        <w:t>.</w:t>
      </w:r>
      <w:r w:rsidR="001A67CD">
        <w:rPr>
          <w:sz w:val="20"/>
          <w:szCs w:val="20"/>
        </w:rPr>
        <w:t xml:space="preserve"> </w:t>
      </w:r>
      <w:r w:rsidR="00FC1F56" w:rsidRPr="00F53942">
        <w:rPr>
          <w:sz w:val="20"/>
          <w:szCs w:val="20"/>
        </w:rPr>
        <w:t>There is some debate as to whether these existing legal concepts are generally adequate to address situations of economic dependence, and whether the explicit prohibition in Article IV.2/1 BCEL brings significant additional value. It could be argued that, since these frameworks often reach similar outcomes and may be more straightforward to invoke, the dedicated provision may be redundant.</w:t>
      </w:r>
      <w:r w:rsidR="001A67CD">
        <w:rPr>
          <w:sz w:val="20"/>
          <w:szCs w:val="20"/>
        </w:rPr>
        <w:t xml:space="preserve"> </w:t>
      </w:r>
      <w:r w:rsidR="00FC1F56" w:rsidRPr="00F53942">
        <w:rPr>
          <w:sz w:val="20"/>
          <w:szCs w:val="20"/>
        </w:rPr>
        <w:t xml:space="preserve">Still, the inclusion of an explicit prohibition on abuse of economic dependence provides a clearer and more targeted legal tool, promising more effective protection in cases where other provisions may fall short. The extent to which this regime will differ in practice from established legal concept – and how the courts will </w:t>
      </w:r>
      <w:r w:rsidR="002F6031">
        <w:rPr>
          <w:sz w:val="20"/>
          <w:szCs w:val="20"/>
        </w:rPr>
        <w:t xml:space="preserve">further </w:t>
      </w:r>
      <w:r w:rsidR="00FC1F56" w:rsidRPr="00F53942">
        <w:rPr>
          <w:sz w:val="20"/>
          <w:szCs w:val="20"/>
        </w:rPr>
        <w:t>delineate its boundaries – remains to be seen.</w:t>
      </w:r>
    </w:p>
    <w:p w14:paraId="77C52DBC" w14:textId="1A1BCAF3" w:rsidR="00424DDA" w:rsidRPr="00F53942" w:rsidRDefault="00904B52" w:rsidP="00904B52">
      <w:pPr>
        <w:pStyle w:val="Heading1"/>
        <w:numPr>
          <w:ilvl w:val="0"/>
          <w:numId w:val="1"/>
        </w:numPr>
        <w:tabs>
          <w:tab w:val="left" w:pos="363"/>
        </w:tabs>
        <w:spacing w:after="140" w:line="290" w:lineRule="auto"/>
        <w:ind w:right="6"/>
        <w:jc w:val="both"/>
        <w:rPr>
          <w:sz w:val="20"/>
          <w:szCs w:val="20"/>
        </w:rPr>
      </w:pPr>
      <w:bookmarkStart w:id="36" w:name="_Toc209451803"/>
      <w:r w:rsidRPr="00F53942">
        <w:rPr>
          <w:sz w:val="20"/>
          <w:szCs w:val="20"/>
        </w:rPr>
        <w:t xml:space="preserve">Conclusion: </w:t>
      </w:r>
      <w:r w:rsidR="00B245DC" w:rsidRPr="00F53942">
        <w:rPr>
          <w:sz w:val="20"/>
          <w:szCs w:val="20"/>
        </w:rPr>
        <w:t>Necessity of a Prohibition on Abuse of Economic Dependence?</w:t>
      </w:r>
      <w:bookmarkEnd w:id="36"/>
    </w:p>
    <w:p w14:paraId="525B4C39" w14:textId="576ED7DA" w:rsidR="00B245DC" w:rsidRPr="00F53942" w:rsidRDefault="00160C40" w:rsidP="00B245DC">
      <w:pPr>
        <w:widowControl/>
        <w:shd w:val="clear" w:color="auto" w:fill="FFFFFF"/>
        <w:autoSpaceDE/>
        <w:autoSpaceDN/>
        <w:spacing w:after="140" w:line="290" w:lineRule="auto"/>
        <w:jc w:val="both"/>
        <w:rPr>
          <w:sz w:val="20"/>
          <w:szCs w:val="20"/>
        </w:rPr>
      </w:pPr>
      <w:r w:rsidRPr="00F53942">
        <w:rPr>
          <w:sz w:val="20"/>
          <w:szCs w:val="20"/>
        </w:rPr>
        <w:t>Article IV.2/1 BCEL was int</w:t>
      </w:r>
      <w:r w:rsidR="00200F11" w:rsidRPr="00F53942">
        <w:rPr>
          <w:sz w:val="20"/>
          <w:szCs w:val="20"/>
        </w:rPr>
        <w:t>roduced</w:t>
      </w:r>
      <w:r w:rsidRPr="00F53942">
        <w:rPr>
          <w:sz w:val="20"/>
          <w:szCs w:val="20"/>
        </w:rPr>
        <w:t xml:space="preserve"> to address a gap in Belgian competition law by targeting abuses arising from economic dependence – situations where one business has substantial influence over another without holding a dominant position in the traditional, market-wide sense. In practice, however, the usefulness of this provision appears rather limited</w:t>
      </w:r>
      <w:r w:rsidR="00B245DC" w:rsidRPr="00F53942">
        <w:rPr>
          <w:sz w:val="20"/>
          <w:szCs w:val="20"/>
        </w:rPr>
        <w:t xml:space="preserve">. </w:t>
      </w:r>
    </w:p>
    <w:p w14:paraId="133386CD" w14:textId="51B9F23A" w:rsidR="002D08AF" w:rsidRPr="00F53942" w:rsidRDefault="00ED0EBE" w:rsidP="002D08AF">
      <w:pPr>
        <w:widowControl/>
        <w:autoSpaceDE/>
        <w:autoSpaceDN/>
        <w:spacing w:after="140" w:line="290" w:lineRule="auto"/>
        <w:jc w:val="both"/>
        <w:rPr>
          <w:sz w:val="20"/>
          <w:szCs w:val="20"/>
          <w:lang w:val="en-US"/>
        </w:rPr>
      </w:pPr>
      <w:r>
        <w:rPr>
          <w:sz w:val="20"/>
          <w:szCs w:val="20"/>
        </w:rPr>
        <w:t>D</w:t>
      </w:r>
      <w:r w:rsidR="00160C40" w:rsidRPr="00F53942">
        <w:rPr>
          <w:sz w:val="20"/>
          <w:szCs w:val="20"/>
        </w:rPr>
        <w:t xml:space="preserve">ue to its challenging evidentiary standards, inconsistent application, and broad overlap with more robust and established legal provisions, Article IV.2/1 BCEL has, to date, proven of limited practical utility. </w:t>
      </w:r>
      <w:r w:rsidR="002D08AF" w:rsidRPr="00F53942">
        <w:rPr>
          <w:sz w:val="20"/>
          <w:szCs w:val="20"/>
          <w:lang w:val="en-US"/>
        </w:rPr>
        <w:t xml:space="preserve">Unless courts adopt a more consistent and thorough approach – or legislators clarify the provision’s purpose and parameters – </w:t>
      </w:r>
      <w:r w:rsidR="002D08AF" w:rsidRPr="00F53942">
        <w:rPr>
          <w:sz w:val="20"/>
          <w:szCs w:val="20"/>
        </w:rPr>
        <w:t>it appears likely that Belgian courts and undertaking</w:t>
      </w:r>
      <w:r w:rsidR="001A67CD">
        <w:rPr>
          <w:sz w:val="20"/>
          <w:szCs w:val="20"/>
        </w:rPr>
        <w:t>s</w:t>
      </w:r>
      <w:r w:rsidR="002D08AF" w:rsidRPr="00F53942">
        <w:rPr>
          <w:sz w:val="20"/>
          <w:szCs w:val="20"/>
        </w:rPr>
        <w:t xml:space="preserve"> will </w:t>
      </w:r>
      <w:r w:rsidR="002D08AF" w:rsidRPr="00F53942">
        <w:rPr>
          <w:sz w:val="20"/>
          <w:szCs w:val="20"/>
          <w:lang w:val="en-US"/>
        </w:rPr>
        <w:t xml:space="preserve">continue to address abuse of economic dependence through other, better-established legal avenues. As a result, Article IV.2/1 BCEL </w:t>
      </w:r>
      <w:r w:rsidR="002F6031">
        <w:rPr>
          <w:sz w:val="20"/>
          <w:szCs w:val="20"/>
          <w:lang w:val="en-US"/>
        </w:rPr>
        <w:t xml:space="preserve">would </w:t>
      </w:r>
      <w:r w:rsidR="002D08AF" w:rsidRPr="00F53942">
        <w:rPr>
          <w:sz w:val="20"/>
          <w:szCs w:val="20"/>
          <w:lang w:val="en-US"/>
        </w:rPr>
        <w:t xml:space="preserve">remain </w:t>
      </w:r>
      <w:proofErr w:type="spellStart"/>
      <w:r w:rsidR="002D08AF" w:rsidRPr="00F53942">
        <w:rPr>
          <w:sz w:val="20"/>
          <w:szCs w:val="20"/>
          <w:lang w:val="en-US"/>
        </w:rPr>
        <w:t>underutilised</w:t>
      </w:r>
      <w:proofErr w:type="spellEnd"/>
      <w:r w:rsidR="002D08AF" w:rsidRPr="00F53942">
        <w:rPr>
          <w:sz w:val="20"/>
          <w:szCs w:val="20"/>
          <w:lang w:val="en-US"/>
        </w:rPr>
        <w:t xml:space="preserve"> and, for now, largely redundant within the Belgian legal landscape.</w:t>
      </w:r>
    </w:p>
    <w:p w14:paraId="529831D0" w14:textId="3AC71B73" w:rsidR="00160C40" w:rsidRPr="00F53942" w:rsidRDefault="00160C40" w:rsidP="00B245DC">
      <w:pPr>
        <w:widowControl/>
        <w:shd w:val="clear" w:color="auto" w:fill="FFFFFF"/>
        <w:autoSpaceDE/>
        <w:autoSpaceDN/>
        <w:spacing w:after="140" w:line="290" w:lineRule="auto"/>
        <w:jc w:val="both"/>
        <w:rPr>
          <w:sz w:val="20"/>
          <w:szCs w:val="20"/>
        </w:rPr>
      </w:pPr>
    </w:p>
    <w:sectPr w:rsidR="00160C40" w:rsidRPr="00F53942" w:rsidSect="00C2307B">
      <w:headerReference w:type="even" r:id="rId8"/>
      <w:headerReference w:type="default" r:id="rId9"/>
      <w:footerReference w:type="even" r:id="rId10"/>
      <w:footerReference w:type="default" r:id="rId11"/>
      <w:headerReference w:type="first" r:id="rId12"/>
      <w:footerReference w:type="first" r:id="rId13"/>
      <w:pgSz w:w="11910" w:h="16840"/>
      <w:pgMar w:top="1940" w:right="1275" w:bottom="1240" w:left="1417" w:header="624" w:footer="51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FC3AC" w14:textId="77777777" w:rsidR="00897A40" w:rsidRPr="00325DB7" w:rsidRDefault="00897A40" w:rsidP="00AC0084">
      <w:r w:rsidRPr="00325DB7">
        <w:separator/>
      </w:r>
    </w:p>
  </w:endnote>
  <w:endnote w:type="continuationSeparator" w:id="0">
    <w:p w14:paraId="1C84C368" w14:textId="77777777" w:rsidR="00897A40" w:rsidRPr="00325DB7" w:rsidRDefault="00897A40" w:rsidP="00AC0084">
      <w:r w:rsidRPr="00325D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7692" w14:textId="77777777" w:rsidR="00734E8A" w:rsidRDefault="00734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52230"/>
      <w:docPartObj>
        <w:docPartGallery w:val="Page Numbers (Bottom of Page)"/>
        <w:docPartUnique/>
      </w:docPartObj>
    </w:sdtPr>
    <w:sdtEndPr>
      <w:rPr>
        <w:noProof/>
      </w:rPr>
    </w:sdtEndPr>
    <w:sdtContent>
      <w:p w14:paraId="302D5B59" w14:textId="124B9D46" w:rsidR="002A2A18" w:rsidRDefault="002A2A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795429" w14:textId="026818A2" w:rsidR="00AC0084" w:rsidRPr="00D34F16" w:rsidRDefault="00AC0084">
    <w:pPr>
      <w:pStyle w:val="BodyText"/>
      <w:spacing w:line="14" w:lineRule="auto"/>
      <w:ind w:left="0"/>
      <w:rPr>
        <w:sz w:val="2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62CD" w14:textId="213204D8" w:rsidR="00D34F16" w:rsidRPr="00E6436B" w:rsidRDefault="00E6436B">
    <w:pPr>
      <w:pStyle w:val="Footer"/>
      <w:rPr>
        <w:sz w:val="28"/>
        <w:szCs w:val="28"/>
      </w:rPr>
    </w:pPr>
    <w:bookmarkStart w:id="37" w:name="bmkColourLogo"/>
    <w:r>
      <w:rPr>
        <w:noProof/>
      </w:rPr>
      <w:drawing>
        <wp:inline distT="0" distB="0" distL="0" distR="0" wp14:anchorId="35BE7DB6" wp14:editId="744455F8">
          <wp:extent cx="1188000" cy="195012"/>
          <wp:effectExtent l="0" t="0" r="0" b="0"/>
          <wp:docPr id="351949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49745" name=""/>
                  <pic:cNvPicPr/>
                </pic:nvPicPr>
                <pic:blipFill>
                  <a:blip r:embed="rId1"/>
                  <a:stretch>
                    <a:fillRect/>
                  </a:stretch>
                </pic:blipFill>
                <pic:spPr>
                  <a:xfrm>
                    <a:off x="0" y="0"/>
                    <a:ext cx="1188000" cy="195012"/>
                  </a:xfrm>
                  <a:prstGeom prst="rect">
                    <a:avLst/>
                  </a:prstGeom>
                </pic:spPr>
              </pic:pic>
            </a:graphicData>
          </a:graphic>
        </wp:inline>
      </w:drawing>
    </w:r>
    <w:r>
      <w:t xml:space="preserve"> </w:t>
    </w:r>
    <w:bookmarkEnd w:id="37"/>
    <w:r w:rsidR="00D34F16">
      <w:tab/>
    </w:r>
    <w:r w:rsidR="00D34F16">
      <w:tab/>
    </w:r>
    <w:r w:rsidR="00D34F16" w:rsidRPr="00E6436B">
      <w:rPr>
        <w:b/>
        <w:bCs/>
        <w:sz w:val="28"/>
        <w:szCs w:val="28"/>
      </w:rPr>
      <w:t>Bo De Clercq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DBFE8" w14:textId="77777777" w:rsidR="00897A40" w:rsidRPr="00325DB7" w:rsidRDefault="00897A40" w:rsidP="00AC0084">
      <w:r w:rsidRPr="00325DB7">
        <w:separator/>
      </w:r>
    </w:p>
  </w:footnote>
  <w:footnote w:type="continuationSeparator" w:id="0">
    <w:p w14:paraId="2878F614" w14:textId="77777777" w:rsidR="00897A40" w:rsidRPr="00325DB7" w:rsidRDefault="00897A40" w:rsidP="00AC0084">
      <w:r w:rsidRPr="00325DB7">
        <w:continuationSeparator/>
      </w:r>
    </w:p>
  </w:footnote>
  <w:footnote w:id="1">
    <w:p w14:paraId="2BDD0B58" w14:textId="48407E8D" w:rsidR="00F720A7" w:rsidRPr="0028350F" w:rsidRDefault="00F720A7" w:rsidP="001A67CD">
      <w:pPr>
        <w:pStyle w:val="FootnoteText"/>
        <w:ind w:left="720" w:hanging="720"/>
        <w:jc w:val="both"/>
        <w:rPr>
          <w:sz w:val="16"/>
          <w:szCs w:val="16"/>
          <w:lang w:val="en-US"/>
        </w:rPr>
      </w:pPr>
      <w:r w:rsidRPr="0028350F">
        <w:rPr>
          <w:rStyle w:val="FootnoteReference"/>
          <w:sz w:val="16"/>
          <w:szCs w:val="16"/>
        </w:rPr>
        <w:footnoteRef/>
      </w:r>
      <w:r w:rsidRPr="0028350F">
        <w:rPr>
          <w:sz w:val="16"/>
          <w:szCs w:val="16"/>
          <w:lang w:val="en-US"/>
        </w:rPr>
        <w:tab/>
        <w:t>Bo De Clercq is a lawyer within the Litigation, Arbitration and Investigations department of Linklaters LLP</w:t>
      </w:r>
      <w:r w:rsidR="005A56C9" w:rsidRPr="0028350F">
        <w:rPr>
          <w:sz w:val="16"/>
          <w:szCs w:val="16"/>
          <w:lang w:val="en-US"/>
        </w:rPr>
        <w:t xml:space="preserve"> Brussels</w:t>
      </w:r>
      <w:r w:rsidRPr="0028350F">
        <w:rPr>
          <w:sz w:val="16"/>
          <w:szCs w:val="16"/>
          <w:lang w:val="en-US"/>
        </w:rPr>
        <w:t xml:space="preserve">. She has studied law at the University of Ghent, where she wrote her thesis on the abuse of economic dependence. She has been closely following up on the topic ever since. </w:t>
      </w:r>
    </w:p>
  </w:footnote>
  <w:footnote w:id="2">
    <w:p w14:paraId="60A3E56F" w14:textId="67B7712B" w:rsidR="00334BC0" w:rsidRPr="0028350F" w:rsidRDefault="00334BC0" w:rsidP="001A67CD">
      <w:pPr>
        <w:pStyle w:val="FootnoteText"/>
        <w:ind w:left="720" w:hanging="720"/>
        <w:jc w:val="both"/>
        <w:rPr>
          <w:sz w:val="16"/>
          <w:szCs w:val="16"/>
          <w:lang w:val="nl-BE"/>
        </w:rPr>
      </w:pPr>
      <w:r w:rsidRPr="0028350F">
        <w:rPr>
          <w:rStyle w:val="FootnoteReference"/>
          <w:sz w:val="16"/>
          <w:szCs w:val="16"/>
          <w:lang w:val="nl-BE"/>
        </w:rPr>
        <w:footnoteRef/>
      </w:r>
      <w:r w:rsidRPr="0028350F">
        <w:rPr>
          <w:sz w:val="16"/>
          <w:szCs w:val="16"/>
          <w:lang w:val="nl-BE"/>
        </w:rPr>
        <w:tab/>
        <w:t xml:space="preserve">J. </w:t>
      </w:r>
      <w:proofErr w:type="spellStart"/>
      <w:r w:rsidRPr="0028350F">
        <w:rPr>
          <w:sz w:val="16"/>
          <w:szCs w:val="16"/>
          <w:lang w:val="nl-BE"/>
        </w:rPr>
        <w:t>Stuyck</w:t>
      </w:r>
      <w:proofErr w:type="spellEnd"/>
      <w:r w:rsidRPr="0028350F">
        <w:rPr>
          <w:sz w:val="16"/>
          <w:szCs w:val="16"/>
          <w:lang w:val="nl-BE"/>
        </w:rPr>
        <w:t xml:space="preserve"> and B. </w:t>
      </w:r>
      <w:proofErr w:type="spellStart"/>
      <w:r w:rsidRPr="0028350F">
        <w:rPr>
          <w:sz w:val="16"/>
          <w:szCs w:val="16"/>
          <w:lang w:val="nl-BE"/>
        </w:rPr>
        <w:t>Keirsbilck</w:t>
      </w:r>
      <w:proofErr w:type="spellEnd"/>
      <w:r w:rsidRPr="0028350F">
        <w:rPr>
          <w:sz w:val="16"/>
          <w:szCs w:val="16"/>
          <w:lang w:val="nl-BE"/>
        </w:rPr>
        <w:t xml:space="preserve">, De nieuwe Belgische wet met betrekking tot misbruik van economische afhankelijkheid, onrechtmatige bedingen en oneerlijke marktpraktijken tussen ondernemingen: een eerste commentaar, SEW, 2019, p. 376.    </w:t>
      </w:r>
    </w:p>
  </w:footnote>
  <w:footnote w:id="3">
    <w:p w14:paraId="19FA2A10" w14:textId="2B07CF8B" w:rsidR="001A1AD9" w:rsidRPr="00910EF2" w:rsidRDefault="001A1AD9" w:rsidP="001A67CD">
      <w:pPr>
        <w:pStyle w:val="FootnoteText"/>
        <w:ind w:left="720" w:hanging="720"/>
        <w:jc w:val="both"/>
        <w:rPr>
          <w:sz w:val="16"/>
          <w:szCs w:val="16"/>
          <w:lang w:val="en-US"/>
        </w:rPr>
      </w:pPr>
      <w:r w:rsidRPr="0028350F">
        <w:rPr>
          <w:rStyle w:val="FootnoteReference"/>
          <w:sz w:val="16"/>
          <w:szCs w:val="16"/>
          <w:lang w:val="nl-BE"/>
        </w:rPr>
        <w:footnoteRef/>
      </w:r>
      <w:r w:rsidRPr="00910EF2">
        <w:rPr>
          <w:sz w:val="16"/>
          <w:szCs w:val="16"/>
          <w:lang w:val="en-US"/>
        </w:rPr>
        <w:tab/>
      </w:r>
      <w:r w:rsidR="00913085" w:rsidRPr="00910EF2">
        <w:rPr>
          <w:sz w:val="16"/>
          <w:szCs w:val="16"/>
          <w:lang w:val="en-US"/>
        </w:rPr>
        <w:t>Bill to amend the Code of Economic Law</w:t>
      </w:r>
      <w:r w:rsidR="00913085" w:rsidRPr="0028350F">
        <w:rPr>
          <w:sz w:val="16"/>
          <w:szCs w:val="16"/>
        </w:rPr>
        <w:t xml:space="preserve"> </w:t>
      </w:r>
      <w:r w:rsidR="00913085" w:rsidRPr="00910EF2">
        <w:rPr>
          <w:sz w:val="16"/>
          <w:szCs w:val="16"/>
          <w:lang w:val="en-US"/>
        </w:rPr>
        <w:t xml:space="preserve">with regard to </w:t>
      </w:r>
      <w:r w:rsidR="0007624B" w:rsidRPr="0007624B">
        <w:rPr>
          <w:sz w:val="16"/>
          <w:szCs w:val="16"/>
        </w:rPr>
        <w:t>abuse of a significant position of power</w:t>
      </w:r>
      <w:r w:rsidR="0007624B" w:rsidRPr="00910EF2">
        <w:rPr>
          <w:sz w:val="12"/>
          <w:szCs w:val="12"/>
          <w:lang w:val="en-US"/>
        </w:rPr>
        <w:t xml:space="preserve"> </w:t>
      </w:r>
      <w:r w:rsidR="00913085" w:rsidRPr="00910EF2">
        <w:rPr>
          <w:sz w:val="16"/>
          <w:szCs w:val="16"/>
          <w:lang w:val="en-US"/>
        </w:rPr>
        <w:t xml:space="preserve">(R. </w:t>
      </w:r>
      <w:proofErr w:type="spellStart"/>
      <w:r w:rsidR="00913085" w:rsidRPr="00910EF2">
        <w:rPr>
          <w:sz w:val="16"/>
          <w:szCs w:val="16"/>
          <w:lang w:val="en-US"/>
        </w:rPr>
        <w:t>Gantois</w:t>
      </w:r>
      <w:proofErr w:type="spellEnd"/>
      <w:r w:rsidR="00913085" w:rsidRPr="00910EF2">
        <w:rPr>
          <w:sz w:val="16"/>
          <w:szCs w:val="16"/>
          <w:lang w:val="en-US"/>
        </w:rPr>
        <w:t xml:space="preserve">), </w:t>
      </w:r>
      <w:r w:rsidRPr="00910EF2">
        <w:rPr>
          <w:sz w:val="16"/>
          <w:szCs w:val="16"/>
          <w:lang w:val="en-US"/>
        </w:rPr>
        <w:t xml:space="preserve">Parl. Doc. Chamber 2015-16, </w:t>
      </w:r>
      <w:hyperlink r:id="rId1" w:history="1">
        <w:r w:rsidRPr="00910EF2">
          <w:rPr>
            <w:rStyle w:val="Hyperlink"/>
            <w:color w:val="auto"/>
            <w:sz w:val="16"/>
            <w:szCs w:val="16"/>
            <w:lang w:val="en-US"/>
          </w:rPr>
          <w:t>no. 54-1451/1</w:t>
        </w:r>
      </w:hyperlink>
      <w:r w:rsidRPr="00910EF2">
        <w:rPr>
          <w:sz w:val="16"/>
          <w:szCs w:val="16"/>
          <w:lang w:val="en-US"/>
        </w:rPr>
        <w:t xml:space="preserve">, </w:t>
      </w:r>
      <w:r w:rsidR="00913085" w:rsidRPr="00910EF2">
        <w:rPr>
          <w:sz w:val="16"/>
          <w:szCs w:val="16"/>
          <w:lang w:val="en-US"/>
        </w:rPr>
        <w:t xml:space="preserve">p. </w:t>
      </w:r>
      <w:r w:rsidRPr="00910EF2">
        <w:rPr>
          <w:sz w:val="16"/>
          <w:szCs w:val="16"/>
          <w:lang w:val="en-US"/>
        </w:rPr>
        <w:t xml:space="preserve">4. </w:t>
      </w:r>
    </w:p>
  </w:footnote>
  <w:footnote w:id="4">
    <w:p w14:paraId="7DF86B52" w14:textId="46B750B2" w:rsidR="00BC445C" w:rsidRPr="00910EF2" w:rsidRDefault="00BC445C" w:rsidP="001A67CD">
      <w:pPr>
        <w:pStyle w:val="FootnoteText"/>
        <w:ind w:left="720" w:hanging="720"/>
        <w:jc w:val="both"/>
        <w:rPr>
          <w:sz w:val="16"/>
          <w:szCs w:val="16"/>
          <w:lang w:val="en-US"/>
        </w:rPr>
      </w:pPr>
      <w:r w:rsidRPr="0028350F">
        <w:rPr>
          <w:rStyle w:val="FootnoteReference"/>
          <w:sz w:val="16"/>
          <w:szCs w:val="16"/>
          <w:lang w:val="nl-BE"/>
        </w:rPr>
        <w:footnoteRef/>
      </w:r>
      <w:r w:rsidRPr="00910EF2">
        <w:rPr>
          <w:sz w:val="16"/>
          <w:szCs w:val="16"/>
          <w:lang w:val="en-US"/>
        </w:rPr>
        <w:tab/>
        <w:t xml:space="preserve">Law of 4 April 2019 amending the Economic Law Code with regard to abuses of economic dependence, unfair terms and unfair market practices, Belgian Official Gazette 24 May 2019, p. 50,066. </w:t>
      </w:r>
    </w:p>
  </w:footnote>
  <w:footnote w:id="5">
    <w:p w14:paraId="47BE3545" w14:textId="6DB0C354" w:rsidR="00653313" w:rsidRPr="00910EF2" w:rsidRDefault="00653313" w:rsidP="001A67CD">
      <w:pPr>
        <w:pStyle w:val="FootnoteText"/>
        <w:ind w:left="720" w:hanging="720"/>
        <w:jc w:val="both"/>
        <w:rPr>
          <w:sz w:val="16"/>
          <w:szCs w:val="16"/>
          <w:lang w:val="en-US"/>
        </w:rPr>
      </w:pPr>
      <w:r w:rsidRPr="0028350F">
        <w:rPr>
          <w:rStyle w:val="FootnoteReference"/>
          <w:sz w:val="16"/>
          <w:szCs w:val="16"/>
          <w:lang w:val="nl-BE"/>
        </w:rPr>
        <w:footnoteRef/>
      </w:r>
      <w:r w:rsidRPr="00910EF2">
        <w:rPr>
          <w:sz w:val="16"/>
          <w:szCs w:val="16"/>
          <w:lang w:val="en-US"/>
        </w:rPr>
        <w:tab/>
        <w:t xml:space="preserve">Parl. Doc. Chamber 2015-16, </w:t>
      </w:r>
      <w:r w:rsidRPr="00910EF2">
        <w:rPr>
          <w:rStyle w:val="Hyperlink"/>
          <w:color w:val="auto"/>
          <w:sz w:val="16"/>
          <w:szCs w:val="16"/>
          <w:lang w:val="en-US"/>
        </w:rPr>
        <w:t xml:space="preserve">no. </w:t>
      </w:r>
      <w:hyperlink r:id="rId2" w:history="1">
        <w:r w:rsidRPr="00910EF2">
          <w:rPr>
            <w:rStyle w:val="Hyperlink"/>
            <w:color w:val="auto"/>
            <w:sz w:val="16"/>
            <w:szCs w:val="16"/>
            <w:lang w:val="en-US"/>
          </w:rPr>
          <w:t>54-1451/1</w:t>
        </w:r>
      </w:hyperlink>
      <w:r w:rsidRPr="00910EF2">
        <w:rPr>
          <w:sz w:val="16"/>
          <w:szCs w:val="16"/>
          <w:lang w:val="en-US"/>
        </w:rPr>
        <w:t xml:space="preserve">. </w:t>
      </w:r>
    </w:p>
  </w:footnote>
  <w:footnote w:id="6">
    <w:p w14:paraId="670E81CA" w14:textId="44E01956" w:rsidR="00653313" w:rsidRPr="0028350F" w:rsidRDefault="00653313" w:rsidP="001A67CD">
      <w:pPr>
        <w:pStyle w:val="FootnoteText"/>
        <w:ind w:left="720" w:hanging="720"/>
        <w:jc w:val="both"/>
        <w:rPr>
          <w:sz w:val="16"/>
          <w:szCs w:val="16"/>
          <w:lang w:val="nl-BE"/>
        </w:rPr>
      </w:pPr>
      <w:r w:rsidRPr="0028350F">
        <w:rPr>
          <w:rStyle w:val="FootnoteReference"/>
          <w:sz w:val="16"/>
          <w:szCs w:val="16"/>
          <w:lang w:val="nl-BE"/>
        </w:rPr>
        <w:footnoteRef/>
      </w:r>
      <w:r w:rsidRPr="00910EF2">
        <w:rPr>
          <w:sz w:val="16"/>
          <w:szCs w:val="16"/>
          <w:lang w:val="en-US"/>
        </w:rPr>
        <w:tab/>
        <w:t xml:space="preserve">Bill to amend the Code of Economic Law to better protect SMEs and small producers in commercial relations between undertakings, as well as to more effectively combat certain unfair practices and certain abuses of economic dependence (F. </w:t>
      </w:r>
      <w:r w:rsidR="00913085" w:rsidRPr="00910EF2">
        <w:rPr>
          <w:sz w:val="16"/>
          <w:szCs w:val="16"/>
          <w:lang w:val="en-US"/>
        </w:rPr>
        <w:t>Winckel</w:t>
      </w:r>
      <w:r w:rsidRPr="00910EF2">
        <w:rPr>
          <w:sz w:val="16"/>
          <w:szCs w:val="16"/>
          <w:lang w:val="en-US"/>
        </w:rPr>
        <w:t xml:space="preserve">), Parl. Doc. </w:t>
      </w:r>
      <w:proofErr w:type="spellStart"/>
      <w:r w:rsidRPr="0028350F">
        <w:rPr>
          <w:sz w:val="16"/>
          <w:szCs w:val="16"/>
          <w:lang w:val="nl-BE"/>
        </w:rPr>
        <w:t>Chamber</w:t>
      </w:r>
      <w:proofErr w:type="spellEnd"/>
      <w:r w:rsidRPr="0028350F">
        <w:rPr>
          <w:sz w:val="16"/>
          <w:szCs w:val="16"/>
          <w:lang w:val="nl-BE"/>
        </w:rPr>
        <w:t xml:space="preserve"> 2017-18, </w:t>
      </w:r>
      <w:hyperlink r:id="rId3" w:history="1">
        <w:r w:rsidRPr="0028350F">
          <w:rPr>
            <w:rStyle w:val="Hyperlink"/>
            <w:color w:val="auto"/>
            <w:sz w:val="16"/>
            <w:szCs w:val="16"/>
            <w:lang w:val="nl-BE"/>
          </w:rPr>
          <w:t>no. 54-2885/1</w:t>
        </w:r>
      </w:hyperlink>
      <w:r w:rsidRPr="0028350F">
        <w:rPr>
          <w:sz w:val="16"/>
          <w:szCs w:val="16"/>
          <w:lang w:val="nl-BE"/>
        </w:rPr>
        <w:t xml:space="preserve">. </w:t>
      </w:r>
    </w:p>
  </w:footnote>
  <w:footnote w:id="7">
    <w:p w14:paraId="3296078A" w14:textId="23527615" w:rsidR="00653313" w:rsidRPr="0028350F" w:rsidRDefault="00653313" w:rsidP="001A67CD">
      <w:pPr>
        <w:pStyle w:val="FootnoteText"/>
        <w:ind w:left="720" w:hanging="720"/>
        <w:jc w:val="both"/>
        <w:rPr>
          <w:sz w:val="16"/>
          <w:szCs w:val="16"/>
          <w:lang w:val="nl-BE"/>
        </w:rPr>
      </w:pPr>
      <w:r w:rsidRPr="0028350F">
        <w:rPr>
          <w:rStyle w:val="FootnoteReference"/>
          <w:sz w:val="16"/>
          <w:szCs w:val="16"/>
          <w:lang w:val="nl-BE"/>
        </w:rPr>
        <w:footnoteRef/>
      </w:r>
      <w:r w:rsidRPr="0028350F">
        <w:rPr>
          <w:sz w:val="16"/>
          <w:szCs w:val="16"/>
          <w:lang w:val="nl-BE"/>
        </w:rPr>
        <w:tab/>
      </w:r>
      <w:proofErr w:type="spellStart"/>
      <w:r w:rsidRPr="0028350F">
        <w:rPr>
          <w:sz w:val="16"/>
          <w:szCs w:val="16"/>
          <w:lang w:val="nl-BE"/>
        </w:rPr>
        <w:t>Parl</w:t>
      </w:r>
      <w:proofErr w:type="spellEnd"/>
      <w:r w:rsidRPr="0028350F">
        <w:rPr>
          <w:sz w:val="16"/>
          <w:szCs w:val="16"/>
          <w:lang w:val="nl-BE"/>
        </w:rPr>
        <w:t xml:space="preserve">. </w:t>
      </w:r>
      <w:proofErr w:type="spellStart"/>
      <w:r w:rsidRPr="0028350F">
        <w:rPr>
          <w:sz w:val="16"/>
          <w:szCs w:val="16"/>
          <w:lang w:val="nl-BE"/>
        </w:rPr>
        <w:t>Doc</w:t>
      </w:r>
      <w:proofErr w:type="spellEnd"/>
      <w:r w:rsidRPr="0028350F">
        <w:rPr>
          <w:sz w:val="16"/>
          <w:szCs w:val="16"/>
          <w:lang w:val="nl-BE"/>
        </w:rPr>
        <w:t xml:space="preserve">. </w:t>
      </w:r>
      <w:proofErr w:type="spellStart"/>
      <w:r w:rsidRPr="0028350F">
        <w:rPr>
          <w:sz w:val="16"/>
          <w:szCs w:val="16"/>
          <w:lang w:val="nl-BE"/>
        </w:rPr>
        <w:t>Chamber</w:t>
      </w:r>
      <w:proofErr w:type="spellEnd"/>
      <w:r w:rsidRPr="0028350F">
        <w:rPr>
          <w:sz w:val="16"/>
          <w:szCs w:val="16"/>
          <w:lang w:val="nl-BE"/>
        </w:rPr>
        <w:t xml:space="preserve"> 2018-19, </w:t>
      </w:r>
      <w:hyperlink r:id="rId4" w:history="1">
        <w:r w:rsidRPr="0028350F">
          <w:rPr>
            <w:rStyle w:val="Hyperlink"/>
            <w:color w:val="auto"/>
            <w:sz w:val="16"/>
            <w:szCs w:val="16"/>
            <w:lang w:val="nl-BE"/>
          </w:rPr>
          <w:t>no. 54-1451/3</w:t>
        </w:r>
      </w:hyperlink>
      <w:r w:rsidRPr="0028350F">
        <w:rPr>
          <w:sz w:val="16"/>
          <w:szCs w:val="16"/>
          <w:lang w:val="nl-BE"/>
        </w:rPr>
        <w:t xml:space="preserve">. </w:t>
      </w:r>
    </w:p>
  </w:footnote>
  <w:footnote w:id="8">
    <w:p w14:paraId="4D083592" w14:textId="0D7AB77B" w:rsidR="00334BC0" w:rsidRPr="0028350F" w:rsidRDefault="00334BC0" w:rsidP="001A67CD">
      <w:pPr>
        <w:pStyle w:val="FootnoteText"/>
        <w:ind w:left="720" w:hanging="720"/>
        <w:jc w:val="both"/>
        <w:rPr>
          <w:sz w:val="16"/>
          <w:szCs w:val="16"/>
          <w:lang w:val="nl-BE"/>
        </w:rPr>
      </w:pPr>
      <w:r w:rsidRPr="0028350F">
        <w:rPr>
          <w:rStyle w:val="FootnoteReference"/>
          <w:sz w:val="16"/>
          <w:szCs w:val="16"/>
          <w:lang w:val="nl-BE"/>
        </w:rPr>
        <w:footnoteRef/>
      </w:r>
      <w:r w:rsidRPr="0028350F">
        <w:rPr>
          <w:sz w:val="16"/>
          <w:szCs w:val="16"/>
          <w:lang w:val="nl-BE"/>
        </w:rPr>
        <w:tab/>
        <w:t xml:space="preserve">I. Claeys and T. </w:t>
      </w:r>
      <w:proofErr w:type="spellStart"/>
      <w:r w:rsidRPr="0028350F">
        <w:rPr>
          <w:sz w:val="16"/>
          <w:szCs w:val="16"/>
          <w:lang w:val="nl-BE"/>
        </w:rPr>
        <w:t>Tanghe</w:t>
      </w:r>
      <w:proofErr w:type="spellEnd"/>
      <w:r w:rsidRPr="0028350F">
        <w:rPr>
          <w:sz w:val="16"/>
          <w:szCs w:val="16"/>
          <w:lang w:val="nl-BE"/>
        </w:rPr>
        <w:t xml:space="preserve">, De b2b-wet van 4 april 2019: bescherming van ondernemingen tegen onrechtmatige bedingen, misbruik van economische afhankelijkheid en oneerlijke marktpraktijken (Deel 2), RW 2019, p.  379; W. Devroe, Modernisering van het Belgisch mededingingsrecht en invoering van een verbod op misbruik van economische afhankelijkheid, In: Devroe, </w:t>
      </w:r>
      <w:proofErr w:type="spellStart"/>
      <w:r w:rsidRPr="0028350F">
        <w:rPr>
          <w:sz w:val="16"/>
          <w:szCs w:val="16"/>
          <w:lang w:val="nl-BE"/>
        </w:rPr>
        <w:t>Keirsbilck</w:t>
      </w:r>
      <w:proofErr w:type="spellEnd"/>
      <w:r w:rsidRPr="0028350F">
        <w:rPr>
          <w:sz w:val="16"/>
          <w:szCs w:val="16"/>
          <w:lang w:val="nl-BE"/>
        </w:rPr>
        <w:t xml:space="preserve"> and </w:t>
      </w:r>
      <w:proofErr w:type="spellStart"/>
      <w:r w:rsidRPr="0028350F">
        <w:rPr>
          <w:sz w:val="16"/>
          <w:szCs w:val="16"/>
          <w:lang w:val="nl-BE"/>
        </w:rPr>
        <w:t>Terryn</w:t>
      </w:r>
      <w:proofErr w:type="spellEnd"/>
      <w:r w:rsidRPr="0028350F">
        <w:rPr>
          <w:sz w:val="16"/>
          <w:szCs w:val="16"/>
          <w:lang w:val="nl-BE"/>
        </w:rPr>
        <w:t xml:space="preserve"> (</w:t>
      </w:r>
      <w:proofErr w:type="spellStart"/>
      <w:r w:rsidRPr="0028350F">
        <w:rPr>
          <w:sz w:val="16"/>
          <w:szCs w:val="16"/>
          <w:lang w:val="nl-BE"/>
        </w:rPr>
        <w:t>eds</w:t>
      </w:r>
      <w:proofErr w:type="spellEnd"/>
      <w:r w:rsidRPr="0028350F">
        <w:rPr>
          <w:sz w:val="16"/>
          <w:szCs w:val="16"/>
          <w:lang w:val="nl-BE"/>
        </w:rPr>
        <w:t xml:space="preserve">.), Nieuw economisch recht in B2B-relaties, </w:t>
      </w:r>
      <w:proofErr w:type="spellStart"/>
      <w:r w:rsidRPr="0028350F">
        <w:rPr>
          <w:sz w:val="16"/>
          <w:szCs w:val="16"/>
          <w:lang w:val="nl-BE"/>
        </w:rPr>
        <w:t>Intersentia</w:t>
      </w:r>
      <w:proofErr w:type="spellEnd"/>
      <w:r w:rsidRPr="0028350F">
        <w:rPr>
          <w:sz w:val="16"/>
          <w:szCs w:val="16"/>
          <w:lang w:val="nl-BE"/>
        </w:rPr>
        <w:t xml:space="preserve"> 2020, pp. 47-95.   </w:t>
      </w:r>
    </w:p>
  </w:footnote>
  <w:footnote w:id="9">
    <w:p w14:paraId="738B1B85" w14:textId="13865338" w:rsidR="001A1AD9" w:rsidRPr="00910EF2" w:rsidRDefault="001A1AD9" w:rsidP="001A67CD">
      <w:pPr>
        <w:pStyle w:val="FootnoteText"/>
        <w:ind w:left="720" w:hanging="720"/>
        <w:jc w:val="both"/>
        <w:rPr>
          <w:sz w:val="16"/>
          <w:szCs w:val="16"/>
          <w:lang w:val="en-US"/>
        </w:rPr>
      </w:pPr>
      <w:r w:rsidRPr="0028350F">
        <w:rPr>
          <w:rStyle w:val="FootnoteReference"/>
          <w:sz w:val="16"/>
          <w:szCs w:val="16"/>
          <w:lang w:val="nl-BE"/>
        </w:rPr>
        <w:footnoteRef/>
      </w:r>
      <w:r w:rsidRPr="0028350F">
        <w:rPr>
          <w:sz w:val="16"/>
          <w:szCs w:val="16"/>
          <w:lang w:val="nl-BE"/>
        </w:rPr>
        <w:tab/>
        <w:t>I. C</w:t>
      </w:r>
      <w:r w:rsidR="00913085" w:rsidRPr="0028350F">
        <w:rPr>
          <w:sz w:val="16"/>
          <w:szCs w:val="16"/>
          <w:lang w:val="nl-BE"/>
        </w:rPr>
        <w:t>laeys</w:t>
      </w:r>
      <w:r w:rsidRPr="0028350F">
        <w:rPr>
          <w:sz w:val="16"/>
          <w:szCs w:val="16"/>
          <w:lang w:val="nl-BE"/>
        </w:rPr>
        <w:t xml:space="preserve"> and T. </w:t>
      </w:r>
      <w:proofErr w:type="spellStart"/>
      <w:r w:rsidRPr="0028350F">
        <w:rPr>
          <w:sz w:val="16"/>
          <w:szCs w:val="16"/>
          <w:lang w:val="nl-BE"/>
        </w:rPr>
        <w:t>T</w:t>
      </w:r>
      <w:r w:rsidR="00913085" w:rsidRPr="0028350F">
        <w:rPr>
          <w:sz w:val="16"/>
          <w:szCs w:val="16"/>
          <w:lang w:val="nl-BE"/>
        </w:rPr>
        <w:t>anghe</w:t>
      </w:r>
      <w:proofErr w:type="spellEnd"/>
      <w:r w:rsidRPr="0028350F">
        <w:rPr>
          <w:sz w:val="16"/>
          <w:szCs w:val="16"/>
          <w:lang w:val="nl-BE"/>
        </w:rPr>
        <w:t xml:space="preserve">, De b2b-wet van 4 april 2019: bescherming van ondernemingen tegen onrechtmatige bedingen, misbruik van economische afhankelijkheid en oneerlijke marktpraktijken (Deel 2), RW 2019, </w:t>
      </w:r>
      <w:r w:rsidR="00913085" w:rsidRPr="0028350F">
        <w:rPr>
          <w:sz w:val="16"/>
          <w:szCs w:val="16"/>
          <w:lang w:val="nl-BE"/>
        </w:rPr>
        <w:t>p.</w:t>
      </w:r>
      <w:r w:rsidRPr="0028350F">
        <w:rPr>
          <w:sz w:val="16"/>
          <w:szCs w:val="16"/>
          <w:lang w:val="nl-BE"/>
        </w:rPr>
        <w:t xml:space="preserve"> 365</w:t>
      </w:r>
      <w:r w:rsidR="00E0609E" w:rsidRPr="0028350F">
        <w:rPr>
          <w:sz w:val="16"/>
          <w:szCs w:val="16"/>
          <w:lang w:val="nl-BE"/>
        </w:rPr>
        <w:t xml:space="preserve">; J. </w:t>
      </w:r>
      <w:proofErr w:type="spellStart"/>
      <w:r w:rsidR="00E0609E" w:rsidRPr="0028350F">
        <w:rPr>
          <w:sz w:val="16"/>
          <w:szCs w:val="16"/>
          <w:lang w:val="nl-BE"/>
        </w:rPr>
        <w:t>Blockx</w:t>
      </w:r>
      <w:proofErr w:type="spellEnd"/>
      <w:r w:rsidR="00E0609E" w:rsidRPr="0028350F">
        <w:rPr>
          <w:sz w:val="16"/>
          <w:szCs w:val="16"/>
          <w:lang w:val="nl-BE"/>
        </w:rPr>
        <w:t xml:space="preserve">, Art. IV.2/1 WER, In: </w:t>
      </w:r>
      <w:proofErr w:type="spellStart"/>
      <w:r w:rsidR="00E0609E" w:rsidRPr="0028350F">
        <w:rPr>
          <w:sz w:val="16"/>
          <w:szCs w:val="16"/>
          <w:lang w:val="nl-BE"/>
        </w:rPr>
        <w:t>Steennot</w:t>
      </w:r>
      <w:proofErr w:type="spellEnd"/>
      <w:r w:rsidR="00E0609E" w:rsidRPr="0028350F">
        <w:rPr>
          <w:sz w:val="16"/>
          <w:szCs w:val="16"/>
          <w:lang w:val="nl-BE"/>
        </w:rPr>
        <w:t xml:space="preserve">, </w:t>
      </w:r>
      <w:proofErr w:type="spellStart"/>
      <w:r w:rsidR="00E0609E" w:rsidRPr="0028350F">
        <w:rPr>
          <w:sz w:val="16"/>
          <w:szCs w:val="16"/>
          <w:lang w:val="nl-BE"/>
        </w:rPr>
        <w:t>Straetmans</w:t>
      </w:r>
      <w:proofErr w:type="spellEnd"/>
      <w:r w:rsidR="00E0609E" w:rsidRPr="0028350F">
        <w:rPr>
          <w:sz w:val="16"/>
          <w:szCs w:val="16"/>
          <w:lang w:val="nl-BE"/>
        </w:rPr>
        <w:t xml:space="preserve">, </w:t>
      </w:r>
      <w:proofErr w:type="spellStart"/>
      <w:r w:rsidR="00E0609E" w:rsidRPr="0028350F">
        <w:rPr>
          <w:sz w:val="16"/>
          <w:szCs w:val="16"/>
          <w:lang w:val="nl-BE"/>
        </w:rPr>
        <w:t>Stuyck</w:t>
      </w:r>
      <w:proofErr w:type="spellEnd"/>
      <w:r w:rsidR="00E0609E" w:rsidRPr="0028350F">
        <w:rPr>
          <w:sz w:val="16"/>
          <w:szCs w:val="16"/>
          <w:lang w:val="nl-BE"/>
        </w:rPr>
        <w:t xml:space="preserve"> and </w:t>
      </w:r>
      <w:proofErr w:type="spellStart"/>
      <w:r w:rsidR="00E0609E" w:rsidRPr="0028350F">
        <w:rPr>
          <w:sz w:val="16"/>
          <w:szCs w:val="16"/>
          <w:lang w:val="nl-BE"/>
        </w:rPr>
        <w:t>Vanhees</w:t>
      </w:r>
      <w:proofErr w:type="spellEnd"/>
      <w:r w:rsidR="00E0609E" w:rsidRPr="0028350F">
        <w:rPr>
          <w:sz w:val="16"/>
          <w:szCs w:val="16"/>
          <w:lang w:val="nl-BE"/>
        </w:rPr>
        <w:t xml:space="preserve">, Economisch recht. </w:t>
      </w:r>
      <w:proofErr w:type="spellStart"/>
      <w:r w:rsidR="00E0609E" w:rsidRPr="00910EF2">
        <w:rPr>
          <w:sz w:val="16"/>
          <w:szCs w:val="16"/>
          <w:lang w:val="en-US"/>
        </w:rPr>
        <w:t>Commentaar</w:t>
      </w:r>
      <w:proofErr w:type="spellEnd"/>
      <w:r w:rsidR="00E0609E" w:rsidRPr="00910EF2">
        <w:rPr>
          <w:sz w:val="16"/>
          <w:szCs w:val="16"/>
          <w:lang w:val="en-US"/>
        </w:rPr>
        <w:t xml:space="preserve"> met </w:t>
      </w:r>
      <w:proofErr w:type="spellStart"/>
      <w:r w:rsidR="00E0609E" w:rsidRPr="00910EF2">
        <w:rPr>
          <w:sz w:val="16"/>
          <w:szCs w:val="16"/>
          <w:lang w:val="en-US"/>
        </w:rPr>
        <w:t>overzicht</w:t>
      </w:r>
      <w:proofErr w:type="spellEnd"/>
      <w:r w:rsidR="00E0609E" w:rsidRPr="00910EF2">
        <w:rPr>
          <w:sz w:val="16"/>
          <w:szCs w:val="16"/>
          <w:lang w:val="en-US"/>
        </w:rPr>
        <w:t xml:space="preserve"> van </w:t>
      </w:r>
      <w:proofErr w:type="spellStart"/>
      <w:r w:rsidR="00E0609E" w:rsidRPr="00910EF2">
        <w:rPr>
          <w:sz w:val="16"/>
          <w:szCs w:val="16"/>
          <w:lang w:val="en-US"/>
        </w:rPr>
        <w:t>rechtspraak</w:t>
      </w:r>
      <w:proofErr w:type="spellEnd"/>
      <w:r w:rsidR="00E0609E" w:rsidRPr="00910EF2">
        <w:rPr>
          <w:sz w:val="16"/>
          <w:szCs w:val="16"/>
          <w:lang w:val="en-US"/>
        </w:rPr>
        <w:t xml:space="preserve"> en </w:t>
      </w:r>
      <w:proofErr w:type="spellStart"/>
      <w:r w:rsidR="00E0609E" w:rsidRPr="00910EF2">
        <w:rPr>
          <w:sz w:val="16"/>
          <w:szCs w:val="16"/>
          <w:lang w:val="en-US"/>
        </w:rPr>
        <w:t>rechtsleer</w:t>
      </w:r>
      <w:proofErr w:type="spellEnd"/>
      <w:r w:rsidR="00E0609E" w:rsidRPr="00910EF2">
        <w:rPr>
          <w:sz w:val="16"/>
          <w:szCs w:val="16"/>
          <w:lang w:val="en-US"/>
        </w:rPr>
        <w:t>, Kluwer 2025, p. 74</w:t>
      </w:r>
      <w:r w:rsidRPr="00910EF2">
        <w:rPr>
          <w:sz w:val="16"/>
          <w:szCs w:val="16"/>
          <w:lang w:val="en-US"/>
        </w:rPr>
        <w:t xml:space="preserve">. </w:t>
      </w:r>
    </w:p>
  </w:footnote>
  <w:footnote w:id="10">
    <w:p w14:paraId="741D05C5" w14:textId="2C52214B" w:rsidR="00B00C43" w:rsidRPr="0028350F" w:rsidRDefault="00B00C43" w:rsidP="001A67CD">
      <w:pPr>
        <w:pStyle w:val="FootnoteText"/>
        <w:ind w:left="720" w:hanging="720"/>
        <w:jc w:val="both"/>
        <w:rPr>
          <w:sz w:val="16"/>
          <w:szCs w:val="16"/>
          <w:lang w:val="en-US"/>
        </w:rPr>
      </w:pPr>
      <w:r w:rsidRPr="0028350F">
        <w:rPr>
          <w:rStyle w:val="FootnoteReference"/>
          <w:sz w:val="16"/>
          <w:szCs w:val="16"/>
          <w:lang w:val="nl-BE"/>
        </w:rPr>
        <w:footnoteRef/>
      </w:r>
      <w:r w:rsidRPr="0028350F">
        <w:rPr>
          <w:sz w:val="16"/>
          <w:szCs w:val="16"/>
          <w:lang w:val="en-US"/>
        </w:rPr>
        <w:tab/>
        <w:t xml:space="preserve">Article I.6, 17° CEL defines the concept of </w:t>
      </w:r>
      <w:r w:rsidR="00993465" w:rsidRPr="0028350F">
        <w:rPr>
          <w:sz w:val="16"/>
          <w:szCs w:val="16"/>
          <w:lang w:val="en-US"/>
        </w:rPr>
        <w:t>“</w:t>
      </w:r>
      <w:r w:rsidRPr="0028350F">
        <w:rPr>
          <w:sz w:val="16"/>
          <w:szCs w:val="16"/>
          <w:lang w:val="en-US"/>
        </w:rPr>
        <w:t>undertaking</w:t>
      </w:r>
      <w:r w:rsidR="00993465" w:rsidRPr="0028350F">
        <w:rPr>
          <w:sz w:val="16"/>
          <w:szCs w:val="16"/>
          <w:lang w:val="en-US"/>
        </w:rPr>
        <w:t>”</w:t>
      </w:r>
      <w:r w:rsidRPr="0028350F">
        <w:rPr>
          <w:sz w:val="16"/>
          <w:szCs w:val="16"/>
          <w:lang w:val="en-US"/>
        </w:rPr>
        <w:t xml:space="preserve"> as: “</w:t>
      </w:r>
      <w:r w:rsidRPr="0028350F">
        <w:rPr>
          <w:i/>
          <w:iCs/>
          <w:sz w:val="16"/>
          <w:szCs w:val="16"/>
          <w:lang w:val="en-US"/>
        </w:rPr>
        <w:t>any natural person or legal entity that pursues an economic goal in a sustainable manner</w:t>
      </w:r>
      <w:r w:rsidRPr="0028350F">
        <w:rPr>
          <w:sz w:val="16"/>
          <w:szCs w:val="16"/>
          <w:lang w:val="en-US"/>
        </w:rPr>
        <w:t xml:space="preserve">”. </w:t>
      </w:r>
    </w:p>
  </w:footnote>
  <w:footnote w:id="11">
    <w:p w14:paraId="1873489C" w14:textId="77777777" w:rsidR="00B00C43" w:rsidRPr="0028350F" w:rsidRDefault="00B00C43" w:rsidP="001A67CD">
      <w:pPr>
        <w:pStyle w:val="FootnoteText"/>
        <w:jc w:val="both"/>
        <w:rPr>
          <w:sz w:val="16"/>
          <w:szCs w:val="16"/>
          <w:lang w:val="nl-BE"/>
        </w:rPr>
      </w:pPr>
      <w:r w:rsidRPr="0028350F">
        <w:rPr>
          <w:rStyle w:val="FootnoteReference"/>
          <w:sz w:val="16"/>
          <w:szCs w:val="16"/>
          <w:lang w:val="nl-BE"/>
        </w:rPr>
        <w:footnoteRef/>
      </w:r>
      <w:r w:rsidRPr="0028350F">
        <w:rPr>
          <w:sz w:val="16"/>
          <w:szCs w:val="16"/>
          <w:lang w:val="nl-BE"/>
        </w:rPr>
        <w:tab/>
      </w:r>
      <w:proofErr w:type="spellStart"/>
      <w:r w:rsidRPr="0028350F">
        <w:rPr>
          <w:sz w:val="16"/>
          <w:szCs w:val="16"/>
          <w:lang w:val="nl-BE"/>
        </w:rPr>
        <w:t>Parl</w:t>
      </w:r>
      <w:proofErr w:type="spellEnd"/>
      <w:r w:rsidRPr="0028350F">
        <w:rPr>
          <w:sz w:val="16"/>
          <w:szCs w:val="16"/>
          <w:lang w:val="nl-BE"/>
        </w:rPr>
        <w:t xml:space="preserve">. </w:t>
      </w:r>
      <w:proofErr w:type="spellStart"/>
      <w:r w:rsidRPr="0028350F">
        <w:rPr>
          <w:sz w:val="16"/>
          <w:szCs w:val="16"/>
          <w:lang w:val="nl-BE"/>
        </w:rPr>
        <w:t>Doc</w:t>
      </w:r>
      <w:proofErr w:type="spellEnd"/>
      <w:r w:rsidRPr="0028350F">
        <w:rPr>
          <w:sz w:val="16"/>
          <w:szCs w:val="16"/>
          <w:lang w:val="nl-BE"/>
        </w:rPr>
        <w:t xml:space="preserve">. </w:t>
      </w:r>
      <w:proofErr w:type="spellStart"/>
      <w:r w:rsidRPr="0028350F">
        <w:rPr>
          <w:sz w:val="16"/>
          <w:szCs w:val="16"/>
          <w:lang w:val="nl-BE"/>
        </w:rPr>
        <w:t>Chamber</w:t>
      </w:r>
      <w:proofErr w:type="spellEnd"/>
      <w:r w:rsidRPr="0028350F">
        <w:rPr>
          <w:sz w:val="16"/>
          <w:szCs w:val="16"/>
          <w:lang w:val="nl-BE"/>
        </w:rPr>
        <w:t xml:space="preserve"> 2018-19, </w:t>
      </w:r>
      <w:hyperlink r:id="rId5" w:history="1">
        <w:r w:rsidRPr="0028350F">
          <w:rPr>
            <w:rStyle w:val="Hyperlink"/>
            <w:color w:val="auto"/>
            <w:sz w:val="16"/>
            <w:szCs w:val="16"/>
            <w:lang w:val="nl-BE"/>
          </w:rPr>
          <w:t>no. 54-1451/3</w:t>
        </w:r>
      </w:hyperlink>
      <w:r w:rsidRPr="0028350F">
        <w:rPr>
          <w:sz w:val="16"/>
          <w:szCs w:val="16"/>
          <w:lang w:val="nl-BE"/>
        </w:rPr>
        <w:t xml:space="preserve">. </w:t>
      </w:r>
    </w:p>
  </w:footnote>
  <w:footnote w:id="12">
    <w:p w14:paraId="19B54DD5" w14:textId="3D03804C" w:rsidR="00B00C43" w:rsidRPr="0028350F" w:rsidRDefault="00B00C43" w:rsidP="001A67CD">
      <w:pPr>
        <w:pStyle w:val="FootnoteText"/>
        <w:ind w:left="720" w:hanging="720"/>
        <w:jc w:val="both"/>
        <w:rPr>
          <w:sz w:val="16"/>
          <w:szCs w:val="16"/>
          <w:lang w:val="nl-BE"/>
        </w:rPr>
      </w:pPr>
      <w:r w:rsidRPr="0028350F">
        <w:rPr>
          <w:rStyle w:val="FootnoteReference"/>
          <w:sz w:val="16"/>
          <w:szCs w:val="16"/>
          <w:lang w:val="nl-BE"/>
        </w:rPr>
        <w:footnoteRef/>
      </w:r>
      <w:r w:rsidRPr="0028350F">
        <w:rPr>
          <w:sz w:val="16"/>
          <w:szCs w:val="16"/>
          <w:lang w:val="nl-BE"/>
        </w:rPr>
        <w:tab/>
        <w:t xml:space="preserve">Pres. Enterprise Court </w:t>
      </w:r>
      <w:proofErr w:type="spellStart"/>
      <w:r w:rsidRPr="0028350F">
        <w:rPr>
          <w:sz w:val="16"/>
          <w:szCs w:val="16"/>
          <w:lang w:val="nl-BE"/>
        </w:rPr>
        <w:t>Ghent</w:t>
      </w:r>
      <w:proofErr w:type="spellEnd"/>
      <w:r w:rsidRPr="0028350F">
        <w:rPr>
          <w:sz w:val="16"/>
          <w:szCs w:val="16"/>
          <w:lang w:val="nl-BE"/>
        </w:rPr>
        <w:t xml:space="preserve"> 28 </w:t>
      </w:r>
      <w:proofErr w:type="spellStart"/>
      <w:r w:rsidRPr="0028350F">
        <w:rPr>
          <w:sz w:val="16"/>
          <w:szCs w:val="16"/>
          <w:lang w:val="nl-BE"/>
        </w:rPr>
        <w:t>October</w:t>
      </w:r>
      <w:proofErr w:type="spellEnd"/>
      <w:r w:rsidRPr="0028350F">
        <w:rPr>
          <w:sz w:val="16"/>
          <w:szCs w:val="16"/>
          <w:lang w:val="nl-BE"/>
        </w:rPr>
        <w:t xml:space="preserve"> 2020, TBH 2021</w:t>
      </w:r>
      <w:r w:rsidR="004422FD">
        <w:rPr>
          <w:sz w:val="16"/>
          <w:szCs w:val="16"/>
          <w:lang w:val="nl-BE"/>
        </w:rPr>
        <w:t>/4</w:t>
      </w:r>
      <w:r w:rsidRPr="0028350F">
        <w:rPr>
          <w:sz w:val="16"/>
          <w:szCs w:val="16"/>
          <w:lang w:val="nl-BE"/>
        </w:rPr>
        <w:t xml:space="preserve">, </w:t>
      </w:r>
      <w:r w:rsidR="00913085" w:rsidRPr="0028350F">
        <w:rPr>
          <w:sz w:val="16"/>
          <w:szCs w:val="16"/>
          <w:lang w:val="nl-BE"/>
        </w:rPr>
        <w:t xml:space="preserve">p. </w:t>
      </w:r>
      <w:r w:rsidRPr="0028350F">
        <w:rPr>
          <w:sz w:val="16"/>
          <w:szCs w:val="16"/>
          <w:lang w:val="nl-BE"/>
        </w:rPr>
        <w:t xml:space="preserve">520, </w:t>
      </w:r>
      <w:proofErr w:type="spellStart"/>
      <w:r w:rsidRPr="0028350F">
        <w:rPr>
          <w:sz w:val="16"/>
          <w:szCs w:val="16"/>
          <w:lang w:val="nl-BE"/>
        </w:rPr>
        <w:t>note</w:t>
      </w:r>
      <w:proofErr w:type="spellEnd"/>
      <w:r w:rsidRPr="0028350F">
        <w:rPr>
          <w:sz w:val="16"/>
          <w:szCs w:val="16"/>
          <w:lang w:val="nl-BE"/>
        </w:rPr>
        <w:t xml:space="preserve"> S. </w:t>
      </w:r>
      <w:proofErr w:type="spellStart"/>
      <w:r w:rsidRPr="0028350F">
        <w:rPr>
          <w:sz w:val="16"/>
          <w:szCs w:val="16"/>
          <w:lang w:val="nl-BE"/>
        </w:rPr>
        <w:t>C</w:t>
      </w:r>
      <w:r w:rsidR="00913085" w:rsidRPr="0028350F">
        <w:rPr>
          <w:sz w:val="16"/>
          <w:szCs w:val="16"/>
          <w:lang w:val="nl-BE"/>
        </w:rPr>
        <w:t>olaers</w:t>
      </w:r>
      <w:proofErr w:type="spellEnd"/>
      <w:r w:rsidRPr="0028350F">
        <w:rPr>
          <w:sz w:val="16"/>
          <w:szCs w:val="16"/>
          <w:lang w:val="nl-BE"/>
        </w:rPr>
        <w:t xml:space="preserve">; J. </w:t>
      </w:r>
      <w:proofErr w:type="spellStart"/>
      <w:r w:rsidRPr="0028350F">
        <w:rPr>
          <w:sz w:val="16"/>
          <w:szCs w:val="16"/>
          <w:lang w:val="nl-BE"/>
        </w:rPr>
        <w:t>S</w:t>
      </w:r>
      <w:r w:rsidR="00913085" w:rsidRPr="0028350F">
        <w:rPr>
          <w:sz w:val="16"/>
          <w:szCs w:val="16"/>
          <w:lang w:val="nl-BE"/>
        </w:rPr>
        <w:t>tuyck</w:t>
      </w:r>
      <w:proofErr w:type="spellEnd"/>
      <w:r w:rsidRPr="0028350F">
        <w:rPr>
          <w:sz w:val="16"/>
          <w:szCs w:val="16"/>
          <w:lang w:val="nl-BE"/>
        </w:rPr>
        <w:t xml:space="preserve"> and B. </w:t>
      </w:r>
      <w:proofErr w:type="spellStart"/>
      <w:r w:rsidRPr="0028350F">
        <w:rPr>
          <w:sz w:val="16"/>
          <w:szCs w:val="16"/>
          <w:lang w:val="nl-BE"/>
        </w:rPr>
        <w:t>K</w:t>
      </w:r>
      <w:r w:rsidR="00913085" w:rsidRPr="0028350F">
        <w:rPr>
          <w:sz w:val="16"/>
          <w:szCs w:val="16"/>
          <w:lang w:val="nl-BE"/>
        </w:rPr>
        <w:t>eirsbilck</w:t>
      </w:r>
      <w:proofErr w:type="spellEnd"/>
      <w:r w:rsidRPr="0028350F">
        <w:rPr>
          <w:sz w:val="16"/>
          <w:szCs w:val="16"/>
          <w:lang w:val="nl-BE"/>
        </w:rPr>
        <w:t>, De nieuwe Belgische wet met betrekking tot misbruik van economische afhankelijkheid, onrechtmatige bedingen en oneerlijke marktpraktijken tussen ondernemingen: een eerste commentaar, SEW 2019,</w:t>
      </w:r>
      <w:r w:rsidR="00913085" w:rsidRPr="0028350F">
        <w:rPr>
          <w:sz w:val="16"/>
          <w:szCs w:val="16"/>
          <w:lang w:val="nl-BE"/>
        </w:rPr>
        <w:t xml:space="preserve"> p.</w:t>
      </w:r>
      <w:r w:rsidRPr="0028350F">
        <w:rPr>
          <w:sz w:val="16"/>
          <w:szCs w:val="16"/>
          <w:lang w:val="nl-BE"/>
        </w:rPr>
        <w:t xml:space="preserve"> 383.</w:t>
      </w:r>
    </w:p>
  </w:footnote>
  <w:footnote w:id="13">
    <w:p w14:paraId="1B3D2DF1" w14:textId="770D2AAE" w:rsidR="00B00C43" w:rsidRPr="00910EF2" w:rsidRDefault="00B00C43" w:rsidP="001A67CD">
      <w:pPr>
        <w:pStyle w:val="FootnoteText"/>
        <w:jc w:val="both"/>
        <w:rPr>
          <w:sz w:val="16"/>
          <w:szCs w:val="16"/>
          <w:lang w:val="en-US"/>
        </w:rPr>
      </w:pPr>
      <w:r w:rsidRPr="0028350F">
        <w:rPr>
          <w:rStyle w:val="FootnoteReference"/>
          <w:sz w:val="16"/>
          <w:szCs w:val="16"/>
          <w:lang w:val="nl-BE"/>
        </w:rPr>
        <w:footnoteRef/>
      </w:r>
      <w:r w:rsidRPr="00910EF2">
        <w:rPr>
          <w:sz w:val="16"/>
          <w:szCs w:val="16"/>
          <w:lang w:val="en-US"/>
        </w:rPr>
        <w:tab/>
        <w:t xml:space="preserve">Pres. Enterprise Court Brussels 16 March 2021, </w:t>
      </w:r>
      <w:proofErr w:type="spellStart"/>
      <w:r w:rsidR="00812E34" w:rsidRPr="00910EF2">
        <w:rPr>
          <w:sz w:val="16"/>
          <w:szCs w:val="16"/>
          <w:lang w:val="en-US"/>
        </w:rPr>
        <w:t>Competitio</w:t>
      </w:r>
      <w:proofErr w:type="spellEnd"/>
      <w:r w:rsidRPr="00910EF2">
        <w:rPr>
          <w:sz w:val="16"/>
          <w:szCs w:val="16"/>
          <w:lang w:val="en-US"/>
        </w:rPr>
        <w:t xml:space="preserve"> 2021</w:t>
      </w:r>
      <w:r w:rsidR="0007624B" w:rsidRPr="00910EF2">
        <w:rPr>
          <w:sz w:val="16"/>
          <w:szCs w:val="16"/>
          <w:lang w:val="en-US"/>
        </w:rPr>
        <w:t>/2</w:t>
      </w:r>
      <w:r w:rsidRPr="00910EF2">
        <w:rPr>
          <w:sz w:val="16"/>
          <w:szCs w:val="16"/>
          <w:lang w:val="en-US"/>
        </w:rPr>
        <w:t xml:space="preserve">, </w:t>
      </w:r>
      <w:r w:rsidR="00913085" w:rsidRPr="00910EF2">
        <w:rPr>
          <w:sz w:val="16"/>
          <w:szCs w:val="16"/>
          <w:lang w:val="en-US"/>
        </w:rPr>
        <w:t xml:space="preserve">pp. </w:t>
      </w:r>
      <w:r w:rsidRPr="00910EF2">
        <w:rPr>
          <w:sz w:val="16"/>
          <w:szCs w:val="16"/>
          <w:lang w:val="en-US"/>
        </w:rPr>
        <w:t xml:space="preserve">187-194. </w:t>
      </w:r>
    </w:p>
  </w:footnote>
  <w:footnote w:id="14">
    <w:p w14:paraId="15184262" w14:textId="4816F139" w:rsidR="00B00C43" w:rsidRPr="0028350F" w:rsidRDefault="00B00C43" w:rsidP="001A67CD">
      <w:pPr>
        <w:pStyle w:val="FootnoteText"/>
        <w:ind w:left="720" w:hanging="720"/>
        <w:jc w:val="both"/>
        <w:rPr>
          <w:sz w:val="16"/>
          <w:szCs w:val="16"/>
          <w:lang w:val="nl-BE"/>
        </w:rPr>
      </w:pPr>
      <w:r w:rsidRPr="0028350F">
        <w:rPr>
          <w:rStyle w:val="FootnoteReference"/>
          <w:sz w:val="16"/>
          <w:szCs w:val="16"/>
          <w:lang w:val="nl-BE"/>
        </w:rPr>
        <w:footnoteRef/>
      </w:r>
      <w:r w:rsidRPr="0028350F">
        <w:rPr>
          <w:sz w:val="16"/>
          <w:szCs w:val="16"/>
          <w:lang w:val="nl-BE"/>
        </w:rPr>
        <w:tab/>
        <w:t xml:space="preserve">M. </w:t>
      </w:r>
      <w:proofErr w:type="spellStart"/>
      <w:r w:rsidRPr="0028350F">
        <w:rPr>
          <w:sz w:val="16"/>
          <w:szCs w:val="16"/>
          <w:lang w:val="nl-BE"/>
        </w:rPr>
        <w:t>V</w:t>
      </w:r>
      <w:r w:rsidR="00913085" w:rsidRPr="0028350F">
        <w:rPr>
          <w:sz w:val="16"/>
          <w:szCs w:val="16"/>
          <w:lang w:val="nl-BE"/>
        </w:rPr>
        <w:t>ancaillie</w:t>
      </w:r>
      <w:proofErr w:type="spellEnd"/>
      <w:r w:rsidRPr="0028350F">
        <w:rPr>
          <w:sz w:val="16"/>
          <w:szCs w:val="16"/>
          <w:lang w:val="nl-BE"/>
        </w:rPr>
        <w:t xml:space="preserve">, Eerste verjaardag verbod van misbruik economische afhankelijkheid: voorlopig een relatief rustig koekoeksjong, </w:t>
      </w:r>
      <w:proofErr w:type="spellStart"/>
      <w:r w:rsidR="00812E34" w:rsidRPr="0028350F">
        <w:rPr>
          <w:sz w:val="16"/>
          <w:szCs w:val="16"/>
          <w:lang w:val="nl-BE"/>
        </w:rPr>
        <w:t>Competitio</w:t>
      </w:r>
      <w:proofErr w:type="spellEnd"/>
      <w:r w:rsidRPr="0028350F">
        <w:rPr>
          <w:sz w:val="16"/>
          <w:szCs w:val="16"/>
          <w:lang w:val="nl-BE"/>
        </w:rPr>
        <w:t xml:space="preserve"> 2021</w:t>
      </w:r>
      <w:r w:rsidR="0007624B">
        <w:rPr>
          <w:sz w:val="16"/>
          <w:szCs w:val="16"/>
          <w:lang w:val="nl-BE"/>
        </w:rPr>
        <w:t>/3</w:t>
      </w:r>
      <w:r w:rsidRPr="0028350F">
        <w:rPr>
          <w:sz w:val="16"/>
          <w:szCs w:val="16"/>
          <w:lang w:val="nl-BE"/>
        </w:rPr>
        <w:t xml:space="preserve">, </w:t>
      </w:r>
      <w:r w:rsidR="00913085" w:rsidRPr="0028350F">
        <w:rPr>
          <w:sz w:val="16"/>
          <w:szCs w:val="16"/>
          <w:lang w:val="nl-BE"/>
        </w:rPr>
        <w:t>p.</w:t>
      </w:r>
      <w:r w:rsidRPr="0028350F">
        <w:rPr>
          <w:sz w:val="16"/>
          <w:szCs w:val="16"/>
          <w:lang w:val="nl-BE"/>
        </w:rPr>
        <w:t xml:space="preserve"> 260.   </w:t>
      </w:r>
    </w:p>
  </w:footnote>
  <w:footnote w:id="15">
    <w:p w14:paraId="5EB7562F" w14:textId="6C5E0544" w:rsidR="00B00C43" w:rsidRPr="0028350F" w:rsidRDefault="00B00C43" w:rsidP="001A67CD">
      <w:pPr>
        <w:pStyle w:val="FootnoteText"/>
        <w:ind w:left="720" w:hanging="720"/>
        <w:jc w:val="both"/>
        <w:rPr>
          <w:sz w:val="16"/>
          <w:szCs w:val="16"/>
          <w:lang w:val="nl-BE"/>
        </w:rPr>
      </w:pPr>
      <w:r w:rsidRPr="0028350F">
        <w:rPr>
          <w:rStyle w:val="FootnoteReference"/>
          <w:sz w:val="16"/>
          <w:szCs w:val="16"/>
          <w:lang w:val="nl-BE"/>
        </w:rPr>
        <w:footnoteRef/>
      </w:r>
      <w:r w:rsidRPr="0028350F">
        <w:rPr>
          <w:sz w:val="16"/>
          <w:szCs w:val="16"/>
          <w:lang w:val="nl-BE"/>
        </w:rPr>
        <w:tab/>
        <w:t>I. C</w:t>
      </w:r>
      <w:r w:rsidR="00913085" w:rsidRPr="0028350F">
        <w:rPr>
          <w:sz w:val="16"/>
          <w:szCs w:val="16"/>
          <w:lang w:val="nl-BE"/>
        </w:rPr>
        <w:t>laeys</w:t>
      </w:r>
      <w:r w:rsidRPr="0028350F">
        <w:rPr>
          <w:sz w:val="16"/>
          <w:szCs w:val="16"/>
          <w:lang w:val="nl-BE"/>
        </w:rPr>
        <w:t xml:space="preserve"> and T. </w:t>
      </w:r>
      <w:proofErr w:type="spellStart"/>
      <w:r w:rsidRPr="0028350F">
        <w:rPr>
          <w:sz w:val="16"/>
          <w:szCs w:val="16"/>
          <w:lang w:val="nl-BE"/>
        </w:rPr>
        <w:t>T</w:t>
      </w:r>
      <w:r w:rsidR="00913085" w:rsidRPr="0028350F">
        <w:rPr>
          <w:sz w:val="16"/>
          <w:szCs w:val="16"/>
          <w:lang w:val="nl-BE"/>
        </w:rPr>
        <w:t>anghe</w:t>
      </w:r>
      <w:proofErr w:type="spellEnd"/>
      <w:r w:rsidRPr="0028350F">
        <w:rPr>
          <w:sz w:val="16"/>
          <w:szCs w:val="16"/>
          <w:lang w:val="nl-BE"/>
        </w:rPr>
        <w:t xml:space="preserve">, De b2b-wet van 4 april 2019: bescherming van ondernemingen tegen onrechtmatige bedingen, misbruik van economische afhankelijkheid en oneerlijke marktpraktijken (Deel 2), RW 2019, </w:t>
      </w:r>
      <w:r w:rsidR="00913085" w:rsidRPr="0028350F">
        <w:rPr>
          <w:sz w:val="16"/>
          <w:szCs w:val="16"/>
          <w:lang w:val="nl-BE"/>
        </w:rPr>
        <w:t xml:space="preserve">p. </w:t>
      </w:r>
      <w:r w:rsidRPr="0028350F">
        <w:rPr>
          <w:sz w:val="16"/>
          <w:szCs w:val="16"/>
          <w:lang w:val="nl-BE"/>
        </w:rPr>
        <w:t>366; S. D</w:t>
      </w:r>
      <w:r w:rsidR="00913085" w:rsidRPr="0028350F">
        <w:rPr>
          <w:sz w:val="16"/>
          <w:szCs w:val="16"/>
          <w:lang w:val="nl-BE"/>
        </w:rPr>
        <w:t>e</w:t>
      </w:r>
      <w:r w:rsidRPr="0028350F">
        <w:rPr>
          <w:sz w:val="16"/>
          <w:szCs w:val="16"/>
          <w:lang w:val="nl-BE"/>
        </w:rPr>
        <w:t xml:space="preserve"> </w:t>
      </w:r>
      <w:proofErr w:type="spellStart"/>
      <w:r w:rsidRPr="0028350F">
        <w:rPr>
          <w:sz w:val="16"/>
          <w:szCs w:val="16"/>
          <w:lang w:val="nl-BE"/>
        </w:rPr>
        <w:t>P</w:t>
      </w:r>
      <w:r w:rsidR="00913085" w:rsidRPr="0028350F">
        <w:rPr>
          <w:sz w:val="16"/>
          <w:szCs w:val="16"/>
          <w:lang w:val="nl-BE"/>
        </w:rPr>
        <w:t>ourcq</w:t>
      </w:r>
      <w:proofErr w:type="spellEnd"/>
      <w:r w:rsidRPr="0028350F">
        <w:rPr>
          <w:sz w:val="16"/>
          <w:szCs w:val="16"/>
          <w:lang w:val="nl-BE"/>
        </w:rPr>
        <w:t>, De impact van de wet van 4 april 2019 op de contractuele b2b-verhouding</w:t>
      </w:r>
      <w:r w:rsidR="00913085" w:rsidRPr="0028350F">
        <w:rPr>
          <w:sz w:val="16"/>
          <w:szCs w:val="16"/>
          <w:lang w:val="nl-BE"/>
        </w:rPr>
        <w:t>,</w:t>
      </w:r>
      <w:r w:rsidRPr="0028350F">
        <w:rPr>
          <w:sz w:val="16"/>
          <w:szCs w:val="16"/>
          <w:lang w:val="nl-BE"/>
        </w:rPr>
        <w:t xml:space="preserve"> </w:t>
      </w:r>
      <w:r w:rsidR="00913085" w:rsidRPr="0028350F">
        <w:rPr>
          <w:sz w:val="16"/>
          <w:szCs w:val="16"/>
          <w:lang w:val="nl-BE"/>
        </w:rPr>
        <w:t>I</w:t>
      </w:r>
      <w:r w:rsidRPr="0028350F">
        <w:rPr>
          <w:sz w:val="16"/>
          <w:szCs w:val="16"/>
          <w:lang w:val="nl-BE"/>
        </w:rPr>
        <w:t>n</w:t>
      </w:r>
      <w:r w:rsidR="00913085" w:rsidRPr="0028350F">
        <w:rPr>
          <w:sz w:val="16"/>
          <w:szCs w:val="16"/>
          <w:lang w:val="nl-BE"/>
        </w:rPr>
        <w:t xml:space="preserve">: Vandenbussche and De </w:t>
      </w:r>
      <w:proofErr w:type="spellStart"/>
      <w:r w:rsidR="00913085" w:rsidRPr="0028350F">
        <w:rPr>
          <w:sz w:val="16"/>
          <w:szCs w:val="16"/>
          <w:lang w:val="nl-BE"/>
        </w:rPr>
        <w:t>Backere</w:t>
      </w:r>
      <w:proofErr w:type="spellEnd"/>
      <w:r w:rsidRPr="0028350F">
        <w:rPr>
          <w:sz w:val="16"/>
          <w:szCs w:val="16"/>
          <w:lang w:val="nl-BE"/>
        </w:rPr>
        <w:t xml:space="preserve"> (</w:t>
      </w:r>
      <w:proofErr w:type="spellStart"/>
      <w:r w:rsidRPr="0028350F">
        <w:rPr>
          <w:sz w:val="16"/>
          <w:szCs w:val="16"/>
          <w:lang w:val="nl-BE"/>
        </w:rPr>
        <w:t>eds</w:t>
      </w:r>
      <w:proofErr w:type="spellEnd"/>
      <w:r w:rsidRPr="0028350F">
        <w:rPr>
          <w:sz w:val="16"/>
          <w:szCs w:val="16"/>
          <w:lang w:val="nl-BE"/>
        </w:rPr>
        <w:t>.), Verbintenissenrecht in de onderneming. VPG-studiecyclus 2020, Kluwer</w:t>
      </w:r>
      <w:r w:rsidR="00913085" w:rsidRPr="0028350F">
        <w:rPr>
          <w:sz w:val="16"/>
          <w:szCs w:val="16"/>
          <w:lang w:val="nl-BE"/>
        </w:rPr>
        <w:t xml:space="preserve"> </w:t>
      </w:r>
      <w:r w:rsidRPr="0028350F">
        <w:rPr>
          <w:sz w:val="16"/>
          <w:szCs w:val="16"/>
          <w:lang w:val="nl-BE"/>
        </w:rPr>
        <w:t xml:space="preserve">2020, </w:t>
      </w:r>
      <w:r w:rsidR="00913085" w:rsidRPr="0028350F">
        <w:rPr>
          <w:sz w:val="16"/>
          <w:szCs w:val="16"/>
          <w:lang w:val="nl-BE"/>
        </w:rPr>
        <w:t>p.</w:t>
      </w:r>
      <w:r w:rsidRPr="0028350F">
        <w:rPr>
          <w:sz w:val="16"/>
          <w:szCs w:val="16"/>
          <w:lang w:val="nl-BE"/>
        </w:rPr>
        <w:t xml:space="preserve"> 57.   </w:t>
      </w:r>
    </w:p>
  </w:footnote>
  <w:footnote w:id="16">
    <w:p w14:paraId="3A7225D6" w14:textId="11406E9D" w:rsidR="00B00C43" w:rsidRPr="0028350F" w:rsidRDefault="00B00C43" w:rsidP="001A67CD">
      <w:pPr>
        <w:pStyle w:val="FootnoteText"/>
        <w:jc w:val="both"/>
        <w:rPr>
          <w:sz w:val="16"/>
          <w:szCs w:val="16"/>
          <w:lang w:val="nl-BE"/>
        </w:rPr>
      </w:pPr>
      <w:r w:rsidRPr="0028350F">
        <w:rPr>
          <w:rStyle w:val="FootnoteReference"/>
          <w:sz w:val="16"/>
          <w:szCs w:val="16"/>
          <w:lang w:val="nl-BE"/>
        </w:rPr>
        <w:footnoteRef/>
      </w:r>
      <w:r w:rsidRPr="0028350F">
        <w:rPr>
          <w:sz w:val="16"/>
          <w:szCs w:val="16"/>
          <w:lang w:val="nl-BE"/>
        </w:rPr>
        <w:tab/>
        <w:t xml:space="preserve">Pres. Enterprise Court Brussels 15 </w:t>
      </w:r>
      <w:proofErr w:type="spellStart"/>
      <w:r w:rsidRPr="0028350F">
        <w:rPr>
          <w:sz w:val="16"/>
          <w:szCs w:val="16"/>
          <w:lang w:val="nl-BE"/>
        </w:rPr>
        <w:t>October</w:t>
      </w:r>
      <w:proofErr w:type="spellEnd"/>
      <w:r w:rsidRPr="0028350F">
        <w:rPr>
          <w:sz w:val="16"/>
          <w:szCs w:val="16"/>
          <w:lang w:val="nl-BE"/>
        </w:rPr>
        <w:t xml:space="preserve"> 2020, </w:t>
      </w:r>
      <w:proofErr w:type="spellStart"/>
      <w:r w:rsidR="00812E34" w:rsidRPr="0028350F">
        <w:rPr>
          <w:sz w:val="16"/>
          <w:szCs w:val="16"/>
          <w:lang w:val="nl-BE"/>
        </w:rPr>
        <w:t>Competitio</w:t>
      </w:r>
      <w:proofErr w:type="spellEnd"/>
      <w:r w:rsidRPr="0028350F">
        <w:rPr>
          <w:sz w:val="16"/>
          <w:szCs w:val="16"/>
          <w:lang w:val="nl-BE"/>
        </w:rPr>
        <w:t xml:space="preserve"> 2021</w:t>
      </w:r>
      <w:r w:rsidR="0007624B">
        <w:rPr>
          <w:sz w:val="16"/>
          <w:szCs w:val="16"/>
          <w:lang w:val="nl-BE"/>
        </w:rPr>
        <w:t>/1</w:t>
      </w:r>
      <w:r w:rsidRPr="0028350F">
        <w:rPr>
          <w:sz w:val="16"/>
          <w:szCs w:val="16"/>
          <w:lang w:val="nl-BE"/>
        </w:rPr>
        <w:t xml:space="preserve">, </w:t>
      </w:r>
      <w:r w:rsidR="00913085" w:rsidRPr="0028350F">
        <w:rPr>
          <w:sz w:val="16"/>
          <w:szCs w:val="16"/>
          <w:lang w:val="nl-BE"/>
        </w:rPr>
        <w:t xml:space="preserve">p. </w:t>
      </w:r>
      <w:r w:rsidRPr="0028350F">
        <w:rPr>
          <w:sz w:val="16"/>
          <w:szCs w:val="16"/>
          <w:lang w:val="nl-BE"/>
        </w:rPr>
        <w:t xml:space="preserve">58. </w:t>
      </w:r>
    </w:p>
  </w:footnote>
  <w:footnote w:id="17">
    <w:p w14:paraId="482257A3" w14:textId="05EF7C58" w:rsidR="00B00C43" w:rsidRPr="0028350F" w:rsidRDefault="00B00C43" w:rsidP="001A67CD">
      <w:pPr>
        <w:pStyle w:val="FootnoteText"/>
        <w:jc w:val="both"/>
        <w:rPr>
          <w:sz w:val="16"/>
          <w:szCs w:val="16"/>
          <w:lang w:val="nl-BE"/>
        </w:rPr>
      </w:pPr>
      <w:r w:rsidRPr="0028350F">
        <w:rPr>
          <w:rStyle w:val="FootnoteReference"/>
          <w:sz w:val="16"/>
          <w:szCs w:val="16"/>
          <w:lang w:val="nl-BE"/>
        </w:rPr>
        <w:footnoteRef/>
      </w:r>
      <w:r w:rsidRPr="0028350F">
        <w:rPr>
          <w:sz w:val="16"/>
          <w:szCs w:val="16"/>
          <w:lang w:val="nl-BE"/>
        </w:rPr>
        <w:tab/>
        <w:t xml:space="preserve">Pres. Enterprise Court </w:t>
      </w:r>
      <w:proofErr w:type="spellStart"/>
      <w:r w:rsidRPr="0028350F">
        <w:rPr>
          <w:sz w:val="16"/>
          <w:szCs w:val="16"/>
          <w:lang w:val="nl-BE"/>
        </w:rPr>
        <w:t>Ghent</w:t>
      </w:r>
      <w:proofErr w:type="spellEnd"/>
      <w:r w:rsidRPr="0028350F">
        <w:rPr>
          <w:sz w:val="16"/>
          <w:szCs w:val="16"/>
          <w:lang w:val="nl-BE"/>
        </w:rPr>
        <w:t xml:space="preserve"> 28 </w:t>
      </w:r>
      <w:proofErr w:type="spellStart"/>
      <w:r w:rsidRPr="0028350F">
        <w:rPr>
          <w:sz w:val="16"/>
          <w:szCs w:val="16"/>
          <w:lang w:val="nl-BE"/>
        </w:rPr>
        <w:t>October</w:t>
      </w:r>
      <w:proofErr w:type="spellEnd"/>
      <w:r w:rsidRPr="0028350F">
        <w:rPr>
          <w:sz w:val="16"/>
          <w:szCs w:val="16"/>
          <w:lang w:val="nl-BE"/>
        </w:rPr>
        <w:t xml:space="preserve"> 2020, TBH</w:t>
      </w:r>
      <w:r w:rsidR="004422FD">
        <w:rPr>
          <w:sz w:val="16"/>
          <w:szCs w:val="16"/>
          <w:lang w:val="nl-BE"/>
        </w:rPr>
        <w:t>/4</w:t>
      </w:r>
      <w:r w:rsidRPr="0028350F">
        <w:rPr>
          <w:sz w:val="16"/>
          <w:szCs w:val="16"/>
          <w:lang w:val="nl-BE"/>
        </w:rPr>
        <w:t xml:space="preserve"> 2021, </w:t>
      </w:r>
      <w:r w:rsidR="00913085" w:rsidRPr="0028350F">
        <w:rPr>
          <w:sz w:val="16"/>
          <w:szCs w:val="16"/>
          <w:lang w:val="nl-BE"/>
        </w:rPr>
        <w:t>p.</w:t>
      </w:r>
      <w:r w:rsidRPr="0028350F">
        <w:rPr>
          <w:sz w:val="16"/>
          <w:szCs w:val="16"/>
          <w:lang w:val="nl-BE"/>
        </w:rPr>
        <w:t xml:space="preserve"> 520, </w:t>
      </w:r>
      <w:proofErr w:type="spellStart"/>
      <w:r w:rsidRPr="0028350F">
        <w:rPr>
          <w:sz w:val="16"/>
          <w:szCs w:val="16"/>
          <w:lang w:val="nl-BE"/>
        </w:rPr>
        <w:t>note</w:t>
      </w:r>
      <w:proofErr w:type="spellEnd"/>
      <w:r w:rsidRPr="0028350F">
        <w:rPr>
          <w:sz w:val="16"/>
          <w:szCs w:val="16"/>
          <w:lang w:val="nl-BE"/>
        </w:rPr>
        <w:t xml:space="preserve"> S. </w:t>
      </w:r>
      <w:proofErr w:type="spellStart"/>
      <w:r w:rsidRPr="0028350F">
        <w:rPr>
          <w:sz w:val="16"/>
          <w:szCs w:val="16"/>
          <w:lang w:val="nl-BE"/>
        </w:rPr>
        <w:t>C</w:t>
      </w:r>
      <w:r w:rsidR="00913085" w:rsidRPr="0028350F">
        <w:rPr>
          <w:sz w:val="16"/>
          <w:szCs w:val="16"/>
          <w:lang w:val="nl-BE"/>
        </w:rPr>
        <w:t>olaers</w:t>
      </w:r>
      <w:proofErr w:type="spellEnd"/>
      <w:r w:rsidRPr="0028350F">
        <w:rPr>
          <w:sz w:val="16"/>
          <w:szCs w:val="16"/>
          <w:lang w:val="nl-BE"/>
        </w:rPr>
        <w:t xml:space="preserve">. </w:t>
      </w:r>
    </w:p>
  </w:footnote>
  <w:footnote w:id="18">
    <w:p w14:paraId="3143A597" w14:textId="416189A2" w:rsidR="00F10409" w:rsidRPr="00F10409" w:rsidRDefault="00F10409" w:rsidP="00F10409">
      <w:pPr>
        <w:pStyle w:val="FootnoteText"/>
        <w:jc w:val="both"/>
        <w:rPr>
          <w:lang w:val="en-US"/>
        </w:rPr>
      </w:pPr>
      <w:r w:rsidRPr="00F10409">
        <w:rPr>
          <w:rStyle w:val="FootnoteReference"/>
          <w:sz w:val="16"/>
          <w:szCs w:val="16"/>
        </w:rPr>
        <w:footnoteRef/>
      </w:r>
      <w:r w:rsidRPr="00F10409">
        <w:rPr>
          <w:sz w:val="16"/>
          <w:szCs w:val="16"/>
          <w:lang w:val="en-US"/>
        </w:rPr>
        <w:tab/>
        <w:t xml:space="preserve">Pres. Enterprise Court Antwerp 20 April 2022, </w:t>
      </w:r>
      <w:proofErr w:type="spellStart"/>
      <w:r w:rsidRPr="00F10409">
        <w:rPr>
          <w:sz w:val="16"/>
          <w:szCs w:val="16"/>
          <w:lang w:val="en-US"/>
        </w:rPr>
        <w:t>Competitio</w:t>
      </w:r>
      <w:proofErr w:type="spellEnd"/>
      <w:r w:rsidRPr="00F10409">
        <w:rPr>
          <w:sz w:val="16"/>
          <w:szCs w:val="16"/>
          <w:lang w:val="en-US"/>
        </w:rPr>
        <w:t xml:space="preserve"> 2022/1, pp. 41-43. </w:t>
      </w:r>
    </w:p>
  </w:footnote>
  <w:footnote w:id="19">
    <w:p w14:paraId="7B105737" w14:textId="4F367A85" w:rsidR="001A1AD9" w:rsidRPr="00910EF2" w:rsidRDefault="001A1AD9" w:rsidP="001A67CD">
      <w:pPr>
        <w:pStyle w:val="FootnoteText"/>
        <w:jc w:val="both"/>
        <w:rPr>
          <w:sz w:val="16"/>
          <w:szCs w:val="16"/>
          <w:lang w:val="en-US"/>
        </w:rPr>
      </w:pPr>
      <w:r w:rsidRPr="00F10409">
        <w:rPr>
          <w:rStyle w:val="FootnoteReference"/>
          <w:sz w:val="16"/>
          <w:szCs w:val="16"/>
          <w:lang w:val="nl-BE"/>
        </w:rPr>
        <w:footnoteRef/>
      </w:r>
      <w:r w:rsidRPr="00910EF2">
        <w:rPr>
          <w:sz w:val="16"/>
          <w:szCs w:val="16"/>
          <w:lang w:val="en-US"/>
        </w:rPr>
        <w:tab/>
        <w:t xml:space="preserve">Parl. Doc. Chamber 2018-19, </w:t>
      </w:r>
      <w:hyperlink r:id="rId6" w:history="1">
        <w:r w:rsidRPr="00910EF2">
          <w:rPr>
            <w:rStyle w:val="Hyperlink"/>
            <w:color w:val="auto"/>
            <w:sz w:val="16"/>
            <w:szCs w:val="16"/>
            <w:lang w:val="en-US"/>
          </w:rPr>
          <w:t>no. 54-1451/3</w:t>
        </w:r>
      </w:hyperlink>
      <w:r w:rsidRPr="00910EF2">
        <w:rPr>
          <w:sz w:val="16"/>
          <w:szCs w:val="16"/>
          <w:lang w:val="en-US"/>
        </w:rPr>
        <w:t xml:space="preserve">, </w:t>
      </w:r>
      <w:r w:rsidR="00913085" w:rsidRPr="00910EF2">
        <w:rPr>
          <w:sz w:val="16"/>
          <w:szCs w:val="16"/>
          <w:lang w:val="en-US"/>
        </w:rPr>
        <w:t xml:space="preserve">p. </w:t>
      </w:r>
      <w:r w:rsidRPr="00910EF2">
        <w:rPr>
          <w:sz w:val="16"/>
          <w:szCs w:val="16"/>
          <w:lang w:val="en-US"/>
        </w:rPr>
        <w:t xml:space="preserve">4. </w:t>
      </w:r>
    </w:p>
  </w:footnote>
  <w:footnote w:id="20">
    <w:p w14:paraId="793E6B50" w14:textId="6EAA25BB" w:rsidR="005B524B" w:rsidRPr="00F10409" w:rsidRDefault="005B524B"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r>
      <w:proofErr w:type="spellStart"/>
      <w:r w:rsidRPr="00F10409">
        <w:rPr>
          <w:sz w:val="16"/>
          <w:szCs w:val="16"/>
          <w:lang w:val="nl-BE"/>
        </w:rPr>
        <w:t>Parl</w:t>
      </w:r>
      <w:proofErr w:type="spellEnd"/>
      <w:r w:rsidRPr="00F10409">
        <w:rPr>
          <w:sz w:val="16"/>
          <w:szCs w:val="16"/>
          <w:lang w:val="nl-BE"/>
        </w:rPr>
        <w:t xml:space="preserve">. </w:t>
      </w:r>
      <w:proofErr w:type="spellStart"/>
      <w:r w:rsidRPr="00F10409">
        <w:rPr>
          <w:sz w:val="16"/>
          <w:szCs w:val="16"/>
          <w:lang w:val="nl-BE"/>
        </w:rPr>
        <w:t>Doc</w:t>
      </w:r>
      <w:proofErr w:type="spellEnd"/>
      <w:r w:rsidRPr="00F10409">
        <w:rPr>
          <w:sz w:val="16"/>
          <w:szCs w:val="16"/>
          <w:lang w:val="nl-BE"/>
        </w:rPr>
        <w:t xml:space="preserve">. </w:t>
      </w:r>
      <w:proofErr w:type="spellStart"/>
      <w:r w:rsidRPr="00F10409">
        <w:rPr>
          <w:sz w:val="16"/>
          <w:szCs w:val="16"/>
          <w:lang w:val="nl-BE"/>
        </w:rPr>
        <w:t>Chamber</w:t>
      </w:r>
      <w:proofErr w:type="spellEnd"/>
      <w:r w:rsidRPr="00F10409">
        <w:rPr>
          <w:sz w:val="16"/>
          <w:szCs w:val="16"/>
          <w:lang w:val="nl-BE"/>
        </w:rPr>
        <w:t xml:space="preserve"> 2018-19, </w:t>
      </w:r>
      <w:hyperlink r:id="rId7" w:history="1">
        <w:r w:rsidRPr="00F10409">
          <w:rPr>
            <w:rStyle w:val="Hyperlink"/>
            <w:color w:val="auto"/>
            <w:sz w:val="16"/>
            <w:szCs w:val="16"/>
            <w:lang w:val="nl-BE"/>
          </w:rPr>
          <w:t>no. 54-1451/3</w:t>
        </w:r>
      </w:hyperlink>
      <w:r w:rsidRPr="00F10409">
        <w:rPr>
          <w:sz w:val="16"/>
          <w:szCs w:val="16"/>
          <w:lang w:val="nl-BE"/>
        </w:rPr>
        <w:t xml:space="preserve">, </w:t>
      </w:r>
      <w:r w:rsidR="00913085" w:rsidRPr="00F10409">
        <w:rPr>
          <w:sz w:val="16"/>
          <w:szCs w:val="16"/>
          <w:lang w:val="nl-BE"/>
        </w:rPr>
        <w:t xml:space="preserve">p. </w:t>
      </w:r>
      <w:r w:rsidRPr="00F10409">
        <w:rPr>
          <w:sz w:val="16"/>
          <w:szCs w:val="16"/>
          <w:lang w:val="nl-BE"/>
        </w:rPr>
        <w:t xml:space="preserve">4; J. </w:t>
      </w:r>
      <w:proofErr w:type="spellStart"/>
      <w:r w:rsidRPr="00F10409">
        <w:rPr>
          <w:sz w:val="16"/>
          <w:szCs w:val="16"/>
          <w:lang w:val="nl-BE"/>
        </w:rPr>
        <w:t>S</w:t>
      </w:r>
      <w:r w:rsidR="00913085" w:rsidRPr="00F10409">
        <w:rPr>
          <w:sz w:val="16"/>
          <w:szCs w:val="16"/>
          <w:lang w:val="nl-BE"/>
        </w:rPr>
        <w:t>tuyck</w:t>
      </w:r>
      <w:proofErr w:type="spellEnd"/>
      <w:r w:rsidRPr="00F10409">
        <w:rPr>
          <w:sz w:val="16"/>
          <w:szCs w:val="16"/>
          <w:lang w:val="nl-BE"/>
        </w:rPr>
        <w:t xml:space="preserve"> and B. </w:t>
      </w:r>
      <w:proofErr w:type="spellStart"/>
      <w:r w:rsidRPr="00F10409">
        <w:rPr>
          <w:sz w:val="16"/>
          <w:szCs w:val="16"/>
          <w:lang w:val="nl-BE"/>
        </w:rPr>
        <w:t>K</w:t>
      </w:r>
      <w:r w:rsidR="00913085" w:rsidRPr="00F10409">
        <w:rPr>
          <w:sz w:val="16"/>
          <w:szCs w:val="16"/>
          <w:lang w:val="nl-BE"/>
        </w:rPr>
        <w:t>eirsbilck</w:t>
      </w:r>
      <w:proofErr w:type="spellEnd"/>
      <w:r w:rsidRPr="00F10409">
        <w:rPr>
          <w:sz w:val="16"/>
          <w:szCs w:val="16"/>
          <w:lang w:val="nl-BE"/>
        </w:rPr>
        <w:t xml:space="preserve">, De nieuwe Belgische wet met betrekking tot misbruik van economische afhankelijkheid, onrechtmatige bedingen en oneerlijke marktpraktijken tussen ondernemingen: een eerste commentaar, SEW 2019, </w:t>
      </w:r>
      <w:r w:rsidR="004B76C2" w:rsidRPr="00F10409">
        <w:rPr>
          <w:sz w:val="16"/>
          <w:szCs w:val="16"/>
          <w:lang w:val="nl-BE"/>
        </w:rPr>
        <w:t>p.</w:t>
      </w:r>
      <w:r w:rsidRPr="00F10409">
        <w:rPr>
          <w:sz w:val="16"/>
          <w:szCs w:val="16"/>
          <w:lang w:val="nl-BE"/>
        </w:rPr>
        <w:t xml:space="preserve"> 383. </w:t>
      </w:r>
    </w:p>
  </w:footnote>
  <w:footnote w:id="21">
    <w:p w14:paraId="6AA7C27D" w14:textId="7B5544E5" w:rsidR="005B524B" w:rsidRPr="00F10409" w:rsidRDefault="005B524B"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r>
      <w:r w:rsidR="004B76C2" w:rsidRPr="00F10409">
        <w:rPr>
          <w:sz w:val="16"/>
          <w:szCs w:val="16"/>
          <w:lang w:val="nl-BE"/>
        </w:rPr>
        <w:t xml:space="preserve">J. </w:t>
      </w:r>
      <w:proofErr w:type="spellStart"/>
      <w:r w:rsidR="004B76C2" w:rsidRPr="00F10409">
        <w:rPr>
          <w:sz w:val="16"/>
          <w:szCs w:val="16"/>
          <w:lang w:val="nl-BE"/>
        </w:rPr>
        <w:t>Stuyck</w:t>
      </w:r>
      <w:proofErr w:type="spellEnd"/>
      <w:r w:rsidR="004B76C2" w:rsidRPr="00F10409">
        <w:rPr>
          <w:sz w:val="16"/>
          <w:szCs w:val="16"/>
          <w:lang w:val="nl-BE"/>
        </w:rPr>
        <w:t xml:space="preserve"> and B. </w:t>
      </w:r>
      <w:proofErr w:type="spellStart"/>
      <w:r w:rsidR="004B76C2" w:rsidRPr="00F10409">
        <w:rPr>
          <w:sz w:val="16"/>
          <w:szCs w:val="16"/>
          <w:lang w:val="nl-BE"/>
        </w:rPr>
        <w:t>Keirsbilck</w:t>
      </w:r>
      <w:proofErr w:type="spellEnd"/>
      <w:r w:rsidRPr="00F10409">
        <w:rPr>
          <w:sz w:val="16"/>
          <w:szCs w:val="16"/>
          <w:lang w:val="nl-BE"/>
        </w:rPr>
        <w:t xml:space="preserve">, De nieuwe Belgische wet met betrekking tot misbruik van economische afhankelijkheid, onrechtmatige bedingen en oneerlijke marktpraktijken tussen ondernemingen: een eerste commentaar, SEW 2019, </w:t>
      </w:r>
      <w:r w:rsidR="004B76C2" w:rsidRPr="00F10409">
        <w:rPr>
          <w:sz w:val="16"/>
          <w:szCs w:val="16"/>
          <w:lang w:val="nl-BE"/>
        </w:rPr>
        <w:t>p.</w:t>
      </w:r>
      <w:r w:rsidRPr="00F10409">
        <w:rPr>
          <w:sz w:val="16"/>
          <w:szCs w:val="16"/>
          <w:lang w:val="nl-BE"/>
        </w:rPr>
        <w:t xml:space="preserve"> 383. </w:t>
      </w:r>
    </w:p>
  </w:footnote>
  <w:footnote w:id="22">
    <w:p w14:paraId="481DEBFB" w14:textId="0A975664" w:rsidR="0059190F" w:rsidRPr="00F10409" w:rsidRDefault="0059190F"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t xml:space="preserve">Pres. Enterprise Court </w:t>
      </w:r>
      <w:proofErr w:type="spellStart"/>
      <w:r w:rsidRPr="00F10409">
        <w:rPr>
          <w:sz w:val="16"/>
          <w:szCs w:val="16"/>
          <w:lang w:val="nl-BE"/>
        </w:rPr>
        <w:t>Ghent</w:t>
      </w:r>
      <w:proofErr w:type="spellEnd"/>
      <w:r w:rsidRPr="00F10409">
        <w:rPr>
          <w:sz w:val="16"/>
          <w:szCs w:val="16"/>
          <w:lang w:val="nl-BE"/>
        </w:rPr>
        <w:t xml:space="preserve"> 28 </w:t>
      </w:r>
      <w:proofErr w:type="spellStart"/>
      <w:r w:rsidRPr="00F10409">
        <w:rPr>
          <w:sz w:val="16"/>
          <w:szCs w:val="16"/>
          <w:lang w:val="nl-BE"/>
        </w:rPr>
        <w:t>October</w:t>
      </w:r>
      <w:proofErr w:type="spellEnd"/>
      <w:r w:rsidRPr="00F10409">
        <w:rPr>
          <w:sz w:val="16"/>
          <w:szCs w:val="16"/>
          <w:lang w:val="nl-BE"/>
        </w:rPr>
        <w:t xml:space="preserve"> 2020, TBH 2020</w:t>
      </w:r>
      <w:r w:rsidR="004422FD" w:rsidRPr="00F10409">
        <w:rPr>
          <w:sz w:val="16"/>
          <w:szCs w:val="16"/>
          <w:lang w:val="nl-BE"/>
        </w:rPr>
        <w:t>/4</w:t>
      </w:r>
      <w:r w:rsidRPr="00F10409">
        <w:rPr>
          <w:sz w:val="16"/>
          <w:szCs w:val="16"/>
          <w:lang w:val="nl-BE"/>
        </w:rPr>
        <w:t xml:space="preserve">, </w:t>
      </w:r>
      <w:r w:rsidR="004B76C2" w:rsidRPr="00F10409">
        <w:rPr>
          <w:sz w:val="16"/>
          <w:szCs w:val="16"/>
          <w:lang w:val="nl-BE"/>
        </w:rPr>
        <w:t xml:space="preserve">pp. </w:t>
      </w:r>
      <w:r w:rsidRPr="00F10409">
        <w:rPr>
          <w:sz w:val="16"/>
          <w:szCs w:val="16"/>
          <w:lang w:val="nl-BE"/>
        </w:rPr>
        <w:t xml:space="preserve">514-517; Pres. Enterprise Court Brussel 15 </w:t>
      </w:r>
      <w:proofErr w:type="spellStart"/>
      <w:r w:rsidRPr="00F10409">
        <w:rPr>
          <w:sz w:val="16"/>
          <w:szCs w:val="16"/>
          <w:lang w:val="nl-BE"/>
        </w:rPr>
        <w:t>October</w:t>
      </w:r>
      <w:proofErr w:type="spellEnd"/>
      <w:r w:rsidRPr="00F10409">
        <w:rPr>
          <w:sz w:val="16"/>
          <w:szCs w:val="16"/>
          <w:lang w:val="nl-BE"/>
        </w:rPr>
        <w:t xml:space="preserve"> 2020, </w:t>
      </w:r>
      <w:proofErr w:type="spellStart"/>
      <w:r w:rsidR="00812E34" w:rsidRPr="00F10409">
        <w:rPr>
          <w:sz w:val="16"/>
          <w:szCs w:val="16"/>
          <w:lang w:val="nl-BE"/>
        </w:rPr>
        <w:t>Competitio</w:t>
      </w:r>
      <w:proofErr w:type="spellEnd"/>
      <w:r w:rsidRPr="00F10409">
        <w:rPr>
          <w:sz w:val="16"/>
          <w:szCs w:val="16"/>
          <w:lang w:val="nl-BE"/>
        </w:rPr>
        <w:t xml:space="preserve"> 2021</w:t>
      </w:r>
      <w:r w:rsidR="0007624B" w:rsidRPr="00F10409">
        <w:rPr>
          <w:sz w:val="16"/>
          <w:szCs w:val="16"/>
          <w:lang w:val="nl-BE"/>
        </w:rPr>
        <w:t>/1</w:t>
      </w:r>
      <w:r w:rsidRPr="00F10409">
        <w:rPr>
          <w:sz w:val="16"/>
          <w:szCs w:val="16"/>
          <w:lang w:val="nl-BE"/>
        </w:rPr>
        <w:t xml:space="preserve">, </w:t>
      </w:r>
      <w:r w:rsidR="004B76C2" w:rsidRPr="00F10409">
        <w:rPr>
          <w:sz w:val="16"/>
          <w:szCs w:val="16"/>
          <w:lang w:val="nl-BE"/>
        </w:rPr>
        <w:t xml:space="preserve">p. </w:t>
      </w:r>
      <w:r w:rsidRPr="00F10409">
        <w:rPr>
          <w:sz w:val="16"/>
          <w:szCs w:val="16"/>
          <w:lang w:val="nl-BE"/>
        </w:rPr>
        <w:t xml:space="preserve">58; R. </w:t>
      </w:r>
      <w:proofErr w:type="spellStart"/>
      <w:r w:rsidRPr="00F10409">
        <w:rPr>
          <w:sz w:val="16"/>
          <w:szCs w:val="16"/>
          <w:lang w:val="nl-BE"/>
        </w:rPr>
        <w:t>F</w:t>
      </w:r>
      <w:r w:rsidR="004B76C2" w:rsidRPr="00F10409">
        <w:rPr>
          <w:sz w:val="16"/>
          <w:szCs w:val="16"/>
          <w:lang w:val="nl-BE"/>
        </w:rPr>
        <w:t>eltkamp</w:t>
      </w:r>
      <w:proofErr w:type="spellEnd"/>
      <w:r w:rsidRPr="00F10409">
        <w:rPr>
          <w:sz w:val="16"/>
          <w:szCs w:val="16"/>
          <w:lang w:val="nl-BE"/>
        </w:rPr>
        <w:t xml:space="preserve">, Weigering bankdiensten: misbruik van economische afhankelijkheid? </w:t>
      </w:r>
      <w:proofErr w:type="spellStart"/>
      <w:r w:rsidRPr="00F10409">
        <w:rPr>
          <w:sz w:val="16"/>
          <w:szCs w:val="16"/>
          <w:lang w:val="nl-BE"/>
        </w:rPr>
        <w:t>Orb</w:t>
      </w:r>
      <w:proofErr w:type="spellEnd"/>
      <w:r w:rsidRPr="00F10409">
        <w:rPr>
          <w:sz w:val="16"/>
          <w:szCs w:val="16"/>
          <w:lang w:val="nl-BE"/>
        </w:rPr>
        <w:t>. Brussel 16 maart 2021, TBH 2021, www.rdc-tbh.be/nl/news/weigering-van-bankdiensten-misbruik-van-economische-onafhankelijkheid/; Pres. Enterprise Court Antwerpen (</w:t>
      </w:r>
      <w:proofErr w:type="spellStart"/>
      <w:r w:rsidRPr="00F10409">
        <w:rPr>
          <w:sz w:val="16"/>
          <w:szCs w:val="16"/>
          <w:lang w:val="nl-BE"/>
        </w:rPr>
        <w:t>division</w:t>
      </w:r>
      <w:proofErr w:type="spellEnd"/>
      <w:r w:rsidRPr="00F10409">
        <w:rPr>
          <w:sz w:val="16"/>
          <w:szCs w:val="16"/>
          <w:lang w:val="nl-BE"/>
        </w:rPr>
        <w:t xml:space="preserve"> Tongeren) 16 April 2021, </w:t>
      </w:r>
      <w:proofErr w:type="spellStart"/>
      <w:r w:rsidR="00812E34" w:rsidRPr="00F10409">
        <w:rPr>
          <w:sz w:val="16"/>
          <w:szCs w:val="16"/>
          <w:lang w:val="nl-BE"/>
        </w:rPr>
        <w:t>Competitio</w:t>
      </w:r>
      <w:proofErr w:type="spellEnd"/>
      <w:r w:rsidRPr="00F10409">
        <w:rPr>
          <w:sz w:val="16"/>
          <w:szCs w:val="16"/>
          <w:lang w:val="nl-BE"/>
        </w:rPr>
        <w:t xml:space="preserve"> 2021</w:t>
      </w:r>
      <w:r w:rsidR="004422FD" w:rsidRPr="00F10409">
        <w:rPr>
          <w:sz w:val="16"/>
          <w:szCs w:val="16"/>
          <w:lang w:val="nl-BE"/>
        </w:rPr>
        <w:t>/2</w:t>
      </w:r>
      <w:r w:rsidRPr="00F10409">
        <w:rPr>
          <w:sz w:val="16"/>
          <w:szCs w:val="16"/>
          <w:lang w:val="nl-BE"/>
        </w:rPr>
        <w:t xml:space="preserve">, </w:t>
      </w:r>
      <w:r w:rsidR="004B76C2" w:rsidRPr="00F10409">
        <w:rPr>
          <w:sz w:val="16"/>
          <w:szCs w:val="16"/>
          <w:lang w:val="nl-BE"/>
        </w:rPr>
        <w:t xml:space="preserve">pp. </w:t>
      </w:r>
      <w:r w:rsidRPr="00F10409">
        <w:rPr>
          <w:sz w:val="16"/>
          <w:szCs w:val="16"/>
          <w:lang w:val="nl-BE"/>
        </w:rPr>
        <w:t xml:space="preserve">159-166.   </w:t>
      </w:r>
    </w:p>
  </w:footnote>
  <w:footnote w:id="23">
    <w:p w14:paraId="501D2D9D" w14:textId="276438E2" w:rsidR="000B796D" w:rsidRPr="00F10409" w:rsidRDefault="000B796D" w:rsidP="001A67CD">
      <w:pPr>
        <w:pStyle w:val="FootnoteText"/>
        <w:jc w:val="both"/>
        <w:rPr>
          <w:sz w:val="16"/>
          <w:szCs w:val="16"/>
          <w:lang w:val="nl-BE"/>
        </w:rPr>
      </w:pPr>
      <w:r w:rsidRPr="00F10409">
        <w:rPr>
          <w:rStyle w:val="FootnoteReference"/>
          <w:sz w:val="16"/>
          <w:szCs w:val="16"/>
          <w:lang w:val="nl-BE"/>
        </w:rPr>
        <w:footnoteRef/>
      </w:r>
      <w:r w:rsidRPr="00F10409">
        <w:rPr>
          <w:sz w:val="16"/>
          <w:szCs w:val="16"/>
          <w:lang w:val="nl-BE"/>
        </w:rPr>
        <w:tab/>
        <w:t xml:space="preserve">Pres. Enterprise Court </w:t>
      </w:r>
      <w:proofErr w:type="spellStart"/>
      <w:r w:rsidRPr="00F10409">
        <w:rPr>
          <w:sz w:val="16"/>
          <w:szCs w:val="16"/>
          <w:lang w:val="nl-BE"/>
        </w:rPr>
        <w:t>Ghent</w:t>
      </w:r>
      <w:proofErr w:type="spellEnd"/>
      <w:r w:rsidRPr="00F10409">
        <w:rPr>
          <w:sz w:val="16"/>
          <w:szCs w:val="16"/>
          <w:lang w:val="nl-BE"/>
        </w:rPr>
        <w:t xml:space="preserve"> 28 </w:t>
      </w:r>
      <w:proofErr w:type="spellStart"/>
      <w:r w:rsidRPr="00F10409">
        <w:rPr>
          <w:sz w:val="16"/>
          <w:szCs w:val="16"/>
          <w:lang w:val="nl-BE"/>
        </w:rPr>
        <w:t>October</w:t>
      </w:r>
      <w:proofErr w:type="spellEnd"/>
      <w:r w:rsidRPr="00F10409">
        <w:rPr>
          <w:sz w:val="16"/>
          <w:szCs w:val="16"/>
          <w:lang w:val="nl-BE"/>
        </w:rPr>
        <w:t xml:space="preserve"> 2020</w:t>
      </w:r>
      <w:r w:rsidR="004422FD" w:rsidRPr="00F10409">
        <w:rPr>
          <w:sz w:val="16"/>
          <w:szCs w:val="16"/>
          <w:lang w:val="nl-BE"/>
        </w:rPr>
        <w:t>/4</w:t>
      </w:r>
      <w:r w:rsidRPr="00F10409">
        <w:rPr>
          <w:sz w:val="16"/>
          <w:szCs w:val="16"/>
          <w:lang w:val="nl-BE"/>
        </w:rPr>
        <w:t xml:space="preserve">, TBH 2020, </w:t>
      </w:r>
      <w:r w:rsidR="004B76C2" w:rsidRPr="00F10409">
        <w:rPr>
          <w:sz w:val="16"/>
          <w:szCs w:val="16"/>
          <w:lang w:val="nl-BE"/>
        </w:rPr>
        <w:t xml:space="preserve">pp. </w:t>
      </w:r>
      <w:r w:rsidRPr="00F10409">
        <w:rPr>
          <w:sz w:val="16"/>
          <w:szCs w:val="16"/>
          <w:lang w:val="nl-BE"/>
        </w:rPr>
        <w:t xml:space="preserve">514-517. </w:t>
      </w:r>
    </w:p>
  </w:footnote>
  <w:footnote w:id="24">
    <w:p w14:paraId="0A6BB2D6" w14:textId="43E11C64" w:rsidR="000B796D" w:rsidRPr="00F10409" w:rsidRDefault="000B796D" w:rsidP="001A67CD">
      <w:pPr>
        <w:pStyle w:val="FootnoteText"/>
        <w:jc w:val="both"/>
        <w:rPr>
          <w:sz w:val="16"/>
          <w:szCs w:val="16"/>
          <w:lang w:val="nl-BE"/>
        </w:rPr>
      </w:pPr>
      <w:r w:rsidRPr="00F10409">
        <w:rPr>
          <w:rStyle w:val="FootnoteReference"/>
          <w:sz w:val="16"/>
          <w:szCs w:val="16"/>
          <w:lang w:val="nl-BE"/>
        </w:rPr>
        <w:footnoteRef/>
      </w:r>
      <w:r w:rsidRPr="00F10409">
        <w:rPr>
          <w:sz w:val="16"/>
          <w:szCs w:val="16"/>
          <w:lang w:val="nl-BE"/>
        </w:rPr>
        <w:tab/>
        <w:t xml:space="preserve">Pres. Enterprise Court Brussels 15 </w:t>
      </w:r>
      <w:proofErr w:type="spellStart"/>
      <w:r w:rsidRPr="00F10409">
        <w:rPr>
          <w:sz w:val="16"/>
          <w:szCs w:val="16"/>
          <w:lang w:val="nl-BE"/>
        </w:rPr>
        <w:t>October</w:t>
      </w:r>
      <w:proofErr w:type="spellEnd"/>
      <w:r w:rsidRPr="00F10409">
        <w:rPr>
          <w:sz w:val="16"/>
          <w:szCs w:val="16"/>
          <w:lang w:val="nl-BE"/>
        </w:rPr>
        <w:t xml:space="preserve"> 2020, </w:t>
      </w:r>
      <w:proofErr w:type="spellStart"/>
      <w:r w:rsidR="00812E34" w:rsidRPr="00F10409">
        <w:rPr>
          <w:sz w:val="16"/>
          <w:szCs w:val="16"/>
          <w:lang w:val="nl-BE"/>
        </w:rPr>
        <w:t>Competitio</w:t>
      </w:r>
      <w:proofErr w:type="spellEnd"/>
      <w:r w:rsidRPr="00F10409">
        <w:rPr>
          <w:sz w:val="16"/>
          <w:szCs w:val="16"/>
          <w:lang w:val="nl-BE"/>
        </w:rPr>
        <w:t xml:space="preserve"> 2021</w:t>
      </w:r>
      <w:r w:rsidR="0007624B" w:rsidRPr="00F10409">
        <w:rPr>
          <w:sz w:val="16"/>
          <w:szCs w:val="16"/>
          <w:lang w:val="nl-BE"/>
        </w:rPr>
        <w:t>/1</w:t>
      </w:r>
      <w:r w:rsidRPr="00F10409">
        <w:rPr>
          <w:sz w:val="16"/>
          <w:szCs w:val="16"/>
          <w:lang w:val="nl-BE"/>
        </w:rPr>
        <w:t xml:space="preserve">, </w:t>
      </w:r>
      <w:r w:rsidR="004B76C2" w:rsidRPr="00F10409">
        <w:rPr>
          <w:sz w:val="16"/>
          <w:szCs w:val="16"/>
          <w:lang w:val="nl-BE"/>
        </w:rPr>
        <w:t xml:space="preserve">pp. </w:t>
      </w:r>
      <w:r w:rsidRPr="00F10409">
        <w:rPr>
          <w:sz w:val="16"/>
          <w:szCs w:val="16"/>
          <w:lang w:val="nl-BE"/>
        </w:rPr>
        <w:t xml:space="preserve">58-62. </w:t>
      </w:r>
    </w:p>
  </w:footnote>
  <w:footnote w:id="25">
    <w:p w14:paraId="60B86434" w14:textId="4B920259" w:rsidR="000B796D" w:rsidRPr="00F10409" w:rsidRDefault="000B796D" w:rsidP="001A67CD">
      <w:pPr>
        <w:pStyle w:val="FootnoteText"/>
        <w:jc w:val="both"/>
        <w:rPr>
          <w:sz w:val="16"/>
          <w:szCs w:val="16"/>
          <w:lang w:val="nl-BE"/>
        </w:rPr>
      </w:pPr>
      <w:r w:rsidRPr="00F10409">
        <w:rPr>
          <w:rStyle w:val="FootnoteReference"/>
          <w:sz w:val="16"/>
          <w:szCs w:val="16"/>
          <w:lang w:val="nl-BE"/>
        </w:rPr>
        <w:footnoteRef/>
      </w:r>
      <w:r w:rsidRPr="00F10409">
        <w:rPr>
          <w:sz w:val="16"/>
          <w:szCs w:val="16"/>
          <w:lang w:val="nl-BE"/>
        </w:rPr>
        <w:tab/>
        <w:t xml:space="preserve">Pres. Enterprise Court </w:t>
      </w:r>
      <w:proofErr w:type="spellStart"/>
      <w:r w:rsidRPr="00F10409">
        <w:rPr>
          <w:sz w:val="16"/>
          <w:szCs w:val="16"/>
          <w:lang w:val="nl-BE"/>
        </w:rPr>
        <w:t>Antwerp</w:t>
      </w:r>
      <w:proofErr w:type="spellEnd"/>
      <w:r w:rsidRPr="00F10409">
        <w:rPr>
          <w:sz w:val="16"/>
          <w:szCs w:val="16"/>
          <w:lang w:val="nl-BE"/>
        </w:rPr>
        <w:t xml:space="preserve"> (</w:t>
      </w:r>
      <w:proofErr w:type="spellStart"/>
      <w:r w:rsidRPr="00F10409">
        <w:rPr>
          <w:sz w:val="16"/>
          <w:szCs w:val="16"/>
          <w:lang w:val="nl-BE"/>
        </w:rPr>
        <w:t>division</w:t>
      </w:r>
      <w:proofErr w:type="spellEnd"/>
      <w:r w:rsidRPr="00F10409">
        <w:rPr>
          <w:sz w:val="16"/>
          <w:szCs w:val="16"/>
          <w:lang w:val="nl-BE"/>
        </w:rPr>
        <w:t xml:space="preserve"> Tongeren) 16 April 2021, </w:t>
      </w:r>
      <w:proofErr w:type="spellStart"/>
      <w:r w:rsidR="00812E34" w:rsidRPr="00F10409">
        <w:rPr>
          <w:sz w:val="16"/>
          <w:szCs w:val="16"/>
          <w:lang w:val="nl-BE"/>
        </w:rPr>
        <w:t>Competitio</w:t>
      </w:r>
      <w:proofErr w:type="spellEnd"/>
      <w:r w:rsidRPr="00F10409">
        <w:rPr>
          <w:sz w:val="16"/>
          <w:szCs w:val="16"/>
          <w:lang w:val="nl-BE"/>
        </w:rPr>
        <w:t xml:space="preserve"> 2021</w:t>
      </w:r>
      <w:r w:rsidR="004422FD" w:rsidRPr="00F10409">
        <w:rPr>
          <w:sz w:val="16"/>
          <w:szCs w:val="16"/>
          <w:lang w:val="nl-BE"/>
        </w:rPr>
        <w:t>/2</w:t>
      </w:r>
      <w:r w:rsidRPr="00F10409">
        <w:rPr>
          <w:sz w:val="16"/>
          <w:szCs w:val="16"/>
          <w:lang w:val="nl-BE"/>
        </w:rPr>
        <w:t xml:space="preserve">, </w:t>
      </w:r>
      <w:r w:rsidR="004B76C2" w:rsidRPr="00F10409">
        <w:rPr>
          <w:sz w:val="16"/>
          <w:szCs w:val="16"/>
          <w:lang w:val="nl-BE"/>
        </w:rPr>
        <w:t xml:space="preserve">pp. </w:t>
      </w:r>
      <w:r w:rsidRPr="00F10409">
        <w:rPr>
          <w:sz w:val="16"/>
          <w:szCs w:val="16"/>
          <w:lang w:val="nl-BE"/>
        </w:rPr>
        <w:t xml:space="preserve">159-166. </w:t>
      </w:r>
    </w:p>
  </w:footnote>
  <w:footnote w:id="26">
    <w:p w14:paraId="1CE8FC07" w14:textId="6512F9E3" w:rsidR="000B796D" w:rsidRPr="00910EF2" w:rsidRDefault="000B796D" w:rsidP="001A67CD">
      <w:pPr>
        <w:pStyle w:val="FootnoteText"/>
        <w:jc w:val="both"/>
        <w:rPr>
          <w:sz w:val="16"/>
          <w:szCs w:val="16"/>
          <w:lang w:val="en-US"/>
        </w:rPr>
      </w:pPr>
      <w:r w:rsidRPr="00F10409">
        <w:rPr>
          <w:rStyle w:val="FootnoteReference"/>
          <w:sz w:val="16"/>
          <w:szCs w:val="16"/>
          <w:lang w:val="nl-BE"/>
        </w:rPr>
        <w:footnoteRef/>
      </w:r>
      <w:r w:rsidRPr="00910EF2">
        <w:rPr>
          <w:sz w:val="16"/>
          <w:szCs w:val="16"/>
          <w:lang w:val="en-US"/>
        </w:rPr>
        <w:tab/>
        <w:t xml:space="preserve">Pres. Enterprise Court Leuven 27 April 2021, </w:t>
      </w:r>
      <w:proofErr w:type="spellStart"/>
      <w:r w:rsidR="00812E34" w:rsidRPr="00910EF2">
        <w:rPr>
          <w:sz w:val="16"/>
          <w:szCs w:val="16"/>
          <w:lang w:val="en-US"/>
        </w:rPr>
        <w:t>Competitio</w:t>
      </w:r>
      <w:proofErr w:type="spellEnd"/>
      <w:r w:rsidRPr="00910EF2">
        <w:rPr>
          <w:sz w:val="16"/>
          <w:szCs w:val="16"/>
          <w:lang w:val="en-US"/>
        </w:rPr>
        <w:t xml:space="preserve"> 2021</w:t>
      </w:r>
      <w:r w:rsidR="004422FD" w:rsidRPr="00910EF2">
        <w:rPr>
          <w:sz w:val="16"/>
          <w:szCs w:val="16"/>
          <w:lang w:val="en-US"/>
        </w:rPr>
        <w:t>/3</w:t>
      </w:r>
      <w:r w:rsidRPr="00910EF2">
        <w:rPr>
          <w:sz w:val="16"/>
          <w:szCs w:val="16"/>
          <w:lang w:val="en-US"/>
        </w:rPr>
        <w:t xml:space="preserve">, </w:t>
      </w:r>
      <w:r w:rsidR="004B76C2" w:rsidRPr="00910EF2">
        <w:rPr>
          <w:sz w:val="16"/>
          <w:szCs w:val="16"/>
          <w:lang w:val="en-US"/>
        </w:rPr>
        <w:t xml:space="preserve">pp. </w:t>
      </w:r>
      <w:r w:rsidRPr="00910EF2">
        <w:rPr>
          <w:sz w:val="16"/>
          <w:szCs w:val="16"/>
          <w:lang w:val="en-US"/>
        </w:rPr>
        <w:t xml:space="preserve">275-285. </w:t>
      </w:r>
    </w:p>
  </w:footnote>
  <w:footnote w:id="27">
    <w:p w14:paraId="311969EB" w14:textId="30D64DF6" w:rsidR="000B796D" w:rsidRPr="00910EF2" w:rsidRDefault="000B796D" w:rsidP="001A67CD">
      <w:pPr>
        <w:pStyle w:val="FootnoteText"/>
        <w:jc w:val="both"/>
        <w:rPr>
          <w:sz w:val="16"/>
          <w:szCs w:val="16"/>
          <w:lang w:val="en-US"/>
        </w:rPr>
      </w:pPr>
      <w:r w:rsidRPr="00F10409">
        <w:rPr>
          <w:rStyle w:val="FootnoteReference"/>
          <w:sz w:val="16"/>
          <w:szCs w:val="16"/>
          <w:lang w:val="nl-BE"/>
        </w:rPr>
        <w:footnoteRef/>
      </w:r>
      <w:r w:rsidRPr="00910EF2">
        <w:rPr>
          <w:sz w:val="16"/>
          <w:szCs w:val="16"/>
          <w:lang w:val="en-US"/>
        </w:rPr>
        <w:tab/>
        <w:t xml:space="preserve">Court of Appeal Antwerp 20 October 2021, </w:t>
      </w:r>
      <w:proofErr w:type="spellStart"/>
      <w:r w:rsidR="00812E34" w:rsidRPr="00910EF2">
        <w:rPr>
          <w:sz w:val="16"/>
          <w:szCs w:val="16"/>
          <w:lang w:val="en-US"/>
        </w:rPr>
        <w:t>Competitio</w:t>
      </w:r>
      <w:proofErr w:type="spellEnd"/>
      <w:r w:rsidRPr="00910EF2">
        <w:rPr>
          <w:sz w:val="16"/>
          <w:szCs w:val="16"/>
          <w:lang w:val="en-US"/>
        </w:rPr>
        <w:t xml:space="preserve"> 2021</w:t>
      </w:r>
      <w:r w:rsidR="004422FD" w:rsidRPr="00910EF2">
        <w:rPr>
          <w:sz w:val="16"/>
          <w:szCs w:val="16"/>
          <w:lang w:val="en-US"/>
        </w:rPr>
        <w:t>/3</w:t>
      </w:r>
      <w:r w:rsidRPr="00910EF2">
        <w:rPr>
          <w:sz w:val="16"/>
          <w:szCs w:val="16"/>
          <w:lang w:val="en-US"/>
        </w:rPr>
        <w:t xml:space="preserve">, </w:t>
      </w:r>
      <w:r w:rsidR="004B76C2" w:rsidRPr="00910EF2">
        <w:rPr>
          <w:sz w:val="16"/>
          <w:szCs w:val="16"/>
          <w:lang w:val="en-US"/>
        </w:rPr>
        <w:t xml:space="preserve">pp. </w:t>
      </w:r>
      <w:r w:rsidRPr="00910EF2">
        <w:rPr>
          <w:sz w:val="16"/>
          <w:szCs w:val="16"/>
          <w:lang w:val="en-US"/>
        </w:rPr>
        <w:t xml:space="preserve">285-289. </w:t>
      </w:r>
    </w:p>
  </w:footnote>
  <w:footnote w:id="28">
    <w:p w14:paraId="370119E3" w14:textId="1A92FC7A" w:rsidR="000B796D" w:rsidRPr="00910EF2" w:rsidRDefault="000B796D" w:rsidP="001A67CD">
      <w:pPr>
        <w:pStyle w:val="FootnoteText"/>
        <w:ind w:left="720" w:hanging="720"/>
        <w:jc w:val="both"/>
        <w:rPr>
          <w:sz w:val="16"/>
          <w:szCs w:val="16"/>
          <w:lang w:val="en-US"/>
        </w:rPr>
      </w:pPr>
      <w:r w:rsidRPr="00F10409">
        <w:rPr>
          <w:rStyle w:val="FootnoteReference"/>
          <w:sz w:val="16"/>
          <w:szCs w:val="16"/>
          <w:lang w:val="nl-BE"/>
        </w:rPr>
        <w:footnoteRef/>
      </w:r>
      <w:r w:rsidRPr="00910EF2">
        <w:rPr>
          <w:sz w:val="16"/>
          <w:szCs w:val="16"/>
          <w:lang w:val="en-US"/>
        </w:rPr>
        <w:tab/>
        <w:t xml:space="preserve">Court of Appeal Brussels 8 June 2023, I.R./D.I. 2023, </w:t>
      </w:r>
      <w:r w:rsidR="004B76C2" w:rsidRPr="00910EF2">
        <w:rPr>
          <w:sz w:val="16"/>
          <w:szCs w:val="16"/>
          <w:lang w:val="en-US"/>
        </w:rPr>
        <w:t xml:space="preserve">pp. </w:t>
      </w:r>
      <w:r w:rsidRPr="00910EF2">
        <w:rPr>
          <w:sz w:val="16"/>
          <w:szCs w:val="16"/>
          <w:lang w:val="en-US"/>
        </w:rPr>
        <w:t xml:space="preserve">178-201. In first instance the court ruled that there was indeed a position of economic dependency of the Belgian telehealth provider. However, the court did not </w:t>
      </w:r>
      <w:r w:rsidR="004B76C2" w:rsidRPr="00910EF2">
        <w:rPr>
          <w:sz w:val="16"/>
          <w:szCs w:val="16"/>
          <w:lang w:val="en-US"/>
        </w:rPr>
        <w:t xml:space="preserve">sufficiently </w:t>
      </w:r>
      <w:r w:rsidRPr="00910EF2">
        <w:rPr>
          <w:sz w:val="16"/>
          <w:szCs w:val="16"/>
          <w:lang w:val="en-US"/>
        </w:rPr>
        <w:t>take into account the existing alternatives</w:t>
      </w:r>
      <w:r w:rsidR="004B76C2" w:rsidRPr="00910EF2">
        <w:rPr>
          <w:sz w:val="16"/>
          <w:szCs w:val="16"/>
          <w:lang w:val="en-US"/>
        </w:rPr>
        <w:t xml:space="preserve"> </w:t>
      </w:r>
      <w:r w:rsidRPr="00910EF2">
        <w:rPr>
          <w:sz w:val="16"/>
          <w:szCs w:val="16"/>
          <w:lang w:val="en-US"/>
        </w:rPr>
        <w:t>(Pres. Enterprise Court Brussels 26 July 2022</w:t>
      </w:r>
      <w:r w:rsidR="0007624B" w:rsidRPr="00910EF2">
        <w:rPr>
          <w:sz w:val="16"/>
          <w:szCs w:val="16"/>
          <w:lang w:val="en-US"/>
        </w:rPr>
        <w:t>/2</w:t>
      </w:r>
      <w:r w:rsidRPr="00910EF2">
        <w:rPr>
          <w:sz w:val="16"/>
          <w:szCs w:val="16"/>
          <w:lang w:val="en-US"/>
        </w:rPr>
        <w:t xml:space="preserve">, </w:t>
      </w:r>
      <w:proofErr w:type="spellStart"/>
      <w:r w:rsidR="00812E34" w:rsidRPr="00910EF2">
        <w:rPr>
          <w:sz w:val="16"/>
          <w:szCs w:val="16"/>
          <w:lang w:val="en-US"/>
        </w:rPr>
        <w:t>Competitio</w:t>
      </w:r>
      <w:proofErr w:type="spellEnd"/>
      <w:r w:rsidRPr="00910EF2">
        <w:rPr>
          <w:sz w:val="16"/>
          <w:szCs w:val="16"/>
          <w:lang w:val="en-US"/>
        </w:rPr>
        <w:t xml:space="preserve"> 2022, </w:t>
      </w:r>
      <w:r w:rsidR="004B76C2" w:rsidRPr="00910EF2">
        <w:rPr>
          <w:sz w:val="16"/>
          <w:szCs w:val="16"/>
          <w:lang w:val="en-US"/>
        </w:rPr>
        <w:t xml:space="preserve">pp. </w:t>
      </w:r>
      <w:r w:rsidRPr="00910EF2">
        <w:rPr>
          <w:sz w:val="16"/>
          <w:szCs w:val="16"/>
          <w:lang w:val="en-US"/>
        </w:rPr>
        <w:t xml:space="preserve">137-158). </w:t>
      </w:r>
    </w:p>
  </w:footnote>
  <w:footnote w:id="29">
    <w:p w14:paraId="404AF82D" w14:textId="55E01346" w:rsidR="000B796D" w:rsidRPr="00910EF2" w:rsidRDefault="000B796D" w:rsidP="001A67CD">
      <w:pPr>
        <w:pStyle w:val="FootnoteText"/>
        <w:jc w:val="both"/>
        <w:rPr>
          <w:sz w:val="16"/>
          <w:szCs w:val="16"/>
          <w:lang w:val="en-US"/>
        </w:rPr>
      </w:pPr>
      <w:r w:rsidRPr="00F10409">
        <w:rPr>
          <w:rStyle w:val="FootnoteReference"/>
          <w:sz w:val="16"/>
          <w:szCs w:val="16"/>
          <w:lang w:val="nl-BE"/>
        </w:rPr>
        <w:footnoteRef/>
      </w:r>
      <w:r w:rsidRPr="00910EF2">
        <w:rPr>
          <w:sz w:val="16"/>
          <w:szCs w:val="16"/>
          <w:lang w:val="en-US"/>
        </w:rPr>
        <w:tab/>
        <w:t xml:space="preserve">Court of Appeal Ghent 4 April 2022, </w:t>
      </w:r>
      <w:proofErr w:type="spellStart"/>
      <w:r w:rsidR="00812E34" w:rsidRPr="00910EF2">
        <w:rPr>
          <w:sz w:val="16"/>
          <w:szCs w:val="16"/>
          <w:lang w:val="en-US"/>
        </w:rPr>
        <w:t>Competitio</w:t>
      </w:r>
      <w:proofErr w:type="spellEnd"/>
      <w:r w:rsidRPr="00910EF2">
        <w:rPr>
          <w:sz w:val="16"/>
          <w:szCs w:val="16"/>
          <w:lang w:val="en-US"/>
        </w:rPr>
        <w:t xml:space="preserve"> 2022</w:t>
      </w:r>
      <w:r w:rsidR="004422FD" w:rsidRPr="00910EF2">
        <w:rPr>
          <w:sz w:val="16"/>
          <w:szCs w:val="16"/>
          <w:lang w:val="en-US"/>
        </w:rPr>
        <w:t>/1</w:t>
      </w:r>
      <w:r w:rsidRPr="00910EF2">
        <w:rPr>
          <w:sz w:val="16"/>
          <w:szCs w:val="16"/>
          <w:lang w:val="en-US"/>
        </w:rPr>
        <w:t xml:space="preserve">, </w:t>
      </w:r>
      <w:r w:rsidR="004B76C2" w:rsidRPr="00910EF2">
        <w:rPr>
          <w:sz w:val="16"/>
          <w:szCs w:val="16"/>
          <w:lang w:val="en-US"/>
        </w:rPr>
        <w:t xml:space="preserve">pp. </w:t>
      </w:r>
      <w:r w:rsidRPr="00910EF2">
        <w:rPr>
          <w:sz w:val="16"/>
          <w:szCs w:val="16"/>
          <w:lang w:val="en-US"/>
        </w:rPr>
        <w:t xml:space="preserve">36-41. </w:t>
      </w:r>
    </w:p>
  </w:footnote>
  <w:footnote w:id="30">
    <w:p w14:paraId="4AD4A5E2" w14:textId="7766D98C" w:rsidR="0059190F" w:rsidRPr="00910EF2" w:rsidRDefault="0059190F" w:rsidP="001A67CD">
      <w:pPr>
        <w:pStyle w:val="FootnoteText"/>
        <w:jc w:val="both"/>
        <w:rPr>
          <w:sz w:val="16"/>
          <w:szCs w:val="16"/>
          <w:lang w:val="en-US"/>
        </w:rPr>
      </w:pPr>
      <w:r w:rsidRPr="00F10409">
        <w:rPr>
          <w:rStyle w:val="FootnoteReference"/>
          <w:sz w:val="16"/>
          <w:szCs w:val="16"/>
          <w:lang w:val="nl-BE"/>
        </w:rPr>
        <w:footnoteRef/>
      </w:r>
      <w:r w:rsidRPr="00910EF2">
        <w:rPr>
          <w:sz w:val="16"/>
          <w:szCs w:val="16"/>
          <w:lang w:val="en-US"/>
        </w:rPr>
        <w:tab/>
        <w:t>See e.g., Pres. Enterprise Court Antwerp (</w:t>
      </w:r>
      <w:r w:rsidR="004B76C2" w:rsidRPr="00910EF2">
        <w:rPr>
          <w:sz w:val="16"/>
          <w:szCs w:val="16"/>
          <w:lang w:val="en-US"/>
        </w:rPr>
        <w:t>d</w:t>
      </w:r>
      <w:r w:rsidRPr="00910EF2">
        <w:rPr>
          <w:sz w:val="16"/>
          <w:szCs w:val="16"/>
          <w:lang w:val="en-US"/>
        </w:rPr>
        <w:t xml:space="preserve">ivision Tongeren) 16 April 2021, </w:t>
      </w:r>
      <w:proofErr w:type="spellStart"/>
      <w:r w:rsidR="00812E34" w:rsidRPr="00910EF2">
        <w:rPr>
          <w:sz w:val="16"/>
          <w:szCs w:val="16"/>
          <w:lang w:val="en-US"/>
        </w:rPr>
        <w:t>Competitio</w:t>
      </w:r>
      <w:proofErr w:type="spellEnd"/>
      <w:r w:rsidRPr="00910EF2">
        <w:rPr>
          <w:sz w:val="16"/>
          <w:szCs w:val="16"/>
          <w:lang w:val="en-US"/>
        </w:rPr>
        <w:t xml:space="preserve"> 2021</w:t>
      </w:r>
      <w:r w:rsidR="004422FD" w:rsidRPr="00910EF2">
        <w:rPr>
          <w:sz w:val="16"/>
          <w:szCs w:val="16"/>
          <w:lang w:val="en-US"/>
        </w:rPr>
        <w:t>/2</w:t>
      </w:r>
      <w:r w:rsidRPr="00910EF2">
        <w:rPr>
          <w:sz w:val="16"/>
          <w:szCs w:val="16"/>
          <w:lang w:val="en-US"/>
        </w:rPr>
        <w:t>,</w:t>
      </w:r>
      <w:r w:rsidR="004B76C2" w:rsidRPr="00910EF2">
        <w:rPr>
          <w:sz w:val="16"/>
          <w:szCs w:val="16"/>
          <w:lang w:val="en-US"/>
        </w:rPr>
        <w:t xml:space="preserve"> pp.</w:t>
      </w:r>
      <w:r w:rsidRPr="00910EF2">
        <w:rPr>
          <w:sz w:val="16"/>
          <w:szCs w:val="16"/>
          <w:lang w:val="en-US"/>
        </w:rPr>
        <w:t xml:space="preserve"> 159-166. </w:t>
      </w:r>
    </w:p>
  </w:footnote>
  <w:footnote w:id="31">
    <w:p w14:paraId="6D253DAC" w14:textId="7CD1E870" w:rsidR="001A1AD9" w:rsidRPr="00910EF2" w:rsidRDefault="001A1AD9" w:rsidP="001A67CD">
      <w:pPr>
        <w:pStyle w:val="FootnoteText"/>
        <w:jc w:val="both"/>
        <w:rPr>
          <w:sz w:val="16"/>
          <w:szCs w:val="16"/>
          <w:lang w:val="en-US"/>
        </w:rPr>
      </w:pPr>
      <w:r w:rsidRPr="00F10409">
        <w:rPr>
          <w:rStyle w:val="FootnoteReference"/>
          <w:sz w:val="16"/>
          <w:szCs w:val="16"/>
          <w:lang w:val="nl-BE"/>
        </w:rPr>
        <w:footnoteRef/>
      </w:r>
      <w:r w:rsidRPr="00910EF2">
        <w:rPr>
          <w:sz w:val="16"/>
          <w:szCs w:val="16"/>
          <w:lang w:val="en-US"/>
        </w:rPr>
        <w:tab/>
        <w:t xml:space="preserve">Parl. Doc. Chamber 2018-19, </w:t>
      </w:r>
      <w:hyperlink r:id="rId8" w:history="1">
        <w:r w:rsidRPr="00910EF2">
          <w:rPr>
            <w:rStyle w:val="Hyperlink"/>
            <w:color w:val="auto"/>
            <w:sz w:val="16"/>
            <w:szCs w:val="16"/>
            <w:lang w:val="en-US"/>
          </w:rPr>
          <w:t>no. 54-1451/3</w:t>
        </w:r>
      </w:hyperlink>
      <w:r w:rsidRPr="00910EF2">
        <w:rPr>
          <w:sz w:val="16"/>
          <w:szCs w:val="16"/>
          <w:lang w:val="en-US"/>
        </w:rPr>
        <w:t xml:space="preserve">, </w:t>
      </w:r>
      <w:r w:rsidR="004B76C2" w:rsidRPr="00910EF2">
        <w:rPr>
          <w:sz w:val="16"/>
          <w:szCs w:val="16"/>
          <w:lang w:val="en-US"/>
        </w:rPr>
        <w:t xml:space="preserve">p. </w:t>
      </w:r>
      <w:r w:rsidRPr="00910EF2">
        <w:rPr>
          <w:sz w:val="16"/>
          <w:szCs w:val="16"/>
          <w:lang w:val="en-US"/>
        </w:rPr>
        <w:t xml:space="preserve">12. </w:t>
      </w:r>
    </w:p>
  </w:footnote>
  <w:footnote w:id="32">
    <w:p w14:paraId="48BBDB28" w14:textId="59E1BCA5" w:rsidR="001A1AD9" w:rsidRPr="00F10409" w:rsidRDefault="001A1AD9"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t>I. C</w:t>
      </w:r>
      <w:r w:rsidR="004B76C2" w:rsidRPr="00F10409">
        <w:rPr>
          <w:sz w:val="16"/>
          <w:szCs w:val="16"/>
          <w:lang w:val="nl-BE"/>
        </w:rPr>
        <w:t>laeys</w:t>
      </w:r>
      <w:r w:rsidRPr="00F10409">
        <w:rPr>
          <w:sz w:val="16"/>
          <w:szCs w:val="16"/>
          <w:lang w:val="nl-BE"/>
        </w:rPr>
        <w:t xml:space="preserve"> and T. </w:t>
      </w:r>
      <w:proofErr w:type="spellStart"/>
      <w:r w:rsidRPr="00F10409">
        <w:rPr>
          <w:sz w:val="16"/>
          <w:szCs w:val="16"/>
          <w:lang w:val="nl-BE"/>
        </w:rPr>
        <w:t>T</w:t>
      </w:r>
      <w:r w:rsidR="004B76C2" w:rsidRPr="00F10409">
        <w:rPr>
          <w:sz w:val="16"/>
          <w:szCs w:val="16"/>
          <w:lang w:val="nl-BE"/>
        </w:rPr>
        <w:t>anghe</w:t>
      </w:r>
      <w:proofErr w:type="spellEnd"/>
      <w:r w:rsidRPr="00F10409">
        <w:rPr>
          <w:sz w:val="16"/>
          <w:szCs w:val="16"/>
          <w:lang w:val="nl-BE"/>
        </w:rPr>
        <w:t xml:space="preserve">, De b2b-wet van 4 april 2019: bescherming van ondernemingen tegen onrechtmatige bedingen, misbruik van economische afhankelijkheid en oneerlijke marktpraktijken (Deel 2), RW 2019, </w:t>
      </w:r>
      <w:r w:rsidR="004B76C2" w:rsidRPr="00F10409">
        <w:rPr>
          <w:sz w:val="16"/>
          <w:szCs w:val="16"/>
          <w:lang w:val="nl-BE"/>
        </w:rPr>
        <w:t>p.</w:t>
      </w:r>
      <w:r w:rsidRPr="00F10409">
        <w:rPr>
          <w:sz w:val="16"/>
          <w:szCs w:val="16"/>
          <w:lang w:val="nl-BE"/>
        </w:rPr>
        <w:t xml:space="preserve"> 368. </w:t>
      </w:r>
    </w:p>
  </w:footnote>
  <w:footnote w:id="33">
    <w:p w14:paraId="45E28943" w14:textId="005B6063" w:rsidR="001A1AD9" w:rsidRPr="00F10409" w:rsidRDefault="001A1AD9"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r>
      <w:proofErr w:type="spellStart"/>
      <w:r w:rsidRPr="00F10409">
        <w:rPr>
          <w:sz w:val="16"/>
          <w:szCs w:val="16"/>
          <w:lang w:val="nl-BE"/>
        </w:rPr>
        <w:t>Parl</w:t>
      </w:r>
      <w:proofErr w:type="spellEnd"/>
      <w:r w:rsidRPr="00F10409">
        <w:rPr>
          <w:sz w:val="16"/>
          <w:szCs w:val="16"/>
          <w:lang w:val="nl-BE"/>
        </w:rPr>
        <w:t xml:space="preserve">. </w:t>
      </w:r>
      <w:proofErr w:type="spellStart"/>
      <w:r w:rsidRPr="00F10409">
        <w:rPr>
          <w:sz w:val="16"/>
          <w:szCs w:val="16"/>
          <w:lang w:val="nl-BE"/>
        </w:rPr>
        <w:t>Doc</w:t>
      </w:r>
      <w:proofErr w:type="spellEnd"/>
      <w:r w:rsidRPr="00F10409">
        <w:rPr>
          <w:sz w:val="16"/>
          <w:szCs w:val="16"/>
          <w:lang w:val="nl-BE"/>
        </w:rPr>
        <w:t xml:space="preserve">. </w:t>
      </w:r>
      <w:proofErr w:type="spellStart"/>
      <w:r w:rsidRPr="00F10409">
        <w:rPr>
          <w:sz w:val="16"/>
          <w:szCs w:val="16"/>
          <w:lang w:val="nl-BE"/>
        </w:rPr>
        <w:t>Chamber</w:t>
      </w:r>
      <w:proofErr w:type="spellEnd"/>
      <w:r w:rsidRPr="00F10409">
        <w:rPr>
          <w:sz w:val="16"/>
          <w:szCs w:val="16"/>
          <w:lang w:val="nl-BE"/>
        </w:rPr>
        <w:t xml:space="preserve"> 2018-19, </w:t>
      </w:r>
      <w:hyperlink r:id="rId9" w:history="1">
        <w:r w:rsidRPr="00F10409">
          <w:rPr>
            <w:rStyle w:val="Hyperlink"/>
            <w:color w:val="auto"/>
            <w:sz w:val="16"/>
            <w:szCs w:val="16"/>
            <w:lang w:val="nl-BE"/>
          </w:rPr>
          <w:t>no. 54-1451/3</w:t>
        </w:r>
      </w:hyperlink>
      <w:r w:rsidRPr="00F10409">
        <w:rPr>
          <w:sz w:val="16"/>
          <w:szCs w:val="16"/>
          <w:lang w:val="nl-BE"/>
        </w:rPr>
        <w:t xml:space="preserve">, </w:t>
      </w:r>
      <w:r w:rsidR="004B76C2" w:rsidRPr="00F10409">
        <w:rPr>
          <w:sz w:val="16"/>
          <w:szCs w:val="16"/>
          <w:lang w:val="nl-BE"/>
        </w:rPr>
        <w:t xml:space="preserve">p. </w:t>
      </w:r>
      <w:r w:rsidRPr="00F10409">
        <w:rPr>
          <w:sz w:val="16"/>
          <w:szCs w:val="16"/>
          <w:lang w:val="nl-BE"/>
        </w:rPr>
        <w:t>13; I. C</w:t>
      </w:r>
      <w:r w:rsidR="004B76C2" w:rsidRPr="00F10409">
        <w:rPr>
          <w:sz w:val="16"/>
          <w:szCs w:val="16"/>
          <w:lang w:val="nl-BE"/>
        </w:rPr>
        <w:t>laeys</w:t>
      </w:r>
      <w:r w:rsidRPr="00F10409">
        <w:rPr>
          <w:sz w:val="16"/>
          <w:szCs w:val="16"/>
          <w:lang w:val="nl-BE"/>
        </w:rPr>
        <w:t xml:space="preserve"> and T. </w:t>
      </w:r>
      <w:proofErr w:type="spellStart"/>
      <w:r w:rsidRPr="00F10409">
        <w:rPr>
          <w:sz w:val="16"/>
          <w:szCs w:val="16"/>
          <w:lang w:val="nl-BE"/>
        </w:rPr>
        <w:t>T</w:t>
      </w:r>
      <w:r w:rsidR="004B76C2" w:rsidRPr="00F10409">
        <w:rPr>
          <w:sz w:val="16"/>
          <w:szCs w:val="16"/>
          <w:lang w:val="nl-BE"/>
        </w:rPr>
        <w:t>anghe</w:t>
      </w:r>
      <w:proofErr w:type="spellEnd"/>
      <w:r w:rsidRPr="00F10409">
        <w:rPr>
          <w:sz w:val="16"/>
          <w:szCs w:val="16"/>
          <w:lang w:val="nl-BE"/>
        </w:rPr>
        <w:t xml:space="preserve">, De b2b-wet van 4 april 2019: bescherming van ondernemingen tegen onrechtmatige bedingen, misbruik van economische afhankelijkheid en oneerlijke marktpraktijken (Deel 2), RW 2019, </w:t>
      </w:r>
      <w:r w:rsidR="004B76C2" w:rsidRPr="00F10409">
        <w:rPr>
          <w:sz w:val="16"/>
          <w:szCs w:val="16"/>
          <w:lang w:val="nl-BE"/>
        </w:rPr>
        <w:t>p.</w:t>
      </w:r>
      <w:r w:rsidRPr="00F10409">
        <w:rPr>
          <w:sz w:val="16"/>
          <w:szCs w:val="16"/>
          <w:lang w:val="nl-BE"/>
        </w:rPr>
        <w:t xml:space="preserve"> 369</w:t>
      </w:r>
      <w:r w:rsidR="004B76C2" w:rsidRPr="00F10409">
        <w:rPr>
          <w:sz w:val="16"/>
          <w:szCs w:val="16"/>
          <w:lang w:val="nl-BE"/>
        </w:rPr>
        <w:t>.</w:t>
      </w:r>
    </w:p>
  </w:footnote>
  <w:footnote w:id="34">
    <w:p w14:paraId="4E89EBE0" w14:textId="06803371" w:rsidR="00FF0CAF" w:rsidRPr="00F10409" w:rsidRDefault="00FF0CAF"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t xml:space="preserve">J. </w:t>
      </w:r>
      <w:proofErr w:type="spellStart"/>
      <w:r w:rsidRPr="00F10409">
        <w:rPr>
          <w:sz w:val="16"/>
          <w:szCs w:val="16"/>
          <w:lang w:val="nl-BE"/>
        </w:rPr>
        <w:t>Blockx</w:t>
      </w:r>
      <w:proofErr w:type="spellEnd"/>
      <w:r w:rsidRPr="00F10409">
        <w:rPr>
          <w:sz w:val="16"/>
          <w:szCs w:val="16"/>
          <w:lang w:val="nl-BE"/>
        </w:rPr>
        <w:t xml:space="preserve">, Art. IV.2/1 WER, In: </w:t>
      </w:r>
      <w:proofErr w:type="spellStart"/>
      <w:r w:rsidRPr="00F10409">
        <w:rPr>
          <w:sz w:val="16"/>
          <w:szCs w:val="16"/>
          <w:lang w:val="nl-BE"/>
        </w:rPr>
        <w:t>Steennot</w:t>
      </w:r>
      <w:proofErr w:type="spellEnd"/>
      <w:r w:rsidRPr="00F10409">
        <w:rPr>
          <w:sz w:val="16"/>
          <w:szCs w:val="16"/>
          <w:lang w:val="nl-BE"/>
        </w:rPr>
        <w:t xml:space="preserve">, </w:t>
      </w:r>
      <w:proofErr w:type="spellStart"/>
      <w:r w:rsidRPr="00F10409">
        <w:rPr>
          <w:sz w:val="16"/>
          <w:szCs w:val="16"/>
          <w:lang w:val="nl-BE"/>
        </w:rPr>
        <w:t>Straetmans</w:t>
      </w:r>
      <w:proofErr w:type="spellEnd"/>
      <w:r w:rsidRPr="00F10409">
        <w:rPr>
          <w:sz w:val="16"/>
          <w:szCs w:val="16"/>
          <w:lang w:val="nl-BE"/>
        </w:rPr>
        <w:t xml:space="preserve">, </w:t>
      </w:r>
      <w:proofErr w:type="spellStart"/>
      <w:r w:rsidRPr="00F10409">
        <w:rPr>
          <w:sz w:val="16"/>
          <w:szCs w:val="16"/>
          <w:lang w:val="nl-BE"/>
        </w:rPr>
        <w:t>Stuyck</w:t>
      </w:r>
      <w:proofErr w:type="spellEnd"/>
      <w:r w:rsidRPr="00F10409">
        <w:rPr>
          <w:sz w:val="16"/>
          <w:szCs w:val="16"/>
          <w:lang w:val="nl-BE"/>
        </w:rPr>
        <w:t xml:space="preserve"> and </w:t>
      </w:r>
      <w:proofErr w:type="spellStart"/>
      <w:r w:rsidRPr="00F10409">
        <w:rPr>
          <w:sz w:val="16"/>
          <w:szCs w:val="16"/>
          <w:lang w:val="nl-BE"/>
        </w:rPr>
        <w:t>Vanhees</w:t>
      </w:r>
      <w:proofErr w:type="spellEnd"/>
      <w:r w:rsidRPr="00F10409">
        <w:rPr>
          <w:sz w:val="16"/>
          <w:szCs w:val="16"/>
          <w:lang w:val="nl-BE"/>
        </w:rPr>
        <w:t xml:space="preserve">, Economisch recht. Commentaar met overzicht van rechtspraak en rechtsleer, Kluwer 2025, p. 6. </w:t>
      </w:r>
    </w:p>
  </w:footnote>
  <w:footnote w:id="35">
    <w:p w14:paraId="4B7CBF30" w14:textId="49057193" w:rsidR="00702803" w:rsidRPr="00F10409" w:rsidRDefault="00702803"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r>
      <w:proofErr w:type="spellStart"/>
      <w:r w:rsidRPr="00F10409">
        <w:rPr>
          <w:sz w:val="16"/>
          <w:szCs w:val="16"/>
          <w:lang w:val="nl-BE"/>
        </w:rPr>
        <w:t>Article</w:t>
      </w:r>
      <w:proofErr w:type="spellEnd"/>
      <w:r w:rsidRPr="00F10409">
        <w:rPr>
          <w:sz w:val="16"/>
          <w:szCs w:val="16"/>
          <w:lang w:val="nl-BE"/>
        </w:rPr>
        <w:t xml:space="preserve"> II.3 WER; J. </w:t>
      </w:r>
      <w:proofErr w:type="spellStart"/>
      <w:r w:rsidRPr="00F10409">
        <w:rPr>
          <w:sz w:val="16"/>
          <w:szCs w:val="16"/>
          <w:lang w:val="nl-BE"/>
        </w:rPr>
        <w:t>S</w:t>
      </w:r>
      <w:r w:rsidR="004B76C2" w:rsidRPr="00F10409">
        <w:rPr>
          <w:sz w:val="16"/>
          <w:szCs w:val="16"/>
          <w:lang w:val="nl-BE"/>
        </w:rPr>
        <w:t>tuyck</w:t>
      </w:r>
      <w:proofErr w:type="spellEnd"/>
      <w:r w:rsidRPr="00F10409">
        <w:rPr>
          <w:sz w:val="16"/>
          <w:szCs w:val="16"/>
          <w:lang w:val="nl-BE"/>
        </w:rPr>
        <w:t xml:space="preserve">, I. </w:t>
      </w:r>
      <w:proofErr w:type="spellStart"/>
      <w:r w:rsidRPr="00F10409">
        <w:rPr>
          <w:sz w:val="16"/>
          <w:szCs w:val="16"/>
          <w:lang w:val="nl-BE"/>
        </w:rPr>
        <w:t>B</w:t>
      </w:r>
      <w:r w:rsidR="004B76C2" w:rsidRPr="00F10409">
        <w:rPr>
          <w:sz w:val="16"/>
          <w:szCs w:val="16"/>
          <w:lang w:val="nl-BE"/>
        </w:rPr>
        <w:t>uelens</w:t>
      </w:r>
      <w:proofErr w:type="spellEnd"/>
      <w:r w:rsidRPr="00F10409">
        <w:rPr>
          <w:sz w:val="16"/>
          <w:szCs w:val="16"/>
          <w:lang w:val="nl-BE"/>
        </w:rPr>
        <w:t xml:space="preserve"> </w:t>
      </w:r>
      <w:r w:rsidR="00812E34" w:rsidRPr="00F10409">
        <w:rPr>
          <w:sz w:val="16"/>
          <w:szCs w:val="16"/>
          <w:lang w:val="nl-BE"/>
        </w:rPr>
        <w:t>and</w:t>
      </w:r>
      <w:r w:rsidRPr="00F10409">
        <w:rPr>
          <w:sz w:val="16"/>
          <w:szCs w:val="16"/>
          <w:lang w:val="nl-BE"/>
        </w:rPr>
        <w:t xml:space="preserve"> D. </w:t>
      </w:r>
      <w:proofErr w:type="spellStart"/>
      <w:r w:rsidRPr="00F10409">
        <w:rPr>
          <w:sz w:val="16"/>
          <w:szCs w:val="16"/>
          <w:lang w:val="nl-BE"/>
        </w:rPr>
        <w:t>C</w:t>
      </w:r>
      <w:r w:rsidR="004B76C2" w:rsidRPr="00F10409">
        <w:rPr>
          <w:sz w:val="16"/>
          <w:szCs w:val="16"/>
          <w:lang w:val="nl-BE"/>
        </w:rPr>
        <w:t>ounye</w:t>
      </w:r>
      <w:proofErr w:type="spellEnd"/>
      <w:r w:rsidRPr="00F10409">
        <w:rPr>
          <w:sz w:val="16"/>
          <w:szCs w:val="16"/>
          <w:lang w:val="nl-BE"/>
        </w:rPr>
        <w:t xml:space="preserve">, </w:t>
      </w:r>
      <w:proofErr w:type="spellStart"/>
      <w:r w:rsidRPr="00F10409">
        <w:rPr>
          <w:sz w:val="16"/>
          <w:szCs w:val="16"/>
          <w:lang w:val="nl-BE"/>
        </w:rPr>
        <w:t>Verkoopsweigering</w:t>
      </w:r>
      <w:proofErr w:type="spellEnd"/>
      <w:r w:rsidRPr="00F10409">
        <w:rPr>
          <w:sz w:val="16"/>
          <w:szCs w:val="16"/>
          <w:lang w:val="nl-BE"/>
        </w:rPr>
        <w:t xml:space="preserve"> en eerlijke handelsgebruiken, TBH 1995, </w:t>
      </w:r>
      <w:r w:rsidR="004B76C2" w:rsidRPr="00F10409">
        <w:rPr>
          <w:sz w:val="16"/>
          <w:szCs w:val="16"/>
          <w:lang w:val="nl-BE"/>
        </w:rPr>
        <w:t xml:space="preserve">pp. </w:t>
      </w:r>
      <w:r w:rsidRPr="00F10409">
        <w:rPr>
          <w:sz w:val="16"/>
          <w:szCs w:val="16"/>
          <w:lang w:val="nl-BE"/>
        </w:rPr>
        <w:t xml:space="preserve">788-805.   </w:t>
      </w:r>
    </w:p>
  </w:footnote>
  <w:footnote w:id="36">
    <w:p w14:paraId="301F5F98" w14:textId="1EA7EAE8" w:rsidR="00702803" w:rsidRPr="00F10409" w:rsidRDefault="00702803"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t xml:space="preserve">B. </w:t>
      </w:r>
      <w:proofErr w:type="spellStart"/>
      <w:r w:rsidRPr="00F10409">
        <w:rPr>
          <w:sz w:val="16"/>
          <w:szCs w:val="16"/>
          <w:lang w:val="nl-BE"/>
        </w:rPr>
        <w:t>K</w:t>
      </w:r>
      <w:r w:rsidR="004B76C2" w:rsidRPr="00F10409">
        <w:rPr>
          <w:sz w:val="16"/>
          <w:szCs w:val="16"/>
          <w:lang w:val="nl-BE"/>
        </w:rPr>
        <w:t>eirsbilck</w:t>
      </w:r>
      <w:proofErr w:type="spellEnd"/>
      <w:r w:rsidRPr="00F10409">
        <w:rPr>
          <w:sz w:val="16"/>
          <w:szCs w:val="16"/>
          <w:lang w:val="nl-BE"/>
        </w:rPr>
        <w:t xml:space="preserve"> </w:t>
      </w:r>
      <w:r w:rsidR="00812E34" w:rsidRPr="00F10409">
        <w:rPr>
          <w:sz w:val="16"/>
          <w:szCs w:val="16"/>
          <w:lang w:val="nl-BE"/>
        </w:rPr>
        <w:t>and</w:t>
      </w:r>
      <w:r w:rsidRPr="00F10409">
        <w:rPr>
          <w:sz w:val="16"/>
          <w:szCs w:val="16"/>
          <w:lang w:val="nl-BE"/>
        </w:rPr>
        <w:t xml:space="preserve"> E. </w:t>
      </w:r>
      <w:proofErr w:type="spellStart"/>
      <w:r w:rsidRPr="00F10409">
        <w:rPr>
          <w:sz w:val="16"/>
          <w:szCs w:val="16"/>
          <w:lang w:val="nl-BE"/>
        </w:rPr>
        <w:t>T</w:t>
      </w:r>
      <w:r w:rsidR="004B76C2" w:rsidRPr="00F10409">
        <w:rPr>
          <w:sz w:val="16"/>
          <w:szCs w:val="16"/>
          <w:lang w:val="nl-BE"/>
        </w:rPr>
        <w:t>erryn</w:t>
      </w:r>
      <w:proofErr w:type="spellEnd"/>
      <w:r w:rsidRPr="00F10409">
        <w:rPr>
          <w:sz w:val="16"/>
          <w:szCs w:val="16"/>
          <w:lang w:val="nl-BE"/>
        </w:rPr>
        <w:t>, Overzicht van rechtspraak handelspraktijken 2003-2010. Verboden praktijken</w:t>
      </w:r>
      <w:r w:rsidR="004B76C2" w:rsidRPr="00F10409">
        <w:rPr>
          <w:sz w:val="16"/>
          <w:szCs w:val="16"/>
          <w:lang w:val="nl-BE"/>
        </w:rPr>
        <w:t>,</w:t>
      </w:r>
      <w:r w:rsidRPr="00F10409">
        <w:rPr>
          <w:sz w:val="16"/>
          <w:szCs w:val="16"/>
          <w:lang w:val="nl-BE"/>
        </w:rPr>
        <w:t xml:space="preserve"> TPR 2011, </w:t>
      </w:r>
      <w:r w:rsidR="004B76C2" w:rsidRPr="00F10409">
        <w:rPr>
          <w:sz w:val="16"/>
          <w:szCs w:val="16"/>
          <w:lang w:val="nl-BE"/>
        </w:rPr>
        <w:t xml:space="preserve">p. </w:t>
      </w:r>
      <w:r w:rsidRPr="00F10409">
        <w:rPr>
          <w:sz w:val="16"/>
          <w:szCs w:val="16"/>
          <w:lang w:val="nl-BE"/>
        </w:rPr>
        <w:t xml:space="preserve">1120.   </w:t>
      </w:r>
    </w:p>
  </w:footnote>
  <w:footnote w:id="37">
    <w:p w14:paraId="348A9693" w14:textId="3715D973" w:rsidR="00702803" w:rsidRPr="00F10409" w:rsidRDefault="00702803" w:rsidP="001A67CD">
      <w:pPr>
        <w:pStyle w:val="FootnoteText"/>
        <w:jc w:val="both"/>
        <w:rPr>
          <w:sz w:val="16"/>
          <w:szCs w:val="16"/>
          <w:lang w:val="nl-BE"/>
        </w:rPr>
      </w:pPr>
      <w:r w:rsidRPr="00F10409">
        <w:rPr>
          <w:rStyle w:val="FootnoteReference"/>
          <w:sz w:val="16"/>
          <w:szCs w:val="16"/>
          <w:lang w:val="nl-BE"/>
        </w:rPr>
        <w:footnoteRef/>
      </w:r>
      <w:r w:rsidRPr="00F10409">
        <w:rPr>
          <w:sz w:val="16"/>
          <w:szCs w:val="16"/>
          <w:lang w:val="nl-BE"/>
        </w:rPr>
        <w:tab/>
        <w:t xml:space="preserve">G. </w:t>
      </w:r>
      <w:proofErr w:type="spellStart"/>
      <w:r w:rsidRPr="00F10409">
        <w:rPr>
          <w:sz w:val="16"/>
          <w:szCs w:val="16"/>
          <w:lang w:val="nl-BE"/>
        </w:rPr>
        <w:t>S</w:t>
      </w:r>
      <w:r w:rsidR="004B76C2" w:rsidRPr="00F10409">
        <w:rPr>
          <w:sz w:val="16"/>
          <w:szCs w:val="16"/>
          <w:lang w:val="nl-BE"/>
        </w:rPr>
        <w:t>traetmans</w:t>
      </w:r>
      <w:proofErr w:type="spellEnd"/>
      <w:r w:rsidRPr="00F10409">
        <w:rPr>
          <w:sz w:val="16"/>
          <w:szCs w:val="16"/>
          <w:lang w:val="nl-BE"/>
        </w:rPr>
        <w:t xml:space="preserve">, De nieuwe b2b-marktpraktijken uit de wet van 4 april 2019, DAOR 2020/1, </w:t>
      </w:r>
      <w:r w:rsidR="004B76C2" w:rsidRPr="00F10409">
        <w:rPr>
          <w:sz w:val="16"/>
          <w:szCs w:val="16"/>
          <w:lang w:val="nl-BE"/>
        </w:rPr>
        <w:t>p.</w:t>
      </w:r>
      <w:r w:rsidRPr="00F10409">
        <w:rPr>
          <w:sz w:val="16"/>
          <w:szCs w:val="16"/>
          <w:lang w:val="nl-BE"/>
        </w:rPr>
        <w:t xml:space="preserve"> 7. </w:t>
      </w:r>
    </w:p>
  </w:footnote>
  <w:footnote w:id="38">
    <w:p w14:paraId="5644AE04" w14:textId="7FB807F4" w:rsidR="00702803" w:rsidRPr="00F10409" w:rsidRDefault="00702803"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r>
      <w:r w:rsidR="004B76C2" w:rsidRPr="00F10409">
        <w:rPr>
          <w:sz w:val="16"/>
          <w:szCs w:val="16"/>
          <w:lang w:val="nl-BE"/>
        </w:rPr>
        <w:t>Pres</w:t>
      </w:r>
      <w:r w:rsidRPr="00F10409">
        <w:rPr>
          <w:sz w:val="16"/>
          <w:szCs w:val="16"/>
          <w:lang w:val="nl-BE"/>
        </w:rPr>
        <w:t xml:space="preserve">. </w:t>
      </w:r>
      <w:r w:rsidR="004B76C2" w:rsidRPr="00F10409">
        <w:rPr>
          <w:sz w:val="16"/>
          <w:szCs w:val="16"/>
          <w:lang w:val="nl-BE"/>
        </w:rPr>
        <w:t>Enterprise Court</w:t>
      </w:r>
      <w:r w:rsidRPr="00F10409">
        <w:rPr>
          <w:sz w:val="16"/>
          <w:szCs w:val="16"/>
          <w:lang w:val="nl-BE"/>
        </w:rPr>
        <w:t xml:space="preserve"> Brussel</w:t>
      </w:r>
      <w:r w:rsidR="004B76C2" w:rsidRPr="00F10409">
        <w:rPr>
          <w:sz w:val="16"/>
          <w:szCs w:val="16"/>
          <w:lang w:val="nl-BE"/>
        </w:rPr>
        <w:t>s</w:t>
      </w:r>
      <w:r w:rsidRPr="00F10409">
        <w:rPr>
          <w:sz w:val="16"/>
          <w:szCs w:val="16"/>
          <w:lang w:val="nl-BE"/>
        </w:rPr>
        <w:t xml:space="preserve"> 15 </w:t>
      </w:r>
      <w:proofErr w:type="spellStart"/>
      <w:r w:rsidR="004B76C2" w:rsidRPr="00F10409">
        <w:rPr>
          <w:sz w:val="16"/>
          <w:szCs w:val="16"/>
          <w:lang w:val="nl-BE"/>
        </w:rPr>
        <w:t>Oc</w:t>
      </w:r>
      <w:r w:rsidRPr="00F10409">
        <w:rPr>
          <w:sz w:val="16"/>
          <w:szCs w:val="16"/>
          <w:lang w:val="nl-BE"/>
        </w:rPr>
        <w:t>tober</w:t>
      </w:r>
      <w:proofErr w:type="spellEnd"/>
      <w:r w:rsidRPr="00F10409">
        <w:rPr>
          <w:sz w:val="16"/>
          <w:szCs w:val="16"/>
          <w:lang w:val="nl-BE"/>
        </w:rPr>
        <w:t xml:space="preserve"> 2020, </w:t>
      </w:r>
      <w:proofErr w:type="spellStart"/>
      <w:r w:rsidR="00812E34" w:rsidRPr="00F10409">
        <w:rPr>
          <w:sz w:val="16"/>
          <w:szCs w:val="16"/>
          <w:lang w:val="nl-BE"/>
        </w:rPr>
        <w:t>Competitio</w:t>
      </w:r>
      <w:proofErr w:type="spellEnd"/>
      <w:r w:rsidRPr="00F10409">
        <w:rPr>
          <w:sz w:val="16"/>
          <w:szCs w:val="16"/>
          <w:lang w:val="nl-BE"/>
        </w:rPr>
        <w:t xml:space="preserve"> 2021</w:t>
      </w:r>
      <w:r w:rsidR="0007624B" w:rsidRPr="00F10409">
        <w:rPr>
          <w:sz w:val="16"/>
          <w:szCs w:val="16"/>
          <w:lang w:val="nl-BE"/>
        </w:rPr>
        <w:t>/1</w:t>
      </w:r>
      <w:r w:rsidRPr="00F10409">
        <w:rPr>
          <w:sz w:val="16"/>
          <w:szCs w:val="16"/>
          <w:lang w:val="nl-BE"/>
        </w:rPr>
        <w:t>,</w:t>
      </w:r>
      <w:r w:rsidR="004B76C2" w:rsidRPr="00F10409">
        <w:rPr>
          <w:sz w:val="16"/>
          <w:szCs w:val="16"/>
          <w:lang w:val="nl-BE"/>
        </w:rPr>
        <w:t xml:space="preserve"> pp.</w:t>
      </w:r>
      <w:r w:rsidRPr="00F10409">
        <w:rPr>
          <w:sz w:val="16"/>
          <w:szCs w:val="16"/>
          <w:lang w:val="nl-BE"/>
        </w:rPr>
        <w:t xml:space="preserve"> 58-62; </w:t>
      </w:r>
      <w:r w:rsidR="004B76C2" w:rsidRPr="00F10409">
        <w:rPr>
          <w:sz w:val="16"/>
          <w:szCs w:val="16"/>
          <w:lang w:val="nl-BE"/>
        </w:rPr>
        <w:t>Pres. Enterprise Court</w:t>
      </w:r>
      <w:r w:rsidRPr="00F10409">
        <w:rPr>
          <w:sz w:val="16"/>
          <w:szCs w:val="16"/>
          <w:lang w:val="nl-BE"/>
        </w:rPr>
        <w:t xml:space="preserve"> Brussel</w:t>
      </w:r>
      <w:r w:rsidR="004B76C2" w:rsidRPr="00F10409">
        <w:rPr>
          <w:sz w:val="16"/>
          <w:szCs w:val="16"/>
          <w:lang w:val="nl-BE"/>
        </w:rPr>
        <w:t>s</w:t>
      </w:r>
      <w:r w:rsidRPr="00F10409">
        <w:rPr>
          <w:sz w:val="16"/>
          <w:szCs w:val="16"/>
          <w:lang w:val="nl-BE"/>
        </w:rPr>
        <w:t xml:space="preserve"> 11 </w:t>
      </w:r>
      <w:proofErr w:type="spellStart"/>
      <w:r w:rsidR="004B76C2" w:rsidRPr="00F10409">
        <w:rPr>
          <w:sz w:val="16"/>
          <w:szCs w:val="16"/>
          <w:lang w:val="nl-BE"/>
        </w:rPr>
        <w:t>F</w:t>
      </w:r>
      <w:r w:rsidRPr="00F10409">
        <w:rPr>
          <w:sz w:val="16"/>
          <w:szCs w:val="16"/>
          <w:lang w:val="nl-BE"/>
        </w:rPr>
        <w:t>ebrua</w:t>
      </w:r>
      <w:r w:rsidR="004B76C2" w:rsidRPr="00F10409">
        <w:rPr>
          <w:sz w:val="16"/>
          <w:szCs w:val="16"/>
          <w:lang w:val="nl-BE"/>
        </w:rPr>
        <w:t>ry</w:t>
      </w:r>
      <w:proofErr w:type="spellEnd"/>
      <w:r w:rsidRPr="00F10409">
        <w:rPr>
          <w:sz w:val="16"/>
          <w:szCs w:val="16"/>
          <w:lang w:val="nl-BE"/>
        </w:rPr>
        <w:t xml:space="preserve"> 2021, </w:t>
      </w:r>
      <w:proofErr w:type="spellStart"/>
      <w:r w:rsidR="00812E34" w:rsidRPr="00F10409">
        <w:rPr>
          <w:sz w:val="16"/>
          <w:szCs w:val="16"/>
          <w:lang w:val="nl-BE"/>
        </w:rPr>
        <w:t>Competitio</w:t>
      </w:r>
      <w:proofErr w:type="spellEnd"/>
      <w:r w:rsidRPr="00F10409">
        <w:rPr>
          <w:i/>
          <w:iCs/>
          <w:sz w:val="16"/>
          <w:szCs w:val="16"/>
          <w:lang w:val="nl-BE"/>
        </w:rPr>
        <w:t xml:space="preserve"> </w:t>
      </w:r>
      <w:r w:rsidRPr="00F10409">
        <w:rPr>
          <w:sz w:val="16"/>
          <w:szCs w:val="16"/>
          <w:lang w:val="nl-BE"/>
        </w:rPr>
        <w:t>2021</w:t>
      </w:r>
      <w:r w:rsidR="0007624B" w:rsidRPr="00F10409">
        <w:rPr>
          <w:sz w:val="16"/>
          <w:szCs w:val="16"/>
          <w:lang w:val="nl-BE"/>
        </w:rPr>
        <w:t>/2</w:t>
      </w:r>
      <w:r w:rsidRPr="00F10409">
        <w:rPr>
          <w:sz w:val="16"/>
          <w:szCs w:val="16"/>
          <w:lang w:val="nl-BE"/>
        </w:rPr>
        <w:t xml:space="preserve">, </w:t>
      </w:r>
      <w:r w:rsidR="004B76C2" w:rsidRPr="00F10409">
        <w:rPr>
          <w:sz w:val="16"/>
          <w:szCs w:val="16"/>
          <w:lang w:val="nl-BE"/>
        </w:rPr>
        <w:t xml:space="preserve">pp. </w:t>
      </w:r>
      <w:r w:rsidRPr="00F10409">
        <w:rPr>
          <w:sz w:val="16"/>
          <w:szCs w:val="16"/>
          <w:lang w:val="nl-BE"/>
        </w:rPr>
        <w:t>166-17</w:t>
      </w:r>
      <w:r w:rsidR="00812E34" w:rsidRPr="00F10409">
        <w:rPr>
          <w:sz w:val="16"/>
          <w:szCs w:val="16"/>
          <w:lang w:val="nl-BE"/>
        </w:rPr>
        <w:t>6</w:t>
      </w:r>
      <w:r w:rsidRPr="00F10409">
        <w:rPr>
          <w:sz w:val="16"/>
          <w:szCs w:val="16"/>
          <w:lang w:val="nl-BE"/>
        </w:rPr>
        <w:t xml:space="preserve">; </w:t>
      </w:r>
      <w:r w:rsidR="004B76C2" w:rsidRPr="00F10409">
        <w:rPr>
          <w:sz w:val="16"/>
          <w:szCs w:val="16"/>
          <w:lang w:val="nl-BE"/>
        </w:rPr>
        <w:t xml:space="preserve">Pres. Enterprise Court Brussels </w:t>
      </w:r>
      <w:r w:rsidRPr="00F10409">
        <w:rPr>
          <w:sz w:val="16"/>
          <w:szCs w:val="16"/>
          <w:lang w:val="nl-BE"/>
        </w:rPr>
        <w:t xml:space="preserve">16 </w:t>
      </w:r>
      <w:proofErr w:type="spellStart"/>
      <w:r w:rsidR="004B76C2" w:rsidRPr="00F10409">
        <w:rPr>
          <w:sz w:val="16"/>
          <w:szCs w:val="16"/>
          <w:lang w:val="nl-BE"/>
        </w:rPr>
        <w:t>March</w:t>
      </w:r>
      <w:proofErr w:type="spellEnd"/>
      <w:r w:rsidRPr="00F10409">
        <w:rPr>
          <w:sz w:val="16"/>
          <w:szCs w:val="16"/>
          <w:lang w:val="nl-BE"/>
        </w:rPr>
        <w:t xml:space="preserve"> 2021, </w:t>
      </w:r>
      <w:proofErr w:type="spellStart"/>
      <w:r w:rsidR="00812E34" w:rsidRPr="00F10409">
        <w:rPr>
          <w:sz w:val="16"/>
          <w:szCs w:val="16"/>
          <w:lang w:val="nl-BE"/>
        </w:rPr>
        <w:t>Competitio</w:t>
      </w:r>
      <w:proofErr w:type="spellEnd"/>
      <w:r w:rsidRPr="00F10409">
        <w:rPr>
          <w:sz w:val="16"/>
          <w:szCs w:val="16"/>
          <w:lang w:val="nl-BE"/>
        </w:rPr>
        <w:t xml:space="preserve"> 2021</w:t>
      </w:r>
      <w:r w:rsidR="0007624B" w:rsidRPr="00F10409">
        <w:rPr>
          <w:sz w:val="16"/>
          <w:szCs w:val="16"/>
          <w:lang w:val="nl-BE"/>
        </w:rPr>
        <w:t>/2</w:t>
      </w:r>
      <w:r w:rsidRPr="00F10409">
        <w:rPr>
          <w:sz w:val="16"/>
          <w:szCs w:val="16"/>
          <w:lang w:val="nl-BE"/>
        </w:rPr>
        <w:t xml:space="preserve">, </w:t>
      </w:r>
      <w:r w:rsidR="004B76C2" w:rsidRPr="00F10409">
        <w:rPr>
          <w:sz w:val="16"/>
          <w:szCs w:val="16"/>
          <w:lang w:val="nl-BE"/>
        </w:rPr>
        <w:t xml:space="preserve">pp. </w:t>
      </w:r>
      <w:r w:rsidRPr="00F10409">
        <w:rPr>
          <w:sz w:val="16"/>
          <w:szCs w:val="16"/>
          <w:lang w:val="nl-BE"/>
        </w:rPr>
        <w:t xml:space="preserve">187-194; </w:t>
      </w:r>
      <w:r w:rsidR="004B76C2" w:rsidRPr="00F10409">
        <w:rPr>
          <w:sz w:val="16"/>
          <w:szCs w:val="16"/>
          <w:lang w:val="nl-BE"/>
        </w:rPr>
        <w:t>Pres. Enterprise Court</w:t>
      </w:r>
      <w:r w:rsidRPr="00F10409">
        <w:rPr>
          <w:sz w:val="16"/>
          <w:szCs w:val="16"/>
          <w:lang w:val="nl-BE"/>
        </w:rPr>
        <w:t xml:space="preserve"> Leuven 27 </w:t>
      </w:r>
      <w:r w:rsidR="004B76C2" w:rsidRPr="00F10409">
        <w:rPr>
          <w:sz w:val="16"/>
          <w:szCs w:val="16"/>
          <w:lang w:val="nl-BE"/>
        </w:rPr>
        <w:t>A</w:t>
      </w:r>
      <w:r w:rsidRPr="00F10409">
        <w:rPr>
          <w:sz w:val="16"/>
          <w:szCs w:val="16"/>
          <w:lang w:val="nl-BE"/>
        </w:rPr>
        <w:t xml:space="preserve">pril 2021, </w:t>
      </w:r>
      <w:proofErr w:type="spellStart"/>
      <w:r w:rsidR="00812E34" w:rsidRPr="00F10409">
        <w:rPr>
          <w:sz w:val="16"/>
          <w:szCs w:val="16"/>
          <w:lang w:val="nl-BE"/>
        </w:rPr>
        <w:t>Competitio</w:t>
      </w:r>
      <w:proofErr w:type="spellEnd"/>
      <w:r w:rsidRPr="00F10409">
        <w:rPr>
          <w:sz w:val="16"/>
          <w:szCs w:val="16"/>
          <w:lang w:val="nl-BE"/>
        </w:rPr>
        <w:t xml:space="preserve"> 2021</w:t>
      </w:r>
      <w:r w:rsidR="004422FD" w:rsidRPr="00F10409">
        <w:rPr>
          <w:sz w:val="16"/>
          <w:szCs w:val="16"/>
          <w:lang w:val="nl-BE"/>
        </w:rPr>
        <w:t>/3</w:t>
      </w:r>
      <w:r w:rsidRPr="00F10409">
        <w:rPr>
          <w:sz w:val="16"/>
          <w:szCs w:val="16"/>
          <w:lang w:val="nl-BE"/>
        </w:rPr>
        <w:t xml:space="preserve">, </w:t>
      </w:r>
      <w:r w:rsidR="004B76C2" w:rsidRPr="00F10409">
        <w:rPr>
          <w:sz w:val="16"/>
          <w:szCs w:val="16"/>
          <w:lang w:val="nl-BE"/>
        </w:rPr>
        <w:t xml:space="preserve">pp. </w:t>
      </w:r>
      <w:r w:rsidRPr="00F10409">
        <w:rPr>
          <w:sz w:val="16"/>
          <w:szCs w:val="16"/>
          <w:lang w:val="nl-BE"/>
        </w:rPr>
        <w:t xml:space="preserve">275-28; </w:t>
      </w:r>
      <w:r w:rsidR="004B76C2" w:rsidRPr="00F10409">
        <w:rPr>
          <w:sz w:val="16"/>
          <w:szCs w:val="16"/>
          <w:lang w:val="nl-BE"/>
        </w:rPr>
        <w:t xml:space="preserve">Pres. Enterprise Court </w:t>
      </w:r>
      <w:r w:rsidRPr="00F10409">
        <w:rPr>
          <w:sz w:val="16"/>
          <w:szCs w:val="16"/>
          <w:lang w:val="nl-BE"/>
        </w:rPr>
        <w:t>Brussel</w:t>
      </w:r>
      <w:r w:rsidR="004B76C2" w:rsidRPr="00F10409">
        <w:rPr>
          <w:sz w:val="16"/>
          <w:szCs w:val="16"/>
          <w:lang w:val="nl-BE"/>
        </w:rPr>
        <w:t>s</w:t>
      </w:r>
      <w:r w:rsidRPr="00F10409">
        <w:rPr>
          <w:sz w:val="16"/>
          <w:szCs w:val="16"/>
          <w:lang w:val="nl-BE"/>
        </w:rPr>
        <w:t xml:space="preserve"> 21 </w:t>
      </w:r>
      <w:proofErr w:type="spellStart"/>
      <w:r w:rsidR="004B76C2" w:rsidRPr="00F10409">
        <w:rPr>
          <w:sz w:val="16"/>
          <w:szCs w:val="16"/>
          <w:lang w:val="nl-BE"/>
        </w:rPr>
        <w:t>Oc</w:t>
      </w:r>
      <w:r w:rsidRPr="00F10409">
        <w:rPr>
          <w:sz w:val="16"/>
          <w:szCs w:val="16"/>
          <w:lang w:val="nl-BE"/>
        </w:rPr>
        <w:t>tober</w:t>
      </w:r>
      <w:proofErr w:type="spellEnd"/>
      <w:r w:rsidRPr="00F10409">
        <w:rPr>
          <w:sz w:val="16"/>
          <w:szCs w:val="16"/>
          <w:lang w:val="nl-BE"/>
        </w:rPr>
        <w:t xml:space="preserve"> 2021, </w:t>
      </w:r>
      <w:proofErr w:type="spellStart"/>
      <w:r w:rsidR="00812E34" w:rsidRPr="00F10409">
        <w:rPr>
          <w:sz w:val="16"/>
          <w:szCs w:val="16"/>
          <w:lang w:val="nl-BE"/>
        </w:rPr>
        <w:t>Competitio</w:t>
      </w:r>
      <w:proofErr w:type="spellEnd"/>
      <w:r w:rsidRPr="00F10409">
        <w:rPr>
          <w:i/>
          <w:iCs/>
          <w:sz w:val="16"/>
          <w:szCs w:val="16"/>
          <w:lang w:val="nl-BE"/>
        </w:rPr>
        <w:t xml:space="preserve"> </w:t>
      </w:r>
      <w:r w:rsidRPr="00F10409">
        <w:rPr>
          <w:sz w:val="16"/>
          <w:szCs w:val="16"/>
          <w:lang w:val="nl-BE"/>
        </w:rPr>
        <w:t>2021</w:t>
      </w:r>
      <w:r w:rsidR="004422FD" w:rsidRPr="00F10409">
        <w:rPr>
          <w:sz w:val="16"/>
          <w:szCs w:val="16"/>
          <w:lang w:val="nl-BE"/>
        </w:rPr>
        <w:t>/3</w:t>
      </w:r>
      <w:r w:rsidRPr="00F10409">
        <w:rPr>
          <w:i/>
          <w:iCs/>
          <w:sz w:val="16"/>
          <w:szCs w:val="16"/>
          <w:lang w:val="nl-BE"/>
        </w:rPr>
        <w:t xml:space="preserve">, </w:t>
      </w:r>
      <w:r w:rsidR="004B76C2" w:rsidRPr="00F10409">
        <w:rPr>
          <w:sz w:val="16"/>
          <w:szCs w:val="16"/>
          <w:lang w:val="nl-BE"/>
        </w:rPr>
        <w:t xml:space="preserve">pp. </w:t>
      </w:r>
      <w:r w:rsidRPr="00F10409">
        <w:rPr>
          <w:sz w:val="16"/>
          <w:szCs w:val="16"/>
          <w:lang w:val="nl-BE"/>
        </w:rPr>
        <w:t xml:space="preserve">290-294.   </w:t>
      </w:r>
    </w:p>
  </w:footnote>
  <w:footnote w:id="39">
    <w:p w14:paraId="6B8CBE3C" w14:textId="315B5B4B" w:rsidR="00E0609E" w:rsidRPr="00F10409" w:rsidRDefault="00E0609E"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t xml:space="preserve">J. </w:t>
      </w:r>
      <w:proofErr w:type="spellStart"/>
      <w:r w:rsidRPr="00F10409">
        <w:rPr>
          <w:sz w:val="16"/>
          <w:szCs w:val="16"/>
          <w:lang w:val="nl-BE"/>
        </w:rPr>
        <w:t>Blockx</w:t>
      </w:r>
      <w:proofErr w:type="spellEnd"/>
      <w:r w:rsidRPr="00F10409">
        <w:rPr>
          <w:sz w:val="16"/>
          <w:szCs w:val="16"/>
          <w:lang w:val="nl-BE"/>
        </w:rPr>
        <w:t xml:space="preserve">, Art. IV.2/1 WER, In: </w:t>
      </w:r>
      <w:proofErr w:type="spellStart"/>
      <w:r w:rsidRPr="00F10409">
        <w:rPr>
          <w:sz w:val="16"/>
          <w:szCs w:val="16"/>
          <w:lang w:val="nl-BE"/>
        </w:rPr>
        <w:t>Steennot</w:t>
      </w:r>
      <w:proofErr w:type="spellEnd"/>
      <w:r w:rsidRPr="00F10409">
        <w:rPr>
          <w:sz w:val="16"/>
          <w:szCs w:val="16"/>
          <w:lang w:val="nl-BE"/>
        </w:rPr>
        <w:t xml:space="preserve">, </w:t>
      </w:r>
      <w:proofErr w:type="spellStart"/>
      <w:r w:rsidRPr="00F10409">
        <w:rPr>
          <w:sz w:val="16"/>
          <w:szCs w:val="16"/>
          <w:lang w:val="nl-BE"/>
        </w:rPr>
        <w:t>Straetmans</w:t>
      </w:r>
      <w:proofErr w:type="spellEnd"/>
      <w:r w:rsidRPr="00F10409">
        <w:rPr>
          <w:sz w:val="16"/>
          <w:szCs w:val="16"/>
          <w:lang w:val="nl-BE"/>
        </w:rPr>
        <w:t xml:space="preserve">, </w:t>
      </w:r>
      <w:proofErr w:type="spellStart"/>
      <w:r w:rsidRPr="00F10409">
        <w:rPr>
          <w:sz w:val="16"/>
          <w:szCs w:val="16"/>
          <w:lang w:val="nl-BE"/>
        </w:rPr>
        <w:t>Stuyck</w:t>
      </w:r>
      <w:proofErr w:type="spellEnd"/>
      <w:r w:rsidRPr="00F10409">
        <w:rPr>
          <w:sz w:val="16"/>
          <w:szCs w:val="16"/>
          <w:lang w:val="nl-BE"/>
        </w:rPr>
        <w:t xml:space="preserve"> and </w:t>
      </w:r>
      <w:proofErr w:type="spellStart"/>
      <w:r w:rsidRPr="00F10409">
        <w:rPr>
          <w:sz w:val="16"/>
          <w:szCs w:val="16"/>
          <w:lang w:val="nl-BE"/>
        </w:rPr>
        <w:t>Vanhees</w:t>
      </w:r>
      <w:proofErr w:type="spellEnd"/>
      <w:r w:rsidRPr="00F10409">
        <w:rPr>
          <w:sz w:val="16"/>
          <w:szCs w:val="16"/>
          <w:lang w:val="nl-BE"/>
        </w:rPr>
        <w:t xml:space="preserve">, Economisch recht. Commentaar met overzicht van rechtspraak en rechtsleer, Kluwer 2025, p. 4. </w:t>
      </w:r>
    </w:p>
  </w:footnote>
  <w:footnote w:id="40">
    <w:p w14:paraId="77C54C45" w14:textId="77878EB0" w:rsidR="005C6A5A" w:rsidRPr="00910EF2" w:rsidRDefault="005C6A5A" w:rsidP="001A67CD">
      <w:pPr>
        <w:pStyle w:val="FootnoteText"/>
        <w:jc w:val="both"/>
        <w:rPr>
          <w:sz w:val="16"/>
          <w:szCs w:val="16"/>
          <w:lang w:val="en-US"/>
        </w:rPr>
      </w:pPr>
      <w:r w:rsidRPr="00F10409">
        <w:rPr>
          <w:rStyle w:val="FootnoteReference"/>
          <w:sz w:val="16"/>
          <w:szCs w:val="16"/>
          <w:lang w:val="nl-BE"/>
        </w:rPr>
        <w:footnoteRef/>
      </w:r>
      <w:r w:rsidRPr="00910EF2">
        <w:rPr>
          <w:sz w:val="16"/>
          <w:szCs w:val="16"/>
          <w:lang w:val="en-US"/>
        </w:rPr>
        <w:tab/>
        <w:t xml:space="preserve">Article IV.2 BCEL. </w:t>
      </w:r>
    </w:p>
  </w:footnote>
  <w:footnote w:id="41">
    <w:p w14:paraId="139B11DE" w14:textId="1CA64A5F" w:rsidR="00312B79" w:rsidRPr="00910EF2" w:rsidRDefault="00312B79" w:rsidP="001A67CD">
      <w:pPr>
        <w:pStyle w:val="FootnoteText"/>
        <w:jc w:val="both"/>
        <w:rPr>
          <w:sz w:val="16"/>
          <w:szCs w:val="16"/>
          <w:lang w:val="en-US"/>
        </w:rPr>
      </w:pPr>
      <w:r w:rsidRPr="00F10409">
        <w:rPr>
          <w:rStyle w:val="FootnoteReference"/>
          <w:sz w:val="16"/>
          <w:szCs w:val="16"/>
          <w:lang w:val="nl-BE"/>
        </w:rPr>
        <w:footnoteRef/>
      </w:r>
      <w:r w:rsidRPr="00910EF2">
        <w:rPr>
          <w:sz w:val="16"/>
          <w:szCs w:val="16"/>
          <w:lang w:val="en-US"/>
        </w:rPr>
        <w:tab/>
        <w:t>Pres. Enterprise Court Ghent 28 October 2020</w:t>
      </w:r>
      <w:r w:rsidR="004422FD" w:rsidRPr="00910EF2">
        <w:rPr>
          <w:sz w:val="16"/>
          <w:szCs w:val="16"/>
          <w:lang w:val="en-US"/>
        </w:rPr>
        <w:t>/4</w:t>
      </w:r>
      <w:r w:rsidRPr="00910EF2">
        <w:rPr>
          <w:sz w:val="16"/>
          <w:szCs w:val="16"/>
          <w:lang w:val="en-US"/>
        </w:rPr>
        <w:t xml:space="preserve">, TBH 2020, </w:t>
      </w:r>
      <w:r w:rsidR="004B76C2" w:rsidRPr="00910EF2">
        <w:rPr>
          <w:sz w:val="16"/>
          <w:szCs w:val="16"/>
          <w:lang w:val="en-US"/>
        </w:rPr>
        <w:t xml:space="preserve">pp. </w:t>
      </w:r>
      <w:r w:rsidRPr="00910EF2">
        <w:rPr>
          <w:sz w:val="16"/>
          <w:szCs w:val="16"/>
          <w:lang w:val="en-US"/>
        </w:rPr>
        <w:t xml:space="preserve">514-517. </w:t>
      </w:r>
    </w:p>
  </w:footnote>
  <w:footnote w:id="42">
    <w:p w14:paraId="7BD10EEA" w14:textId="792CACB6" w:rsidR="001A1AD9" w:rsidRPr="00910EF2" w:rsidRDefault="001A1AD9" w:rsidP="001A67CD">
      <w:pPr>
        <w:pStyle w:val="FootnoteText"/>
        <w:jc w:val="both"/>
        <w:rPr>
          <w:sz w:val="16"/>
          <w:szCs w:val="16"/>
          <w:lang w:val="en-US"/>
        </w:rPr>
      </w:pPr>
      <w:r w:rsidRPr="00F10409">
        <w:rPr>
          <w:rStyle w:val="FootnoteReference"/>
          <w:sz w:val="16"/>
          <w:szCs w:val="16"/>
          <w:lang w:val="nl-BE"/>
        </w:rPr>
        <w:footnoteRef/>
      </w:r>
      <w:r w:rsidRPr="00910EF2">
        <w:rPr>
          <w:sz w:val="16"/>
          <w:szCs w:val="16"/>
          <w:lang w:val="en-US"/>
        </w:rPr>
        <w:tab/>
        <w:t xml:space="preserve">Parl. Doc. Chamber 2018-19, </w:t>
      </w:r>
      <w:hyperlink r:id="rId10" w:history="1">
        <w:r w:rsidRPr="00910EF2">
          <w:rPr>
            <w:rStyle w:val="Hyperlink"/>
            <w:color w:val="auto"/>
            <w:sz w:val="16"/>
            <w:szCs w:val="16"/>
            <w:lang w:val="en-US"/>
          </w:rPr>
          <w:t>no. 54-1451/3</w:t>
        </w:r>
      </w:hyperlink>
      <w:r w:rsidRPr="00910EF2">
        <w:rPr>
          <w:sz w:val="16"/>
          <w:szCs w:val="16"/>
          <w:lang w:val="en-US"/>
        </w:rPr>
        <w:t xml:space="preserve">, </w:t>
      </w:r>
      <w:r w:rsidR="004B76C2" w:rsidRPr="00910EF2">
        <w:rPr>
          <w:sz w:val="16"/>
          <w:szCs w:val="16"/>
          <w:lang w:val="en-US"/>
        </w:rPr>
        <w:t xml:space="preserve">p. </w:t>
      </w:r>
      <w:r w:rsidRPr="00910EF2">
        <w:rPr>
          <w:sz w:val="16"/>
          <w:szCs w:val="16"/>
          <w:lang w:val="en-US"/>
        </w:rPr>
        <w:t xml:space="preserve">13. </w:t>
      </w:r>
    </w:p>
  </w:footnote>
  <w:footnote w:id="43">
    <w:p w14:paraId="78AC1293" w14:textId="01E94DB4" w:rsidR="005C6A5A" w:rsidRPr="00910EF2" w:rsidRDefault="005C6A5A" w:rsidP="001A67CD">
      <w:pPr>
        <w:pStyle w:val="FootnoteText"/>
        <w:jc w:val="both"/>
        <w:rPr>
          <w:sz w:val="16"/>
          <w:szCs w:val="16"/>
          <w:lang w:val="en-US"/>
        </w:rPr>
      </w:pPr>
      <w:r w:rsidRPr="00F10409">
        <w:rPr>
          <w:rStyle w:val="FootnoteReference"/>
          <w:sz w:val="16"/>
          <w:szCs w:val="16"/>
          <w:lang w:val="nl-BE"/>
        </w:rPr>
        <w:footnoteRef/>
      </w:r>
      <w:r w:rsidRPr="00910EF2">
        <w:rPr>
          <w:sz w:val="16"/>
          <w:szCs w:val="16"/>
          <w:lang w:val="en-US"/>
        </w:rPr>
        <w:tab/>
        <w:t xml:space="preserve">Article IV.2 BCEL. </w:t>
      </w:r>
    </w:p>
  </w:footnote>
  <w:footnote w:id="44">
    <w:p w14:paraId="4EF5A924" w14:textId="1C24E07D" w:rsidR="00036E1D" w:rsidRPr="00910EF2" w:rsidRDefault="00036E1D" w:rsidP="001A67CD">
      <w:pPr>
        <w:pStyle w:val="FootnoteText"/>
        <w:ind w:left="720" w:hanging="720"/>
        <w:jc w:val="both"/>
        <w:rPr>
          <w:sz w:val="16"/>
          <w:szCs w:val="16"/>
          <w:lang w:val="en-US"/>
        </w:rPr>
      </w:pPr>
      <w:r w:rsidRPr="00F10409">
        <w:rPr>
          <w:rStyle w:val="FootnoteReference"/>
          <w:sz w:val="16"/>
          <w:szCs w:val="16"/>
          <w:lang w:val="nl-BE"/>
        </w:rPr>
        <w:footnoteRef/>
      </w:r>
      <w:r w:rsidRPr="00910EF2">
        <w:rPr>
          <w:sz w:val="16"/>
          <w:szCs w:val="16"/>
          <w:lang w:val="en-US"/>
        </w:rPr>
        <w:tab/>
        <w:t>Announcement Com. No. 97/C 372/03, on the definition of the relevant market for the purposes of Community competition law, OJ 1997</w:t>
      </w:r>
      <w:r w:rsidR="004B76C2" w:rsidRPr="00910EF2">
        <w:rPr>
          <w:sz w:val="16"/>
          <w:szCs w:val="16"/>
          <w:lang w:val="en-US"/>
        </w:rPr>
        <w:t xml:space="preserve"> C 372</w:t>
      </w:r>
      <w:r w:rsidR="009D2308" w:rsidRPr="00910EF2">
        <w:rPr>
          <w:sz w:val="16"/>
          <w:szCs w:val="16"/>
          <w:lang w:val="en-US"/>
        </w:rPr>
        <w:t>, pp. 5-13</w:t>
      </w:r>
      <w:r w:rsidRPr="00910EF2">
        <w:rPr>
          <w:sz w:val="16"/>
          <w:szCs w:val="16"/>
          <w:lang w:val="en-US"/>
        </w:rPr>
        <w:t xml:space="preserve">. </w:t>
      </w:r>
    </w:p>
  </w:footnote>
  <w:footnote w:id="45">
    <w:p w14:paraId="1A85B637" w14:textId="02C24380" w:rsidR="00036E1D" w:rsidRPr="00F10409" w:rsidRDefault="00036E1D"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t xml:space="preserve">A.-M. </w:t>
      </w:r>
      <w:r w:rsidR="009D2308" w:rsidRPr="00F10409">
        <w:rPr>
          <w:sz w:val="16"/>
          <w:szCs w:val="16"/>
          <w:lang w:val="nl-BE"/>
        </w:rPr>
        <w:t>Van Den Bossche</w:t>
      </w:r>
      <w:r w:rsidRPr="00F10409">
        <w:rPr>
          <w:sz w:val="16"/>
          <w:szCs w:val="16"/>
          <w:lang w:val="nl-BE"/>
        </w:rPr>
        <w:t xml:space="preserve"> and V. </w:t>
      </w:r>
      <w:proofErr w:type="spellStart"/>
      <w:r w:rsidRPr="00F10409">
        <w:rPr>
          <w:sz w:val="16"/>
          <w:szCs w:val="16"/>
          <w:lang w:val="nl-BE"/>
        </w:rPr>
        <w:t>D</w:t>
      </w:r>
      <w:r w:rsidR="009D2308" w:rsidRPr="00F10409">
        <w:rPr>
          <w:sz w:val="16"/>
          <w:szCs w:val="16"/>
          <w:lang w:val="nl-BE"/>
        </w:rPr>
        <w:t>ehaeck</w:t>
      </w:r>
      <w:proofErr w:type="spellEnd"/>
      <w:r w:rsidRPr="00F10409">
        <w:rPr>
          <w:sz w:val="16"/>
          <w:szCs w:val="16"/>
          <w:lang w:val="nl-BE"/>
        </w:rPr>
        <w:t xml:space="preserve">, Commentaar bij art. 102 VWEU, OHRA 2017, </w:t>
      </w:r>
      <w:r w:rsidR="009D2308" w:rsidRPr="00F10409">
        <w:rPr>
          <w:sz w:val="16"/>
          <w:szCs w:val="16"/>
          <w:lang w:val="nl-BE"/>
        </w:rPr>
        <w:t>p.</w:t>
      </w:r>
      <w:r w:rsidRPr="00F10409">
        <w:rPr>
          <w:sz w:val="16"/>
          <w:szCs w:val="16"/>
          <w:lang w:val="nl-BE"/>
        </w:rPr>
        <w:t xml:space="preserve"> 207.   </w:t>
      </w:r>
    </w:p>
  </w:footnote>
  <w:footnote w:id="46">
    <w:p w14:paraId="7989074C" w14:textId="0A87F8AB" w:rsidR="00036E1D" w:rsidRPr="00F10409" w:rsidRDefault="00036E1D"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t xml:space="preserve">F. </w:t>
      </w:r>
      <w:proofErr w:type="spellStart"/>
      <w:r w:rsidRPr="00F10409">
        <w:rPr>
          <w:sz w:val="16"/>
          <w:szCs w:val="16"/>
          <w:lang w:val="nl-BE"/>
        </w:rPr>
        <w:t>T</w:t>
      </w:r>
      <w:r w:rsidR="009D2308" w:rsidRPr="00F10409">
        <w:rPr>
          <w:sz w:val="16"/>
          <w:szCs w:val="16"/>
          <w:lang w:val="nl-BE"/>
        </w:rPr>
        <w:t>uytschaever</w:t>
      </w:r>
      <w:proofErr w:type="spellEnd"/>
      <w:r w:rsidRPr="00F10409">
        <w:rPr>
          <w:sz w:val="16"/>
          <w:szCs w:val="16"/>
          <w:lang w:val="nl-BE"/>
        </w:rPr>
        <w:t>, Commentaar bij artikel 2 en 3 WBEM: algemene inleiding. Titel 2. Mededingingsrecht</w:t>
      </w:r>
      <w:r w:rsidR="009D2308" w:rsidRPr="00F10409">
        <w:rPr>
          <w:sz w:val="16"/>
          <w:szCs w:val="16"/>
          <w:lang w:val="nl-BE"/>
        </w:rPr>
        <w:t>,</w:t>
      </w:r>
      <w:r w:rsidRPr="00F10409">
        <w:rPr>
          <w:sz w:val="16"/>
          <w:szCs w:val="16"/>
          <w:lang w:val="nl-BE"/>
        </w:rPr>
        <w:t xml:space="preserve"> in X., Handel- en economisch recht. Commentaar met overzicht van rechtspraak en rechtsleer, Kluwer 2007, </w:t>
      </w:r>
      <w:r w:rsidR="009D2308" w:rsidRPr="00F10409">
        <w:rPr>
          <w:sz w:val="16"/>
          <w:szCs w:val="16"/>
          <w:lang w:val="nl-BE"/>
        </w:rPr>
        <w:t xml:space="preserve">pp. </w:t>
      </w:r>
      <w:r w:rsidRPr="00F10409">
        <w:rPr>
          <w:sz w:val="16"/>
          <w:szCs w:val="16"/>
          <w:lang w:val="nl-BE"/>
        </w:rPr>
        <w:t xml:space="preserve">1-20.   </w:t>
      </w:r>
    </w:p>
  </w:footnote>
  <w:footnote w:id="47">
    <w:p w14:paraId="18E9E839" w14:textId="4D422813" w:rsidR="00036E1D" w:rsidRPr="00F10409" w:rsidRDefault="00036E1D"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t xml:space="preserve">C. </w:t>
      </w:r>
      <w:proofErr w:type="spellStart"/>
      <w:r w:rsidRPr="00F10409">
        <w:rPr>
          <w:sz w:val="16"/>
          <w:szCs w:val="16"/>
          <w:lang w:val="nl-BE"/>
        </w:rPr>
        <w:t>W</w:t>
      </w:r>
      <w:r w:rsidR="009D2308" w:rsidRPr="00F10409">
        <w:rPr>
          <w:sz w:val="16"/>
          <w:szCs w:val="16"/>
          <w:lang w:val="nl-BE"/>
        </w:rPr>
        <w:t>ettinck</w:t>
      </w:r>
      <w:proofErr w:type="spellEnd"/>
      <w:r w:rsidRPr="00F10409">
        <w:rPr>
          <w:sz w:val="16"/>
          <w:szCs w:val="16"/>
          <w:lang w:val="nl-BE"/>
        </w:rPr>
        <w:t>, Europees en Belgisch mededingingsrecht</w:t>
      </w:r>
      <w:r w:rsidR="009D2308" w:rsidRPr="00F10409">
        <w:rPr>
          <w:sz w:val="16"/>
          <w:szCs w:val="16"/>
          <w:lang w:val="nl-BE"/>
        </w:rPr>
        <w:t>,</w:t>
      </w:r>
      <w:r w:rsidRPr="00F10409">
        <w:rPr>
          <w:sz w:val="16"/>
          <w:szCs w:val="16"/>
          <w:lang w:val="nl-BE"/>
        </w:rPr>
        <w:t xml:space="preserve"> </w:t>
      </w:r>
      <w:r w:rsidR="009D2308" w:rsidRPr="00F10409">
        <w:rPr>
          <w:sz w:val="16"/>
          <w:szCs w:val="16"/>
          <w:lang w:val="nl-BE"/>
        </w:rPr>
        <w:t>I</w:t>
      </w:r>
      <w:r w:rsidRPr="00F10409">
        <w:rPr>
          <w:sz w:val="16"/>
          <w:szCs w:val="16"/>
          <w:lang w:val="nl-BE"/>
        </w:rPr>
        <w:t>n</w:t>
      </w:r>
      <w:r w:rsidR="009D2308" w:rsidRPr="00F10409">
        <w:rPr>
          <w:sz w:val="16"/>
          <w:szCs w:val="16"/>
          <w:lang w:val="nl-BE"/>
        </w:rPr>
        <w:t xml:space="preserve">: </w:t>
      </w:r>
      <w:proofErr w:type="spellStart"/>
      <w:r w:rsidR="009D2308" w:rsidRPr="00F10409">
        <w:rPr>
          <w:sz w:val="16"/>
          <w:szCs w:val="16"/>
          <w:lang w:val="nl-BE"/>
        </w:rPr>
        <w:t>Struyven</w:t>
      </w:r>
      <w:proofErr w:type="spellEnd"/>
      <w:r w:rsidR="009D2308" w:rsidRPr="00F10409">
        <w:rPr>
          <w:sz w:val="16"/>
          <w:szCs w:val="16"/>
          <w:lang w:val="nl-BE"/>
        </w:rPr>
        <w:t xml:space="preserve"> (ed.),</w:t>
      </w:r>
      <w:r w:rsidRPr="00F10409">
        <w:rPr>
          <w:sz w:val="16"/>
          <w:szCs w:val="16"/>
          <w:lang w:val="nl-BE"/>
        </w:rPr>
        <w:t xml:space="preserve"> Bestendig Handboek Distributierecht, Kluwer 2017, </w:t>
      </w:r>
      <w:r w:rsidR="009D2308" w:rsidRPr="00F10409">
        <w:rPr>
          <w:sz w:val="16"/>
          <w:szCs w:val="16"/>
          <w:lang w:val="nl-BE"/>
        </w:rPr>
        <w:t>p.</w:t>
      </w:r>
      <w:r w:rsidRPr="00F10409">
        <w:rPr>
          <w:sz w:val="16"/>
          <w:szCs w:val="16"/>
          <w:lang w:val="nl-BE"/>
        </w:rPr>
        <w:t xml:space="preserve"> 117.   </w:t>
      </w:r>
    </w:p>
  </w:footnote>
  <w:footnote w:id="48">
    <w:p w14:paraId="1708CAA3" w14:textId="1195603E" w:rsidR="00896B36" w:rsidRPr="00F10409" w:rsidRDefault="00896B36"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t>I. C</w:t>
      </w:r>
      <w:r w:rsidR="009D2308" w:rsidRPr="00F10409">
        <w:rPr>
          <w:sz w:val="16"/>
          <w:szCs w:val="16"/>
          <w:lang w:val="nl-BE"/>
        </w:rPr>
        <w:t>laeys</w:t>
      </w:r>
      <w:r w:rsidRPr="00F10409">
        <w:rPr>
          <w:sz w:val="16"/>
          <w:szCs w:val="16"/>
          <w:lang w:val="nl-BE"/>
        </w:rPr>
        <w:t xml:space="preserve"> and T. </w:t>
      </w:r>
      <w:proofErr w:type="spellStart"/>
      <w:r w:rsidRPr="00F10409">
        <w:rPr>
          <w:sz w:val="16"/>
          <w:szCs w:val="16"/>
          <w:lang w:val="nl-BE"/>
        </w:rPr>
        <w:t>T</w:t>
      </w:r>
      <w:r w:rsidR="009D2308" w:rsidRPr="00F10409">
        <w:rPr>
          <w:sz w:val="16"/>
          <w:szCs w:val="16"/>
          <w:lang w:val="nl-BE"/>
        </w:rPr>
        <w:t>anghe</w:t>
      </w:r>
      <w:proofErr w:type="spellEnd"/>
      <w:r w:rsidRPr="00F10409">
        <w:rPr>
          <w:sz w:val="16"/>
          <w:szCs w:val="16"/>
          <w:lang w:val="nl-BE"/>
        </w:rPr>
        <w:t xml:space="preserve">, De b2b-wet van 4 april 2019: bescherming van ondernemingen tegen onrechtmatige bedingen, misbruik van economische afhankelijkheid en oneerlijke marktpraktijken (Deel 2), RW 2019, </w:t>
      </w:r>
      <w:r w:rsidR="009D2308" w:rsidRPr="00F10409">
        <w:rPr>
          <w:sz w:val="16"/>
          <w:szCs w:val="16"/>
          <w:lang w:val="nl-BE"/>
        </w:rPr>
        <w:t xml:space="preserve">p. </w:t>
      </w:r>
      <w:r w:rsidRPr="00F10409">
        <w:rPr>
          <w:sz w:val="16"/>
          <w:szCs w:val="16"/>
          <w:lang w:val="nl-BE"/>
        </w:rPr>
        <w:t xml:space="preserve">370; R. </w:t>
      </w:r>
      <w:proofErr w:type="spellStart"/>
      <w:r w:rsidRPr="00F10409">
        <w:rPr>
          <w:sz w:val="16"/>
          <w:szCs w:val="16"/>
          <w:lang w:val="nl-BE"/>
        </w:rPr>
        <w:t>F</w:t>
      </w:r>
      <w:r w:rsidR="009D2308" w:rsidRPr="00F10409">
        <w:rPr>
          <w:sz w:val="16"/>
          <w:szCs w:val="16"/>
          <w:lang w:val="nl-BE"/>
        </w:rPr>
        <w:t>eltkamp</w:t>
      </w:r>
      <w:proofErr w:type="spellEnd"/>
      <w:r w:rsidRPr="00F10409">
        <w:rPr>
          <w:sz w:val="16"/>
          <w:szCs w:val="16"/>
          <w:lang w:val="nl-BE"/>
        </w:rPr>
        <w:t xml:space="preserve">, Weigering bankdiensten: misbruik van economische afhankelijkheid? </w:t>
      </w:r>
      <w:proofErr w:type="spellStart"/>
      <w:r w:rsidRPr="00F10409">
        <w:rPr>
          <w:sz w:val="16"/>
          <w:szCs w:val="16"/>
          <w:lang w:val="nl-BE"/>
        </w:rPr>
        <w:t>Orb</w:t>
      </w:r>
      <w:proofErr w:type="spellEnd"/>
      <w:r w:rsidRPr="00F10409">
        <w:rPr>
          <w:sz w:val="16"/>
          <w:szCs w:val="16"/>
          <w:lang w:val="nl-BE"/>
        </w:rPr>
        <w:t xml:space="preserve">. Brussel 16 maart 2021, TBH 2021, www.rdc-tbh.be/nl/news/weigering-van-bankdiensten-misbruik-van-economische-onafhankelijkheid/.   </w:t>
      </w:r>
    </w:p>
  </w:footnote>
  <w:footnote w:id="49">
    <w:p w14:paraId="65A4C13A" w14:textId="2EB0222B" w:rsidR="00896B36" w:rsidRPr="00F10409" w:rsidRDefault="00896B36"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r>
      <w:r w:rsidR="009D2308" w:rsidRPr="00F10409">
        <w:rPr>
          <w:sz w:val="16"/>
          <w:szCs w:val="16"/>
          <w:lang w:val="nl-BE"/>
        </w:rPr>
        <w:t xml:space="preserve">I. Claeys and T. </w:t>
      </w:r>
      <w:proofErr w:type="spellStart"/>
      <w:r w:rsidR="009D2308" w:rsidRPr="00F10409">
        <w:rPr>
          <w:sz w:val="16"/>
          <w:szCs w:val="16"/>
          <w:lang w:val="nl-BE"/>
        </w:rPr>
        <w:t>Tanghe</w:t>
      </w:r>
      <w:proofErr w:type="spellEnd"/>
      <w:r w:rsidRPr="00F10409">
        <w:rPr>
          <w:sz w:val="16"/>
          <w:szCs w:val="16"/>
          <w:lang w:val="nl-BE"/>
        </w:rPr>
        <w:t xml:space="preserve">, De b2b-wet van 4 april 2019: bescherming van ondernemingen tegen onrechtmatige bedingen, misbruik van economische afhankelijkheid en oneerlijke marktpraktijken (Deel 2), RW 2019, </w:t>
      </w:r>
      <w:r w:rsidR="009D2308" w:rsidRPr="00F10409">
        <w:rPr>
          <w:sz w:val="16"/>
          <w:szCs w:val="16"/>
          <w:lang w:val="nl-BE"/>
        </w:rPr>
        <w:t>p.</w:t>
      </w:r>
      <w:r w:rsidRPr="00F10409">
        <w:rPr>
          <w:sz w:val="16"/>
          <w:szCs w:val="16"/>
          <w:lang w:val="nl-BE"/>
        </w:rPr>
        <w:t xml:space="preserve"> 370.   </w:t>
      </w:r>
    </w:p>
  </w:footnote>
  <w:footnote w:id="50">
    <w:p w14:paraId="71B5FBE6" w14:textId="7D39D487" w:rsidR="007A31B2" w:rsidRPr="00F10409" w:rsidRDefault="007A31B2"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t xml:space="preserve">J. </w:t>
      </w:r>
      <w:proofErr w:type="spellStart"/>
      <w:r w:rsidRPr="00F10409">
        <w:rPr>
          <w:sz w:val="16"/>
          <w:szCs w:val="16"/>
          <w:lang w:val="nl-BE"/>
        </w:rPr>
        <w:t>S</w:t>
      </w:r>
      <w:r w:rsidR="009D2308" w:rsidRPr="00F10409">
        <w:rPr>
          <w:sz w:val="16"/>
          <w:szCs w:val="16"/>
          <w:lang w:val="nl-BE"/>
        </w:rPr>
        <w:t>tuyck</w:t>
      </w:r>
      <w:proofErr w:type="spellEnd"/>
      <w:r w:rsidRPr="00F10409">
        <w:rPr>
          <w:sz w:val="16"/>
          <w:szCs w:val="16"/>
          <w:lang w:val="nl-BE"/>
        </w:rPr>
        <w:t xml:space="preserve"> </w:t>
      </w:r>
      <w:r w:rsidR="00812E34" w:rsidRPr="00F10409">
        <w:rPr>
          <w:sz w:val="16"/>
          <w:szCs w:val="16"/>
          <w:lang w:val="nl-BE"/>
        </w:rPr>
        <w:t xml:space="preserve">and </w:t>
      </w:r>
      <w:r w:rsidRPr="00F10409">
        <w:rPr>
          <w:sz w:val="16"/>
          <w:szCs w:val="16"/>
          <w:lang w:val="nl-BE"/>
        </w:rPr>
        <w:t xml:space="preserve">B. </w:t>
      </w:r>
      <w:proofErr w:type="spellStart"/>
      <w:r w:rsidRPr="00F10409">
        <w:rPr>
          <w:sz w:val="16"/>
          <w:szCs w:val="16"/>
          <w:lang w:val="nl-BE"/>
        </w:rPr>
        <w:t>K</w:t>
      </w:r>
      <w:r w:rsidR="009D2308" w:rsidRPr="00F10409">
        <w:rPr>
          <w:sz w:val="16"/>
          <w:szCs w:val="16"/>
          <w:lang w:val="nl-BE"/>
        </w:rPr>
        <w:t>eirsbilck</w:t>
      </w:r>
      <w:proofErr w:type="spellEnd"/>
      <w:r w:rsidRPr="00F10409">
        <w:rPr>
          <w:sz w:val="16"/>
          <w:szCs w:val="16"/>
          <w:lang w:val="nl-BE"/>
        </w:rPr>
        <w:t xml:space="preserve">, De nieuwe Belgische wet met betrekking tot misbruik van economische afhankelijkheid, onrechtmatige bedingen en oneerlijke marktpraktijken tussen ondernemingen: een eerste commentaar, SEW, 2019, </w:t>
      </w:r>
      <w:r w:rsidR="009D2308" w:rsidRPr="00F10409">
        <w:rPr>
          <w:sz w:val="16"/>
          <w:szCs w:val="16"/>
          <w:lang w:val="nl-BE"/>
        </w:rPr>
        <w:t>p.</w:t>
      </w:r>
      <w:r w:rsidRPr="00F10409">
        <w:rPr>
          <w:sz w:val="16"/>
          <w:szCs w:val="16"/>
          <w:lang w:val="nl-BE"/>
        </w:rPr>
        <w:t xml:space="preserve"> 385.  </w:t>
      </w:r>
    </w:p>
  </w:footnote>
  <w:footnote w:id="51">
    <w:p w14:paraId="105E013B" w14:textId="17124EE3" w:rsidR="007A31B2" w:rsidRPr="00F10409" w:rsidRDefault="007A31B2" w:rsidP="001A67CD">
      <w:pPr>
        <w:pStyle w:val="FootnoteText"/>
        <w:ind w:left="720" w:hanging="720"/>
        <w:jc w:val="both"/>
        <w:rPr>
          <w:sz w:val="16"/>
          <w:szCs w:val="16"/>
          <w:lang w:val="nl-BE"/>
        </w:rPr>
      </w:pPr>
      <w:r w:rsidRPr="00F10409">
        <w:rPr>
          <w:rStyle w:val="FootnoteReference"/>
          <w:sz w:val="16"/>
          <w:szCs w:val="16"/>
          <w:lang w:val="nl-BE"/>
        </w:rPr>
        <w:footnoteRef/>
      </w:r>
      <w:r w:rsidRPr="00910EF2">
        <w:rPr>
          <w:sz w:val="16"/>
          <w:szCs w:val="16"/>
          <w:lang w:val="en-US"/>
        </w:rPr>
        <w:tab/>
        <w:t xml:space="preserve">Parl. Doc. Chamber 2015-16, </w:t>
      </w:r>
      <w:hyperlink r:id="rId11" w:history="1">
        <w:r w:rsidRPr="00910EF2">
          <w:rPr>
            <w:rStyle w:val="Hyperlink"/>
            <w:color w:val="auto"/>
            <w:sz w:val="16"/>
            <w:szCs w:val="16"/>
            <w:lang w:val="en-US"/>
          </w:rPr>
          <w:t>no. 54-1451/1</w:t>
        </w:r>
      </w:hyperlink>
      <w:r w:rsidRPr="00910EF2">
        <w:rPr>
          <w:sz w:val="16"/>
          <w:szCs w:val="16"/>
          <w:lang w:val="en-US"/>
        </w:rPr>
        <w:t xml:space="preserve">, </w:t>
      </w:r>
      <w:r w:rsidR="009D2308" w:rsidRPr="00910EF2">
        <w:rPr>
          <w:sz w:val="16"/>
          <w:szCs w:val="16"/>
          <w:lang w:val="en-US"/>
        </w:rPr>
        <w:t xml:space="preserve">p. </w:t>
      </w:r>
      <w:r w:rsidRPr="00910EF2">
        <w:rPr>
          <w:sz w:val="16"/>
          <w:szCs w:val="16"/>
          <w:lang w:val="en-US"/>
        </w:rPr>
        <w:t xml:space="preserve">4; Parl. Doc. </w:t>
      </w:r>
      <w:proofErr w:type="spellStart"/>
      <w:r w:rsidRPr="00F10409">
        <w:rPr>
          <w:sz w:val="16"/>
          <w:szCs w:val="16"/>
          <w:lang w:val="nl-BE"/>
        </w:rPr>
        <w:t>Chamber</w:t>
      </w:r>
      <w:proofErr w:type="spellEnd"/>
      <w:r w:rsidRPr="00F10409">
        <w:rPr>
          <w:sz w:val="16"/>
          <w:szCs w:val="16"/>
          <w:lang w:val="nl-BE"/>
        </w:rPr>
        <w:t xml:space="preserve"> 2018-19, </w:t>
      </w:r>
      <w:hyperlink r:id="rId12" w:history="1">
        <w:r w:rsidRPr="00F10409">
          <w:rPr>
            <w:rStyle w:val="Hyperlink"/>
            <w:color w:val="auto"/>
            <w:sz w:val="16"/>
            <w:szCs w:val="16"/>
            <w:lang w:val="nl-BE"/>
          </w:rPr>
          <w:t>no. 54-1451/3</w:t>
        </w:r>
      </w:hyperlink>
      <w:r w:rsidRPr="00F10409">
        <w:rPr>
          <w:sz w:val="16"/>
          <w:szCs w:val="16"/>
          <w:lang w:val="nl-BE"/>
        </w:rPr>
        <w:t xml:space="preserve">, </w:t>
      </w:r>
      <w:r w:rsidR="009D2308" w:rsidRPr="00F10409">
        <w:rPr>
          <w:sz w:val="16"/>
          <w:szCs w:val="16"/>
          <w:lang w:val="nl-BE"/>
        </w:rPr>
        <w:t xml:space="preserve">p. </w:t>
      </w:r>
      <w:r w:rsidRPr="00F10409">
        <w:rPr>
          <w:sz w:val="16"/>
          <w:szCs w:val="16"/>
          <w:lang w:val="nl-BE"/>
        </w:rPr>
        <w:t xml:space="preserve">8; Pres. Enterprise Court Leuven 27 April 2021, </w:t>
      </w:r>
      <w:proofErr w:type="spellStart"/>
      <w:r w:rsidR="00812E34" w:rsidRPr="00F10409">
        <w:rPr>
          <w:sz w:val="16"/>
          <w:szCs w:val="16"/>
          <w:lang w:val="nl-BE"/>
        </w:rPr>
        <w:t>Competitio</w:t>
      </w:r>
      <w:proofErr w:type="spellEnd"/>
      <w:r w:rsidRPr="00F10409">
        <w:rPr>
          <w:sz w:val="16"/>
          <w:szCs w:val="16"/>
          <w:lang w:val="nl-BE"/>
        </w:rPr>
        <w:t xml:space="preserve"> 2021</w:t>
      </w:r>
      <w:r w:rsidR="004422FD" w:rsidRPr="00F10409">
        <w:rPr>
          <w:sz w:val="16"/>
          <w:szCs w:val="16"/>
          <w:lang w:val="nl-BE"/>
        </w:rPr>
        <w:t>/3</w:t>
      </w:r>
      <w:r w:rsidRPr="00F10409">
        <w:rPr>
          <w:sz w:val="16"/>
          <w:szCs w:val="16"/>
          <w:lang w:val="nl-BE"/>
        </w:rPr>
        <w:t xml:space="preserve">, </w:t>
      </w:r>
      <w:r w:rsidR="009D2308" w:rsidRPr="00F10409">
        <w:rPr>
          <w:sz w:val="16"/>
          <w:szCs w:val="16"/>
          <w:lang w:val="nl-BE"/>
        </w:rPr>
        <w:t>p.</w:t>
      </w:r>
      <w:r w:rsidRPr="00F10409">
        <w:rPr>
          <w:sz w:val="16"/>
          <w:szCs w:val="16"/>
          <w:lang w:val="nl-BE"/>
        </w:rPr>
        <w:t xml:space="preserve"> 283; J. </w:t>
      </w:r>
      <w:proofErr w:type="spellStart"/>
      <w:r w:rsidRPr="00F10409">
        <w:rPr>
          <w:sz w:val="16"/>
          <w:szCs w:val="16"/>
          <w:lang w:val="nl-BE"/>
        </w:rPr>
        <w:t>S</w:t>
      </w:r>
      <w:r w:rsidR="009D2308" w:rsidRPr="00F10409">
        <w:rPr>
          <w:sz w:val="16"/>
          <w:szCs w:val="16"/>
          <w:lang w:val="nl-BE"/>
        </w:rPr>
        <w:t>tuyck</w:t>
      </w:r>
      <w:proofErr w:type="spellEnd"/>
      <w:r w:rsidRPr="00F10409">
        <w:rPr>
          <w:sz w:val="16"/>
          <w:szCs w:val="16"/>
          <w:lang w:val="nl-BE"/>
        </w:rPr>
        <w:t xml:space="preserve"> and B. </w:t>
      </w:r>
      <w:proofErr w:type="spellStart"/>
      <w:r w:rsidRPr="00F10409">
        <w:rPr>
          <w:sz w:val="16"/>
          <w:szCs w:val="16"/>
          <w:lang w:val="nl-BE"/>
        </w:rPr>
        <w:t>K</w:t>
      </w:r>
      <w:r w:rsidR="009D2308" w:rsidRPr="00F10409">
        <w:rPr>
          <w:sz w:val="16"/>
          <w:szCs w:val="16"/>
          <w:lang w:val="nl-BE"/>
        </w:rPr>
        <w:t>eirsbilck</w:t>
      </w:r>
      <w:proofErr w:type="spellEnd"/>
      <w:r w:rsidRPr="00F10409">
        <w:rPr>
          <w:sz w:val="16"/>
          <w:szCs w:val="16"/>
          <w:lang w:val="nl-BE"/>
        </w:rPr>
        <w:t>, De nieuwe Belgische wet met betrekking tot misbruik van economische afhankelijkheid, onrechtmatige bedingen en oneerlijke marktpraktijken tussen ondernemingen: een eerste commentaar</w:t>
      </w:r>
      <w:r w:rsidR="009D2308" w:rsidRPr="00F10409">
        <w:rPr>
          <w:sz w:val="16"/>
          <w:szCs w:val="16"/>
          <w:lang w:val="nl-BE"/>
        </w:rPr>
        <w:t>,</w:t>
      </w:r>
      <w:r w:rsidRPr="00F10409">
        <w:rPr>
          <w:sz w:val="16"/>
          <w:szCs w:val="16"/>
          <w:lang w:val="nl-BE"/>
        </w:rPr>
        <w:t xml:space="preserve"> SEW 2019, </w:t>
      </w:r>
      <w:r w:rsidR="009D2308" w:rsidRPr="00F10409">
        <w:rPr>
          <w:sz w:val="16"/>
          <w:szCs w:val="16"/>
          <w:lang w:val="nl-BE"/>
        </w:rPr>
        <w:t xml:space="preserve">p. </w:t>
      </w:r>
      <w:r w:rsidRPr="00F10409">
        <w:rPr>
          <w:sz w:val="16"/>
          <w:szCs w:val="16"/>
          <w:lang w:val="nl-BE"/>
        </w:rPr>
        <w:t xml:space="preserve">382. </w:t>
      </w:r>
    </w:p>
  </w:footnote>
  <w:footnote w:id="52">
    <w:p w14:paraId="0EF6A84F" w14:textId="3F429F12" w:rsidR="00312B79" w:rsidRPr="00910EF2" w:rsidRDefault="00312B79" w:rsidP="001A67CD">
      <w:pPr>
        <w:pStyle w:val="FootnoteText"/>
        <w:jc w:val="both"/>
        <w:rPr>
          <w:sz w:val="16"/>
          <w:szCs w:val="16"/>
          <w:lang w:val="en-US"/>
        </w:rPr>
      </w:pPr>
      <w:r w:rsidRPr="00F10409">
        <w:rPr>
          <w:rStyle w:val="FootnoteReference"/>
          <w:sz w:val="16"/>
          <w:szCs w:val="16"/>
          <w:lang w:val="nl-BE"/>
        </w:rPr>
        <w:footnoteRef/>
      </w:r>
      <w:r w:rsidRPr="00910EF2">
        <w:rPr>
          <w:sz w:val="16"/>
          <w:szCs w:val="16"/>
          <w:lang w:val="en-US"/>
        </w:rPr>
        <w:tab/>
        <w:t xml:space="preserve">Articles IV.1 and IV.2 BCEL. </w:t>
      </w:r>
    </w:p>
  </w:footnote>
  <w:footnote w:id="53">
    <w:p w14:paraId="6415676B" w14:textId="5339C600" w:rsidR="00735CDB" w:rsidRPr="00910EF2" w:rsidRDefault="00735CDB" w:rsidP="001A67CD">
      <w:pPr>
        <w:pStyle w:val="FootnoteText"/>
        <w:jc w:val="both"/>
        <w:rPr>
          <w:sz w:val="16"/>
          <w:szCs w:val="16"/>
          <w:lang w:val="en-US"/>
        </w:rPr>
      </w:pPr>
      <w:r w:rsidRPr="00F10409">
        <w:rPr>
          <w:rStyle w:val="FootnoteReference"/>
          <w:sz w:val="16"/>
          <w:szCs w:val="16"/>
          <w:lang w:val="nl-BE"/>
        </w:rPr>
        <w:footnoteRef/>
      </w:r>
      <w:r w:rsidRPr="00910EF2">
        <w:rPr>
          <w:sz w:val="16"/>
          <w:szCs w:val="16"/>
          <w:lang w:val="en-US"/>
        </w:rPr>
        <w:tab/>
        <w:t xml:space="preserve">Parl. Doc. Chamber 2017-18, </w:t>
      </w:r>
      <w:hyperlink r:id="rId13" w:history="1">
        <w:r w:rsidRPr="00910EF2">
          <w:rPr>
            <w:rStyle w:val="Hyperlink"/>
            <w:color w:val="auto"/>
            <w:sz w:val="16"/>
            <w:szCs w:val="16"/>
            <w:lang w:val="en-US"/>
          </w:rPr>
          <w:t>no. 54-2885/1</w:t>
        </w:r>
      </w:hyperlink>
      <w:r w:rsidRPr="00910EF2">
        <w:rPr>
          <w:sz w:val="16"/>
          <w:szCs w:val="16"/>
          <w:lang w:val="en-US"/>
        </w:rPr>
        <w:t xml:space="preserve">, </w:t>
      </w:r>
      <w:r w:rsidR="009D2308" w:rsidRPr="00910EF2">
        <w:rPr>
          <w:sz w:val="16"/>
          <w:szCs w:val="16"/>
          <w:lang w:val="en-US"/>
        </w:rPr>
        <w:t xml:space="preserve">p. </w:t>
      </w:r>
      <w:r w:rsidRPr="00910EF2">
        <w:rPr>
          <w:sz w:val="16"/>
          <w:szCs w:val="16"/>
          <w:lang w:val="en-US"/>
        </w:rPr>
        <w:t xml:space="preserve">3.   </w:t>
      </w:r>
    </w:p>
  </w:footnote>
  <w:footnote w:id="54">
    <w:p w14:paraId="7F17A01B" w14:textId="77777777" w:rsidR="005942D5" w:rsidRPr="00910EF2" w:rsidRDefault="005942D5" w:rsidP="001A67CD">
      <w:pPr>
        <w:pStyle w:val="FootnoteText"/>
        <w:jc w:val="both"/>
        <w:rPr>
          <w:sz w:val="16"/>
          <w:szCs w:val="16"/>
          <w:lang w:val="fr-FR"/>
        </w:rPr>
      </w:pPr>
      <w:r w:rsidRPr="00F10409">
        <w:rPr>
          <w:rStyle w:val="FootnoteReference"/>
          <w:sz w:val="16"/>
          <w:szCs w:val="16"/>
          <w:lang w:val="nl-BE"/>
        </w:rPr>
        <w:footnoteRef/>
      </w:r>
      <w:r w:rsidRPr="00910EF2">
        <w:rPr>
          <w:sz w:val="16"/>
          <w:szCs w:val="16"/>
          <w:lang w:val="fr-FR"/>
        </w:rPr>
        <w:tab/>
        <w:t xml:space="preserve">Article IV.79, §2, 1st </w:t>
      </w:r>
      <w:proofErr w:type="spellStart"/>
      <w:r w:rsidRPr="00910EF2">
        <w:rPr>
          <w:sz w:val="16"/>
          <w:szCs w:val="16"/>
          <w:lang w:val="fr-FR"/>
        </w:rPr>
        <w:t>paragraph</w:t>
      </w:r>
      <w:proofErr w:type="spellEnd"/>
      <w:r w:rsidRPr="00910EF2">
        <w:rPr>
          <w:sz w:val="16"/>
          <w:szCs w:val="16"/>
          <w:lang w:val="fr-FR"/>
        </w:rPr>
        <w:t xml:space="preserve"> BCEL.   </w:t>
      </w:r>
    </w:p>
  </w:footnote>
  <w:footnote w:id="55">
    <w:p w14:paraId="48662830" w14:textId="5E22D62D" w:rsidR="005942D5" w:rsidRPr="00910EF2" w:rsidRDefault="005942D5" w:rsidP="001A67CD">
      <w:pPr>
        <w:pStyle w:val="FootnoteText"/>
        <w:ind w:left="720" w:hanging="720"/>
        <w:jc w:val="both"/>
        <w:rPr>
          <w:sz w:val="16"/>
          <w:szCs w:val="16"/>
          <w:lang w:val="en-US"/>
        </w:rPr>
      </w:pPr>
      <w:r w:rsidRPr="00F10409">
        <w:rPr>
          <w:rStyle w:val="FootnoteReference"/>
          <w:sz w:val="16"/>
          <w:szCs w:val="16"/>
          <w:lang w:val="nl-BE"/>
        </w:rPr>
        <w:footnoteRef/>
      </w:r>
      <w:r w:rsidRPr="00910EF2">
        <w:rPr>
          <w:sz w:val="16"/>
          <w:szCs w:val="16"/>
          <w:lang w:val="en-US"/>
        </w:rPr>
        <w:tab/>
        <w:t xml:space="preserve">Article IV.79, §1 BCEL stipulates that, for infringements of Article IV.1, §1 and IV.2 </w:t>
      </w:r>
      <w:r w:rsidR="001B5379" w:rsidRPr="00910EF2">
        <w:rPr>
          <w:sz w:val="16"/>
          <w:szCs w:val="16"/>
          <w:lang w:val="en-US"/>
        </w:rPr>
        <w:t>BCEL</w:t>
      </w:r>
      <w:r w:rsidRPr="00910EF2">
        <w:rPr>
          <w:sz w:val="16"/>
          <w:szCs w:val="16"/>
          <w:lang w:val="en-US"/>
        </w:rPr>
        <w:t xml:space="preserve">, the financial penalty imposed may amount to a maximum of 10% of the turnover of the undertakings concerned and the periodic penalty payment may amount to a maximum of 5% of their average daily turnover per day of delay. </w:t>
      </w:r>
    </w:p>
  </w:footnote>
  <w:footnote w:id="56">
    <w:p w14:paraId="1220A75C" w14:textId="77777777" w:rsidR="005942D5" w:rsidRPr="00910EF2" w:rsidRDefault="005942D5" w:rsidP="001A67CD">
      <w:pPr>
        <w:pStyle w:val="FootnoteText"/>
        <w:jc w:val="both"/>
        <w:rPr>
          <w:sz w:val="16"/>
          <w:szCs w:val="16"/>
          <w:lang w:val="fr-FR"/>
        </w:rPr>
      </w:pPr>
      <w:r w:rsidRPr="00F10409">
        <w:rPr>
          <w:rStyle w:val="FootnoteReference"/>
          <w:sz w:val="16"/>
          <w:szCs w:val="16"/>
          <w:lang w:val="nl-BE"/>
        </w:rPr>
        <w:footnoteRef/>
      </w:r>
      <w:r w:rsidRPr="00910EF2">
        <w:rPr>
          <w:sz w:val="16"/>
          <w:szCs w:val="16"/>
          <w:lang w:val="fr-FR"/>
        </w:rPr>
        <w:tab/>
        <w:t xml:space="preserve">Article IV.55 BCEL. </w:t>
      </w:r>
    </w:p>
  </w:footnote>
  <w:footnote w:id="57">
    <w:p w14:paraId="740CCEC5" w14:textId="77777777" w:rsidR="00F0139C" w:rsidRPr="00910EF2" w:rsidRDefault="00F0139C" w:rsidP="001A67CD">
      <w:pPr>
        <w:pStyle w:val="FootnoteText"/>
        <w:jc w:val="both"/>
        <w:rPr>
          <w:sz w:val="16"/>
          <w:szCs w:val="16"/>
          <w:lang w:val="fr-FR"/>
        </w:rPr>
      </w:pPr>
      <w:r w:rsidRPr="00F10409">
        <w:rPr>
          <w:rStyle w:val="FootnoteReference"/>
          <w:sz w:val="16"/>
          <w:szCs w:val="16"/>
          <w:lang w:val="nl-BE"/>
        </w:rPr>
        <w:footnoteRef/>
      </w:r>
      <w:r w:rsidRPr="00910EF2">
        <w:rPr>
          <w:sz w:val="16"/>
          <w:szCs w:val="16"/>
          <w:lang w:val="fr-FR"/>
        </w:rPr>
        <w:tab/>
        <w:t xml:space="preserve">Article IV.58 BCEL. </w:t>
      </w:r>
    </w:p>
  </w:footnote>
  <w:footnote w:id="58">
    <w:p w14:paraId="4F488A54" w14:textId="77777777" w:rsidR="005942D5" w:rsidRPr="00F10409" w:rsidRDefault="005942D5" w:rsidP="001A67CD">
      <w:pPr>
        <w:pStyle w:val="FootnoteText"/>
        <w:jc w:val="both"/>
        <w:rPr>
          <w:sz w:val="16"/>
          <w:szCs w:val="16"/>
          <w:lang w:val="nl-BE"/>
        </w:rPr>
      </w:pPr>
      <w:r w:rsidRPr="00F10409">
        <w:rPr>
          <w:rStyle w:val="FootnoteReference"/>
          <w:sz w:val="16"/>
          <w:szCs w:val="16"/>
          <w:lang w:val="nl-BE"/>
        </w:rPr>
        <w:footnoteRef/>
      </w:r>
      <w:r w:rsidRPr="00F10409">
        <w:rPr>
          <w:sz w:val="16"/>
          <w:szCs w:val="16"/>
          <w:lang w:val="nl-BE"/>
        </w:rPr>
        <w:tab/>
      </w:r>
      <w:proofErr w:type="spellStart"/>
      <w:r w:rsidRPr="00F10409">
        <w:rPr>
          <w:sz w:val="16"/>
          <w:szCs w:val="16"/>
          <w:lang w:val="nl-BE"/>
        </w:rPr>
        <w:t>Article</w:t>
      </w:r>
      <w:proofErr w:type="spellEnd"/>
      <w:r w:rsidRPr="00F10409">
        <w:rPr>
          <w:sz w:val="16"/>
          <w:szCs w:val="16"/>
          <w:lang w:val="nl-BE"/>
        </w:rPr>
        <w:t xml:space="preserve"> IV.60 BCEL. </w:t>
      </w:r>
    </w:p>
  </w:footnote>
  <w:footnote w:id="59">
    <w:p w14:paraId="6089DD70" w14:textId="439D975A" w:rsidR="00F0139C" w:rsidRPr="00F10409" w:rsidRDefault="00F0139C"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r>
      <w:proofErr w:type="spellStart"/>
      <w:r w:rsidRPr="00F10409">
        <w:rPr>
          <w:sz w:val="16"/>
          <w:szCs w:val="16"/>
          <w:lang w:val="nl-BE"/>
        </w:rPr>
        <w:t>Article</w:t>
      </w:r>
      <w:proofErr w:type="spellEnd"/>
      <w:r w:rsidRPr="00F10409">
        <w:rPr>
          <w:sz w:val="16"/>
          <w:szCs w:val="16"/>
          <w:lang w:val="nl-BE"/>
        </w:rPr>
        <w:t xml:space="preserve"> IV.32, §1 BCEL; </w:t>
      </w:r>
      <w:r w:rsidR="009D2308" w:rsidRPr="00F10409">
        <w:rPr>
          <w:sz w:val="16"/>
          <w:szCs w:val="16"/>
          <w:lang w:val="nl-BE"/>
        </w:rPr>
        <w:t xml:space="preserve">I. Claeys and T. </w:t>
      </w:r>
      <w:proofErr w:type="spellStart"/>
      <w:r w:rsidR="009D2308" w:rsidRPr="00F10409">
        <w:rPr>
          <w:sz w:val="16"/>
          <w:szCs w:val="16"/>
          <w:lang w:val="nl-BE"/>
        </w:rPr>
        <w:t>Tanghe</w:t>
      </w:r>
      <w:proofErr w:type="spellEnd"/>
      <w:r w:rsidRPr="00F10409">
        <w:rPr>
          <w:sz w:val="16"/>
          <w:szCs w:val="16"/>
          <w:lang w:val="nl-BE"/>
        </w:rPr>
        <w:t>, De b2b-wet van 4 april 2019: bescherming van ondernemingen tegen onrechtmatige bedingen, misbruik van economische afhankelijkheid en oneerlijke marktpraktijken (Deel 2), RW 2019,</w:t>
      </w:r>
      <w:r w:rsidR="009D2308" w:rsidRPr="00F10409">
        <w:rPr>
          <w:sz w:val="16"/>
          <w:szCs w:val="16"/>
          <w:lang w:val="nl-BE"/>
        </w:rPr>
        <w:t xml:space="preserve"> p. </w:t>
      </w:r>
      <w:r w:rsidRPr="00F10409">
        <w:rPr>
          <w:sz w:val="16"/>
          <w:szCs w:val="16"/>
          <w:lang w:val="nl-BE"/>
        </w:rPr>
        <w:t xml:space="preserve">377; S. </w:t>
      </w:r>
      <w:r w:rsidR="009D2308" w:rsidRPr="00F10409">
        <w:rPr>
          <w:sz w:val="16"/>
          <w:szCs w:val="16"/>
          <w:lang w:val="nl-BE"/>
        </w:rPr>
        <w:t xml:space="preserve">De </w:t>
      </w:r>
      <w:proofErr w:type="spellStart"/>
      <w:r w:rsidR="009D2308" w:rsidRPr="00F10409">
        <w:rPr>
          <w:sz w:val="16"/>
          <w:szCs w:val="16"/>
          <w:lang w:val="nl-BE"/>
        </w:rPr>
        <w:t>Pourcq</w:t>
      </w:r>
      <w:proofErr w:type="spellEnd"/>
      <w:r w:rsidRPr="00F10409">
        <w:rPr>
          <w:sz w:val="16"/>
          <w:szCs w:val="16"/>
          <w:lang w:val="nl-BE"/>
        </w:rPr>
        <w:t>, De impact van de wet van 4 april 2019 op de contractuele b2b-verhouding</w:t>
      </w:r>
      <w:r w:rsidR="009D2308" w:rsidRPr="00F10409">
        <w:rPr>
          <w:sz w:val="16"/>
          <w:szCs w:val="16"/>
          <w:lang w:val="nl-BE"/>
        </w:rPr>
        <w:t>,</w:t>
      </w:r>
      <w:r w:rsidRPr="00F10409">
        <w:rPr>
          <w:sz w:val="16"/>
          <w:szCs w:val="16"/>
          <w:lang w:val="nl-BE"/>
        </w:rPr>
        <w:t xml:space="preserve"> </w:t>
      </w:r>
      <w:r w:rsidR="009D2308" w:rsidRPr="00F10409">
        <w:rPr>
          <w:sz w:val="16"/>
          <w:szCs w:val="16"/>
          <w:lang w:val="nl-BE"/>
        </w:rPr>
        <w:t>In:</w:t>
      </w:r>
      <w:r w:rsidRPr="00F10409">
        <w:rPr>
          <w:sz w:val="16"/>
          <w:szCs w:val="16"/>
          <w:lang w:val="nl-BE"/>
        </w:rPr>
        <w:t xml:space="preserve"> V</w:t>
      </w:r>
      <w:r w:rsidR="009D2308" w:rsidRPr="00F10409">
        <w:rPr>
          <w:sz w:val="16"/>
          <w:szCs w:val="16"/>
          <w:lang w:val="nl-BE"/>
        </w:rPr>
        <w:t xml:space="preserve">andenbussche and De </w:t>
      </w:r>
      <w:proofErr w:type="spellStart"/>
      <w:r w:rsidR="009D2308" w:rsidRPr="00F10409">
        <w:rPr>
          <w:sz w:val="16"/>
          <w:szCs w:val="16"/>
          <w:lang w:val="nl-BE"/>
        </w:rPr>
        <w:t>Backere</w:t>
      </w:r>
      <w:proofErr w:type="spellEnd"/>
      <w:r w:rsidRPr="00F10409">
        <w:rPr>
          <w:sz w:val="16"/>
          <w:szCs w:val="16"/>
          <w:lang w:val="nl-BE"/>
        </w:rPr>
        <w:t xml:space="preserve"> (</w:t>
      </w:r>
      <w:proofErr w:type="spellStart"/>
      <w:r w:rsidRPr="00F10409">
        <w:rPr>
          <w:sz w:val="16"/>
          <w:szCs w:val="16"/>
          <w:lang w:val="nl-BE"/>
        </w:rPr>
        <w:t>eds</w:t>
      </w:r>
      <w:proofErr w:type="spellEnd"/>
      <w:r w:rsidRPr="00F10409">
        <w:rPr>
          <w:sz w:val="16"/>
          <w:szCs w:val="16"/>
          <w:lang w:val="nl-BE"/>
        </w:rPr>
        <w:t>.), Verbintenissenrecht in de onderneming. VPG-studiecyclus 2020, Kluwer 2020,</w:t>
      </w:r>
      <w:r w:rsidR="009D2308" w:rsidRPr="00F10409">
        <w:rPr>
          <w:sz w:val="16"/>
          <w:szCs w:val="16"/>
          <w:lang w:val="nl-BE"/>
        </w:rPr>
        <w:t xml:space="preserve"> p.</w:t>
      </w:r>
      <w:r w:rsidRPr="00F10409">
        <w:rPr>
          <w:sz w:val="16"/>
          <w:szCs w:val="16"/>
          <w:lang w:val="nl-BE"/>
        </w:rPr>
        <w:t xml:space="preserve"> 42.</w:t>
      </w:r>
    </w:p>
  </w:footnote>
  <w:footnote w:id="60">
    <w:p w14:paraId="20C190EF" w14:textId="77777777" w:rsidR="00F0139C" w:rsidRPr="00F10409" w:rsidRDefault="00F0139C" w:rsidP="001A67CD">
      <w:pPr>
        <w:pStyle w:val="FootnoteText"/>
        <w:jc w:val="both"/>
        <w:rPr>
          <w:sz w:val="16"/>
          <w:szCs w:val="16"/>
          <w:lang w:val="nl-BE"/>
        </w:rPr>
      </w:pPr>
      <w:r w:rsidRPr="00F10409">
        <w:rPr>
          <w:rStyle w:val="FootnoteReference"/>
          <w:sz w:val="16"/>
          <w:szCs w:val="16"/>
          <w:lang w:val="nl-BE"/>
        </w:rPr>
        <w:footnoteRef/>
      </w:r>
      <w:r w:rsidRPr="00F10409">
        <w:rPr>
          <w:sz w:val="16"/>
          <w:szCs w:val="16"/>
          <w:lang w:val="nl-BE"/>
        </w:rPr>
        <w:tab/>
      </w:r>
      <w:proofErr w:type="spellStart"/>
      <w:r w:rsidRPr="00F10409">
        <w:rPr>
          <w:sz w:val="16"/>
          <w:szCs w:val="16"/>
          <w:lang w:val="nl-BE"/>
        </w:rPr>
        <w:t>Article</w:t>
      </w:r>
      <w:proofErr w:type="spellEnd"/>
      <w:r w:rsidRPr="00F10409">
        <w:rPr>
          <w:sz w:val="16"/>
          <w:szCs w:val="16"/>
          <w:lang w:val="nl-BE"/>
        </w:rPr>
        <w:t xml:space="preserve"> IV.72_IV.73 BCEL. </w:t>
      </w:r>
    </w:p>
  </w:footnote>
  <w:footnote w:id="61">
    <w:p w14:paraId="49063FD8" w14:textId="77777777" w:rsidR="00F0139C" w:rsidRPr="00F10409" w:rsidRDefault="00F0139C"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t xml:space="preserve">BCA (2023), </w:t>
      </w:r>
      <w:proofErr w:type="spellStart"/>
      <w:r w:rsidRPr="00F10409">
        <w:rPr>
          <w:sz w:val="16"/>
          <w:szCs w:val="16"/>
          <w:lang w:val="nl-BE"/>
        </w:rPr>
        <w:t>Amicus</w:t>
      </w:r>
      <w:proofErr w:type="spellEnd"/>
      <w:r w:rsidRPr="00F10409">
        <w:rPr>
          <w:sz w:val="16"/>
          <w:szCs w:val="16"/>
          <w:lang w:val="nl-BE"/>
        </w:rPr>
        <w:t xml:space="preserve"> </w:t>
      </w:r>
      <w:proofErr w:type="spellStart"/>
      <w:r w:rsidRPr="00F10409">
        <w:rPr>
          <w:sz w:val="16"/>
          <w:szCs w:val="16"/>
          <w:lang w:val="nl-BE"/>
        </w:rPr>
        <w:t>curiae</w:t>
      </w:r>
      <w:proofErr w:type="spellEnd"/>
      <w:r w:rsidRPr="00F10409">
        <w:rPr>
          <w:sz w:val="16"/>
          <w:szCs w:val="16"/>
          <w:lang w:val="nl-BE"/>
        </w:rPr>
        <w:t xml:space="preserve">, </w:t>
      </w:r>
      <w:proofErr w:type="spellStart"/>
      <w:r w:rsidRPr="00F10409">
        <w:rPr>
          <w:sz w:val="16"/>
          <w:szCs w:val="16"/>
          <w:lang w:val="nl-BE"/>
        </w:rPr>
        <w:t>available</w:t>
      </w:r>
      <w:proofErr w:type="spellEnd"/>
      <w:r w:rsidRPr="00F10409">
        <w:rPr>
          <w:sz w:val="16"/>
          <w:szCs w:val="16"/>
          <w:lang w:val="nl-BE"/>
        </w:rPr>
        <w:t xml:space="preserve"> at </w:t>
      </w:r>
      <w:hyperlink r:id="rId14" w:history="1">
        <w:r w:rsidRPr="00F10409">
          <w:rPr>
            <w:rStyle w:val="Hyperlink"/>
            <w:color w:val="auto"/>
            <w:sz w:val="16"/>
            <w:szCs w:val="16"/>
            <w:lang w:val="nl-BE"/>
          </w:rPr>
          <w:t>https://www.bma-abc.be/sites/default/files/content/download/files/2022 01 25 - ABC AMICUS CURIAE.pdf</w:t>
        </w:r>
      </w:hyperlink>
      <w:r w:rsidRPr="00F10409">
        <w:rPr>
          <w:sz w:val="16"/>
          <w:szCs w:val="16"/>
          <w:lang w:val="nl-BE"/>
        </w:rPr>
        <w:t xml:space="preserve">. </w:t>
      </w:r>
      <w:proofErr w:type="spellStart"/>
      <w:r w:rsidRPr="00F10409">
        <w:rPr>
          <w:sz w:val="16"/>
          <w:szCs w:val="16"/>
          <w:lang w:val="nl-BE"/>
        </w:rPr>
        <w:t>Accessed</w:t>
      </w:r>
      <w:proofErr w:type="spellEnd"/>
      <w:r w:rsidRPr="00F10409">
        <w:rPr>
          <w:sz w:val="16"/>
          <w:szCs w:val="16"/>
          <w:lang w:val="nl-BE"/>
        </w:rPr>
        <w:t xml:space="preserve"> 8 September 2025. </w:t>
      </w:r>
    </w:p>
  </w:footnote>
  <w:footnote w:id="62">
    <w:p w14:paraId="0E9212D0" w14:textId="315EFDA3" w:rsidR="005942D5" w:rsidRPr="00F10409" w:rsidRDefault="005942D5"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t xml:space="preserve">BCA (2023), De Belgische Mededingingsautoriteit opent een onderzoek naar mogelijk misbruik van economische afhankelijkheid in de landbouwsector, </w:t>
      </w:r>
      <w:proofErr w:type="spellStart"/>
      <w:r w:rsidRPr="00F10409">
        <w:rPr>
          <w:sz w:val="16"/>
          <w:szCs w:val="16"/>
          <w:lang w:val="nl-BE"/>
        </w:rPr>
        <w:t>available</w:t>
      </w:r>
      <w:proofErr w:type="spellEnd"/>
      <w:r w:rsidRPr="00F10409">
        <w:rPr>
          <w:sz w:val="16"/>
          <w:szCs w:val="16"/>
          <w:lang w:val="nl-BE"/>
        </w:rPr>
        <w:t xml:space="preserve"> at </w:t>
      </w:r>
      <w:hyperlink r:id="rId15" w:history="1">
        <w:r w:rsidRPr="00F10409">
          <w:rPr>
            <w:rStyle w:val="Hyperlink"/>
            <w:color w:val="auto"/>
            <w:sz w:val="16"/>
            <w:szCs w:val="16"/>
            <w:lang w:val="nl-BE"/>
          </w:rPr>
          <w:t>https://www.bma-abc.be/sites/default/files/content/download/files/20231128_Persbericht_57_BMA.pdf</w:t>
        </w:r>
      </w:hyperlink>
      <w:r w:rsidRPr="00F10409">
        <w:rPr>
          <w:sz w:val="16"/>
          <w:szCs w:val="16"/>
          <w:lang w:val="nl-BE"/>
        </w:rPr>
        <w:t xml:space="preserve">. </w:t>
      </w:r>
      <w:proofErr w:type="spellStart"/>
      <w:r w:rsidRPr="00F10409">
        <w:rPr>
          <w:sz w:val="16"/>
          <w:szCs w:val="16"/>
          <w:lang w:val="nl-BE"/>
        </w:rPr>
        <w:t>Accessed</w:t>
      </w:r>
      <w:proofErr w:type="spellEnd"/>
      <w:r w:rsidRPr="00F10409">
        <w:rPr>
          <w:sz w:val="16"/>
          <w:szCs w:val="16"/>
          <w:lang w:val="nl-BE"/>
        </w:rPr>
        <w:t xml:space="preserve"> 8 September 2025.</w:t>
      </w:r>
    </w:p>
  </w:footnote>
  <w:footnote w:id="63">
    <w:p w14:paraId="60A7E604" w14:textId="3327E82D" w:rsidR="009776EC" w:rsidRPr="00F10409" w:rsidRDefault="009776EC"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r>
      <w:proofErr w:type="spellStart"/>
      <w:r w:rsidRPr="00F10409">
        <w:rPr>
          <w:sz w:val="16"/>
          <w:szCs w:val="16"/>
          <w:lang w:val="nl-BE"/>
        </w:rPr>
        <w:t>Article</w:t>
      </w:r>
      <w:proofErr w:type="spellEnd"/>
      <w:r w:rsidRPr="00F10409">
        <w:rPr>
          <w:sz w:val="16"/>
          <w:szCs w:val="16"/>
          <w:lang w:val="nl-BE"/>
        </w:rPr>
        <w:t xml:space="preserve"> XVII.1 BCEL juncto </w:t>
      </w:r>
      <w:proofErr w:type="spellStart"/>
      <w:r w:rsidRPr="00F10409">
        <w:rPr>
          <w:sz w:val="16"/>
          <w:szCs w:val="16"/>
          <w:lang w:val="nl-BE"/>
        </w:rPr>
        <w:t>Article</w:t>
      </w:r>
      <w:proofErr w:type="spellEnd"/>
      <w:r w:rsidRPr="00F10409">
        <w:rPr>
          <w:sz w:val="16"/>
          <w:szCs w:val="16"/>
          <w:lang w:val="nl-BE"/>
        </w:rPr>
        <w:t xml:space="preserve"> XVII.4 BCEL; B. </w:t>
      </w:r>
      <w:proofErr w:type="spellStart"/>
      <w:r w:rsidRPr="00F10409">
        <w:rPr>
          <w:sz w:val="16"/>
          <w:szCs w:val="16"/>
          <w:lang w:val="nl-BE"/>
        </w:rPr>
        <w:t>K</w:t>
      </w:r>
      <w:r w:rsidR="009D2308" w:rsidRPr="00F10409">
        <w:rPr>
          <w:sz w:val="16"/>
          <w:szCs w:val="16"/>
          <w:lang w:val="nl-BE"/>
        </w:rPr>
        <w:t>eirsbilck</w:t>
      </w:r>
      <w:proofErr w:type="spellEnd"/>
      <w:r w:rsidRPr="00F10409">
        <w:rPr>
          <w:sz w:val="16"/>
          <w:szCs w:val="16"/>
          <w:lang w:val="nl-BE"/>
        </w:rPr>
        <w:t xml:space="preserve"> </w:t>
      </w:r>
      <w:r w:rsidR="00812E34" w:rsidRPr="00F10409">
        <w:rPr>
          <w:sz w:val="16"/>
          <w:szCs w:val="16"/>
          <w:lang w:val="nl-BE"/>
        </w:rPr>
        <w:t xml:space="preserve">and </w:t>
      </w:r>
      <w:r w:rsidRPr="00F10409">
        <w:rPr>
          <w:sz w:val="16"/>
          <w:szCs w:val="16"/>
          <w:lang w:val="nl-BE"/>
        </w:rPr>
        <w:t xml:space="preserve">J. </w:t>
      </w:r>
      <w:proofErr w:type="spellStart"/>
      <w:r w:rsidRPr="00F10409">
        <w:rPr>
          <w:sz w:val="16"/>
          <w:szCs w:val="16"/>
          <w:lang w:val="nl-BE"/>
        </w:rPr>
        <w:t>S</w:t>
      </w:r>
      <w:r w:rsidR="009D2308" w:rsidRPr="00F10409">
        <w:rPr>
          <w:sz w:val="16"/>
          <w:szCs w:val="16"/>
          <w:lang w:val="nl-BE"/>
        </w:rPr>
        <w:t>tuyck</w:t>
      </w:r>
      <w:proofErr w:type="spellEnd"/>
      <w:r w:rsidRPr="00F10409">
        <w:rPr>
          <w:sz w:val="16"/>
          <w:szCs w:val="16"/>
          <w:lang w:val="nl-BE"/>
        </w:rPr>
        <w:t>, Vordering tot staking, sancties bij inbreuken op boek VI en de buitengerechtelijke regeling van geschillen</w:t>
      </w:r>
      <w:r w:rsidR="009D2308" w:rsidRPr="00F10409">
        <w:rPr>
          <w:sz w:val="16"/>
          <w:szCs w:val="16"/>
          <w:lang w:val="nl-BE"/>
        </w:rPr>
        <w:t>,</w:t>
      </w:r>
      <w:r w:rsidRPr="00F10409">
        <w:rPr>
          <w:sz w:val="16"/>
          <w:szCs w:val="16"/>
          <w:lang w:val="nl-BE"/>
        </w:rPr>
        <w:t xml:space="preserve"> </w:t>
      </w:r>
      <w:r w:rsidR="009D2308" w:rsidRPr="00F10409">
        <w:rPr>
          <w:sz w:val="16"/>
          <w:szCs w:val="16"/>
          <w:lang w:val="nl-BE"/>
        </w:rPr>
        <w:t>I</w:t>
      </w:r>
      <w:r w:rsidRPr="00F10409">
        <w:rPr>
          <w:sz w:val="16"/>
          <w:szCs w:val="16"/>
          <w:lang w:val="nl-BE"/>
        </w:rPr>
        <w:t>n</w:t>
      </w:r>
      <w:r w:rsidR="009D2308" w:rsidRPr="00F10409">
        <w:rPr>
          <w:sz w:val="16"/>
          <w:szCs w:val="16"/>
          <w:lang w:val="nl-BE"/>
        </w:rPr>
        <w:t>:</w:t>
      </w:r>
      <w:r w:rsidRPr="00F10409">
        <w:rPr>
          <w:sz w:val="16"/>
          <w:szCs w:val="16"/>
          <w:lang w:val="nl-BE"/>
        </w:rPr>
        <w:t xml:space="preserve"> </w:t>
      </w:r>
      <w:proofErr w:type="spellStart"/>
      <w:r w:rsidR="009D2308" w:rsidRPr="00F10409">
        <w:rPr>
          <w:sz w:val="16"/>
          <w:szCs w:val="16"/>
          <w:lang w:val="nl-BE"/>
        </w:rPr>
        <w:t>Stuyck</w:t>
      </w:r>
      <w:proofErr w:type="spellEnd"/>
      <w:r w:rsidR="009D2308" w:rsidRPr="00F10409">
        <w:rPr>
          <w:sz w:val="16"/>
          <w:szCs w:val="16"/>
          <w:lang w:val="nl-BE"/>
        </w:rPr>
        <w:t xml:space="preserve"> and </w:t>
      </w:r>
      <w:proofErr w:type="spellStart"/>
      <w:r w:rsidR="009D2308" w:rsidRPr="00F10409">
        <w:rPr>
          <w:sz w:val="16"/>
          <w:szCs w:val="16"/>
          <w:lang w:val="nl-BE"/>
        </w:rPr>
        <w:t>Keirsbilck</w:t>
      </w:r>
      <w:proofErr w:type="spellEnd"/>
      <w:r w:rsidRPr="00F10409">
        <w:rPr>
          <w:sz w:val="16"/>
          <w:szCs w:val="16"/>
          <w:lang w:val="nl-BE"/>
        </w:rPr>
        <w:t>, Handels- en economisch recht. Deel 2. Mededingingsrecht. A. Handelspraktijken en contracten met consumenten, Kluwer</w:t>
      </w:r>
      <w:r w:rsidR="009D2308" w:rsidRPr="00F10409">
        <w:rPr>
          <w:sz w:val="16"/>
          <w:szCs w:val="16"/>
          <w:lang w:val="nl-BE"/>
        </w:rPr>
        <w:t xml:space="preserve"> </w:t>
      </w:r>
      <w:r w:rsidRPr="00F10409">
        <w:rPr>
          <w:sz w:val="16"/>
          <w:szCs w:val="16"/>
          <w:lang w:val="nl-BE"/>
        </w:rPr>
        <w:t xml:space="preserve">2019, </w:t>
      </w:r>
      <w:r w:rsidR="009D2308" w:rsidRPr="00F10409">
        <w:rPr>
          <w:sz w:val="16"/>
          <w:szCs w:val="16"/>
          <w:lang w:val="nl-BE"/>
        </w:rPr>
        <w:t>pp.</w:t>
      </w:r>
      <w:r w:rsidRPr="00F10409">
        <w:rPr>
          <w:sz w:val="16"/>
          <w:szCs w:val="16"/>
          <w:lang w:val="nl-BE"/>
        </w:rPr>
        <w:t xml:space="preserve"> 158-159, 167</w:t>
      </w:r>
      <w:r w:rsidR="009D2308" w:rsidRPr="00F10409">
        <w:rPr>
          <w:sz w:val="16"/>
          <w:szCs w:val="16"/>
          <w:lang w:val="nl-BE"/>
        </w:rPr>
        <w:t xml:space="preserve"> and 176.</w:t>
      </w:r>
    </w:p>
  </w:footnote>
  <w:footnote w:id="64">
    <w:p w14:paraId="1E5EE101" w14:textId="16540AED" w:rsidR="0016656F" w:rsidRPr="00910EF2" w:rsidRDefault="0016656F" w:rsidP="001A67CD">
      <w:pPr>
        <w:pStyle w:val="FootnoteText"/>
        <w:ind w:left="720" w:hanging="720"/>
        <w:jc w:val="both"/>
        <w:rPr>
          <w:sz w:val="16"/>
          <w:szCs w:val="16"/>
          <w:lang w:val="en-US"/>
        </w:rPr>
      </w:pPr>
      <w:r w:rsidRPr="00F10409">
        <w:rPr>
          <w:rStyle w:val="FootnoteReference"/>
          <w:sz w:val="16"/>
          <w:szCs w:val="16"/>
          <w:lang w:val="nl-BE"/>
        </w:rPr>
        <w:footnoteRef/>
      </w:r>
      <w:r w:rsidRPr="00910EF2">
        <w:rPr>
          <w:sz w:val="16"/>
          <w:szCs w:val="16"/>
          <w:lang w:val="en-US"/>
        </w:rPr>
        <w:tab/>
        <w:t>See for example, Pres. Enterprise Court Ghent 28 October 2020, TBH 2020</w:t>
      </w:r>
      <w:r w:rsidR="004422FD" w:rsidRPr="00910EF2">
        <w:rPr>
          <w:sz w:val="16"/>
          <w:szCs w:val="16"/>
          <w:lang w:val="en-US"/>
        </w:rPr>
        <w:t>/4</w:t>
      </w:r>
      <w:r w:rsidRPr="00910EF2">
        <w:rPr>
          <w:sz w:val="16"/>
          <w:szCs w:val="16"/>
          <w:lang w:val="en-US"/>
        </w:rPr>
        <w:t xml:space="preserve">, </w:t>
      </w:r>
      <w:r w:rsidR="009D2308" w:rsidRPr="00910EF2">
        <w:rPr>
          <w:sz w:val="16"/>
          <w:szCs w:val="16"/>
          <w:lang w:val="en-US"/>
        </w:rPr>
        <w:t xml:space="preserve">pp. </w:t>
      </w:r>
      <w:r w:rsidRPr="00910EF2">
        <w:rPr>
          <w:sz w:val="16"/>
          <w:szCs w:val="16"/>
          <w:lang w:val="en-US"/>
        </w:rPr>
        <w:t xml:space="preserve">514-517; Pres. Enterprise Court Antwerpen (division Tongeren) 16 April 2021, </w:t>
      </w:r>
      <w:proofErr w:type="spellStart"/>
      <w:r w:rsidR="00812E34" w:rsidRPr="00910EF2">
        <w:rPr>
          <w:sz w:val="16"/>
          <w:szCs w:val="16"/>
          <w:lang w:val="en-US"/>
        </w:rPr>
        <w:t>Competitio</w:t>
      </w:r>
      <w:proofErr w:type="spellEnd"/>
      <w:r w:rsidRPr="00910EF2">
        <w:rPr>
          <w:sz w:val="16"/>
          <w:szCs w:val="16"/>
          <w:lang w:val="en-US"/>
        </w:rPr>
        <w:t xml:space="preserve"> 2021</w:t>
      </w:r>
      <w:r w:rsidR="004422FD" w:rsidRPr="00910EF2">
        <w:rPr>
          <w:sz w:val="16"/>
          <w:szCs w:val="16"/>
          <w:lang w:val="en-US"/>
        </w:rPr>
        <w:t>/2</w:t>
      </w:r>
      <w:r w:rsidRPr="00910EF2">
        <w:rPr>
          <w:sz w:val="16"/>
          <w:szCs w:val="16"/>
          <w:lang w:val="en-US"/>
        </w:rPr>
        <w:t xml:space="preserve">, </w:t>
      </w:r>
      <w:r w:rsidR="009D2308" w:rsidRPr="00910EF2">
        <w:rPr>
          <w:sz w:val="16"/>
          <w:szCs w:val="16"/>
          <w:lang w:val="en-US"/>
        </w:rPr>
        <w:t xml:space="preserve">pp. </w:t>
      </w:r>
      <w:r w:rsidRPr="00910EF2">
        <w:rPr>
          <w:sz w:val="16"/>
          <w:szCs w:val="16"/>
          <w:lang w:val="en-US"/>
        </w:rPr>
        <w:t>159-166.</w:t>
      </w:r>
    </w:p>
  </w:footnote>
  <w:footnote w:id="65">
    <w:p w14:paraId="2ECCEFFA" w14:textId="1CA1B352" w:rsidR="00F0139C" w:rsidRPr="00F10409" w:rsidRDefault="00F0139C"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t>I. C</w:t>
      </w:r>
      <w:r w:rsidR="009D2308" w:rsidRPr="00F10409">
        <w:rPr>
          <w:sz w:val="16"/>
          <w:szCs w:val="16"/>
          <w:lang w:val="nl-BE"/>
        </w:rPr>
        <w:t>laeys</w:t>
      </w:r>
      <w:r w:rsidRPr="00F10409">
        <w:rPr>
          <w:sz w:val="16"/>
          <w:szCs w:val="16"/>
          <w:lang w:val="nl-BE"/>
        </w:rPr>
        <w:t>, Nietigheid van contractuele verbintenissen in beweging</w:t>
      </w:r>
      <w:r w:rsidR="009D2308" w:rsidRPr="00F10409">
        <w:rPr>
          <w:sz w:val="16"/>
          <w:szCs w:val="16"/>
          <w:lang w:val="nl-BE"/>
        </w:rPr>
        <w:t>, In:</w:t>
      </w:r>
      <w:r w:rsidRPr="00F10409">
        <w:rPr>
          <w:sz w:val="16"/>
          <w:szCs w:val="16"/>
          <w:lang w:val="nl-BE"/>
        </w:rPr>
        <w:t xml:space="preserve"> </w:t>
      </w:r>
      <w:r w:rsidR="009D2308" w:rsidRPr="00F10409">
        <w:rPr>
          <w:sz w:val="16"/>
          <w:szCs w:val="16"/>
          <w:lang w:val="nl-BE"/>
        </w:rPr>
        <w:t xml:space="preserve">Orde van Advocaten Kortrijk, </w:t>
      </w:r>
      <w:r w:rsidRPr="00F10409">
        <w:rPr>
          <w:sz w:val="16"/>
          <w:szCs w:val="16"/>
          <w:lang w:val="nl-BE"/>
        </w:rPr>
        <w:t xml:space="preserve">Sancties en nietigheden, </w:t>
      </w:r>
      <w:proofErr w:type="spellStart"/>
      <w:r w:rsidRPr="00F10409">
        <w:rPr>
          <w:sz w:val="16"/>
          <w:szCs w:val="16"/>
          <w:lang w:val="nl-BE"/>
        </w:rPr>
        <w:t>Larcier</w:t>
      </w:r>
      <w:proofErr w:type="spellEnd"/>
      <w:r w:rsidRPr="00F10409">
        <w:rPr>
          <w:sz w:val="16"/>
          <w:szCs w:val="16"/>
          <w:lang w:val="nl-BE"/>
        </w:rPr>
        <w:t xml:space="preserve"> 2003, </w:t>
      </w:r>
      <w:r w:rsidR="009D2308" w:rsidRPr="00F10409">
        <w:rPr>
          <w:sz w:val="16"/>
          <w:szCs w:val="16"/>
          <w:lang w:val="nl-BE"/>
        </w:rPr>
        <w:t xml:space="preserve">pp. </w:t>
      </w:r>
      <w:r w:rsidRPr="00F10409">
        <w:rPr>
          <w:sz w:val="16"/>
          <w:szCs w:val="16"/>
          <w:lang w:val="nl-BE"/>
        </w:rPr>
        <w:t xml:space="preserve">317-319. </w:t>
      </w:r>
    </w:p>
  </w:footnote>
  <w:footnote w:id="66">
    <w:p w14:paraId="7E4677AA" w14:textId="77777777" w:rsidR="00F0139C" w:rsidRPr="00F10409" w:rsidRDefault="00F0139C" w:rsidP="001A67CD">
      <w:pPr>
        <w:pStyle w:val="FootnoteText"/>
        <w:jc w:val="both"/>
        <w:rPr>
          <w:sz w:val="16"/>
          <w:szCs w:val="16"/>
          <w:lang w:val="nl-BE"/>
        </w:rPr>
      </w:pPr>
      <w:r w:rsidRPr="00F10409">
        <w:rPr>
          <w:rStyle w:val="FootnoteReference"/>
          <w:sz w:val="16"/>
          <w:szCs w:val="16"/>
          <w:lang w:val="nl-BE"/>
        </w:rPr>
        <w:footnoteRef/>
      </w:r>
      <w:r w:rsidRPr="00F10409">
        <w:rPr>
          <w:sz w:val="16"/>
          <w:szCs w:val="16"/>
          <w:lang w:val="nl-BE"/>
        </w:rPr>
        <w:tab/>
      </w:r>
      <w:proofErr w:type="spellStart"/>
      <w:r w:rsidRPr="00F10409">
        <w:rPr>
          <w:sz w:val="16"/>
          <w:szCs w:val="16"/>
          <w:lang w:val="nl-BE"/>
        </w:rPr>
        <w:t>Article</w:t>
      </w:r>
      <w:proofErr w:type="spellEnd"/>
      <w:r w:rsidRPr="00F10409">
        <w:rPr>
          <w:sz w:val="16"/>
          <w:szCs w:val="16"/>
          <w:lang w:val="nl-BE"/>
        </w:rPr>
        <w:t xml:space="preserve"> 6.5 </w:t>
      </w:r>
      <w:proofErr w:type="spellStart"/>
      <w:r w:rsidRPr="00F10409">
        <w:rPr>
          <w:sz w:val="16"/>
          <w:szCs w:val="16"/>
          <w:lang w:val="nl-BE"/>
        </w:rPr>
        <w:t>Belgian</w:t>
      </w:r>
      <w:proofErr w:type="spellEnd"/>
      <w:r w:rsidRPr="00F10409">
        <w:rPr>
          <w:sz w:val="16"/>
          <w:szCs w:val="16"/>
          <w:lang w:val="nl-BE"/>
        </w:rPr>
        <w:t xml:space="preserve"> </w:t>
      </w:r>
      <w:proofErr w:type="spellStart"/>
      <w:r w:rsidRPr="00F10409">
        <w:rPr>
          <w:sz w:val="16"/>
          <w:szCs w:val="16"/>
          <w:lang w:val="nl-BE"/>
        </w:rPr>
        <w:t>Civil</w:t>
      </w:r>
      <w:proofErr w:type="spellEnd"/>
      <w:r w:rsidRPr="00F10409">
        <w:rPr>
          <w:sz w:val="16"/>
          <w:szCs w:val="16"/>
          <w:lang w:val="nl-BE"/>
        </w:rPr>
        <w:t xml:space="preserve"> Code. </w:t>
      </w:r>
    </w:p>
  </w:footnote>
  <w:footnote w:id="67">
    <w:p w14:paraId="75F95A72" w14:textId="5A36A8FC" w:rsidR="00276C8F" w:rsidRPr="00F10409" w:rsidRDefault="00276C8F"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r>
      <w:proofErr w:type="spellStart"/>
      <w:r w:rsidRPr="00F10409">
        <w:rPr>
          <w:sz w:val="16"/>
          <w:szCs w:val="16"/>
          <w:lang w:val="nl-BE"/>
        </w:rPr>
        <w:t>Article</w:t>
      </w:r>
      <w:proofErr w:type="spellEnd"/>
      <w:r w:rsidRPr="00F10409">
        <w:rPr>
          <w:sz w:val="16"/>
          <w:szCs w:val="16"/>
          <w:lang w:val="nl-BE"/>
        </w:rPr>
        <w:t xml:space="preserve"> I.21, 1°, XVII.43, §2, 1°-2° BCEL</w:t>
      </w:r>
      <w:r w:rsidR="009D2308" w:rsidRPr="00F10409">
        <w:rPr>
          <w:sz w:val="16"/>
          <w:szCs w:val="16"/>
          <w:lang w:val="nl-BE"/>
        </w:rPr>
        <w:t>;</w:t>
      </w:r>
      <w:r w:rsidRPr="00F10409">
        <w:rPr>
          <w:sz w:val="16"/>
          <w:szCs w:val="16"/>
          <w:lang w:val="nl-BE"/>
        </w:rPr>
        <w:t xml:space="preserve"> I. C</w:t>
      </w:r>
      <w:r w:rsidR="009D2308" w:rsidRPr="00F10409">
        <w:rPr>
          <w:sz w:val="16"/>
          <w:szCs w:val="16"/>
          <w:lang w:val="nl-BE"/>
        </w:rPr>
        <w:t>laeys and</w:t>
      </w:r>
      <w:r w:rsidRPr="00F10409">
        <w:rPr>
          <w:sz w:val="16"/>
          <w:szCs w:val="16"/>
          <w:lang w:val="nl-BE"/>
        </w:rPr>
        <w:t xml:space="preserve"> M. </w:t>
      </w:r>
      <w:r w:rsidR="009D2308" w:rsidRPr="00F10409">
        <w:rPr>
          <w:sz w:val="16"/>
          <w:szCs w:val="16"/>
          <w:lang w:val="nl-BE"/>
        </w:rPr>
        <w:t xml:space="preserve">Van </w:t>
      </w:r>
      <w:proofErr w:type="spellStart"/>
      <w:r w:rsidR="009D2308" w:rsidRPr="00F10409">
        <w:rPr>
          <w:sz w:val="16"/>
          <w:szCs w:val="16"/>
          <w:lang w:val="nl-BE"/>
        </w:rPr>
        <w:t>Nieuwenborgh</w:t>
      </w:r>
      <w:proofErr w:type="spellEnd"/>
      <w:r w:rsidRPr="00F10409">
        <w:rPr>
          <w:sz w:val="16"/>
          <w:szCs w:val="16"/>
          <w:lang w:val="nl-BE"/>
        </w:rPr>
        <w:t xml:space="preserve">, De rechtsvordering tot schadevergoeding voor mededingingsinbreuken. Een grote stap vooruit, TBH 2018, </w:t>
      </w:r>
      <w:r w:rsidR="009D2308" w:rsidRPr="00F10409">
        <w:rPr>
          <w:sz w:val="16"/>
          <w:szCs w:val="16"/>
          <w:lang w:val="nl-BE"/>
        </w:rPr>
        <w:t>p.</w:t>
      </w:r>
      <w:r w:rsidRPr="00F10409">
        <w:rPr>
          <w:sz w:val="16"/>
          <w:szCs w:val="16"/>
          <w:lang w:val="nl-BE"/>
        </w:rPr>
        <w:t xml:space="preserve"> 138.   </w:t>
      </w:r>
    </w:p>
  </w:footnote>
  <w:footnote w:id="68">
    <w:p w14:paraId="1509BFE9" w14:textId="78373BBD" w:rsidR="00276C8F" w:rsidRPr="00F10409" w:rsidRDefault="00276C8F" w:rsidP="001A67CD">
      <w:pPr>
        <w:pStyle w:val="FootnoteText"/>
        <w:jc w:val="both"/>
        <w:rPr>
          <w:sz w:val="16"/>
          <w:szCs w:val="16"/>
          <w:lang w:val="nl-BE"/>
        </w:rPr>
      </w:pPr>
      <w:r w:rsidRPr="00F10409">
        <w:rPr>
          <w:rStyle w:val="FootnoteReference"/>
          <w:sz w:val="16"/>
          <w:szCs w:val="16"/>
          <w:lang w:val="nl-BE"/>
        </w:rPr>
        <w:footnoteRef/>
      </w:r>
      <w:r w:rsidRPr="00F10409">
        <w:rPr>
          <w:sz w:val="16"/>
          <w:szCs w:val="16"/>
          <w:lang w:val="nl-BE"/>
        </w:rPr>
        <w:tab/>
      </w:r>
      <w:proofErr w:type="spellStart"/>
      <w:r w:rsidRPr="00F10409">
        <w:rPr>
          <w:sz w:val="16"/>
          <w:szCs w:val="16"/>
          <w:lang w:val="nl-BE"/>
        </w:rPr>
        <w:t>Article</w:t>
      </w:r>
      <w:proofErr w:type="spellEnd"/>
      <w:r w:rsidRPr="00F10409">
        <w:rPr>
          <w:sz w:val="16"/>
          <w:szCs w:val="16"/>
          <w:lang w:val="nl-BE"/>
        </w:rPr>
        <w:t xml:space="preserve"> XVII.35-XVII.70 BCEL.   </w:t>
      </w:r>
    </w:p>
  </w:footnote>
  <w:footnote w:id="69">
    <w:p w14:paraId="4F33B30D" w14:textId="183ED707" w:rsidR="00276C8F" w:rsidRPr="00F10409" w:rsidRDefault="00276C8F"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r>
      <w:r w:rsidR="009D2308" w:rsidRPr="00F10409">
        <w:rPr>
          <w:sz w:val="16"/>
          <w:szCs w:val="16"/>
          <w:lang w:val="nl-BE"/>
        </w:rPr>
        <w:t xml:space="preserve">I. Claeys and M. Van </w:t>
      </w:r>
      <w:proofErr w:type="spellStart"/>
      <w:r w:rsidR="009D2308" w:rsidRPr="00F10409">
        <w:rPr>
          <w:sz w:val="16"/>
          <w:szCs w:val="16"/>
          <w:lang w:val="nl-BE"/>
        </w:rPr>
        <w:t>Nieuwenborgh</w:t>
      </w:r>
      <w:proofErr w:type="spellEnd"/>
      <w:r w:rsidRPr="00F10409">
        <w:rPr>
          <w:sz w:val="16"/>
          <w:szCs w:val="16"/>
          <w:lang w:val="nl-BE"/>
        </w:rPr>
        <w:t>, De rechtsvordering tot schadevergoeding voor mededingingsinbreuken. Een grote stap vooruit, TBH</w:t>
      </w:r>
      <w:r w:rsidRPr="00F10409">
        <w:rPr>
          <w:i/>
          <w:iCs/>
          <w:sz w:val="16"/>
          <w:szCs w:val="16"/>
          <w:lang w:val="nl-BE"/>
        </w:rPr>
        <w:t xml:space="preserve"> </w:t>
      </w:r>
      <w:r w:rsidRPr="00F10409">
        <w:rPr>
          <w:sz w:val="16"/>
          <w:szCs w:val="16"/>
          <w:lang w:val="nl-BE"/>
        </w:rPr>
        <w:t xml:space="preserve">2018, </w:t>
      </w:r>
      <w:r w:rsidR="009D2308" w:rsidRPr="00F10409">
        <w:rPr>
          <w:sz w:val="16"/>
          <w:szCs w:val="16"/>
          <w:lang w:val="nl-BE"/>
        </w:rPr>
        <w:t>p.</w:t>
      </w:r>
      <w:r w:rsidRPr="00F10409">
        <w:rPr>
          <w:sz w:val="16"/>
          <w:szCs w:val="16"/>
          <w:lang w:val="nl-BE"/>
        </w:rPr>
        <w:t xml:space="preserve"> 138.   </w:t>
      </w:r>
    </w:p>
  </w:footnote>
  <w:footnote w:id="70">
    <w:p w14:paraId="06CD40EA" w14:textId="3F20F5AB" w:rsidR="0013290F" w:rsidRPr="00F10409" w:rsidRDefault="0013290F"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r>
      <w:proofErr w:type="spellStart"/>
      <w:r w:rsidRPr="00F10409">
        <w:rPr>
          <w:sz w:val="16"/>
          <w:szCs w:val="16"/>
          <w:lang w:val="nl-BE"/>
        </w:rPr>
        <w:t>Article</w:t>
      </w:r>
      <w:proofErr w:type="spellEnd"/>
      <w:r w:rsidRPr="00F10409">
        <w:rPr>
          <w:sz w:val="16"/>
          <w:szCs w:val="16"/>
          <w:lang w:val="nl-BE"/>
        </w:rPr>
        <w:t xml:space="preserve"> VI.91/6 BCEL juncto </w:t>
      </w:r>
      <w:proofErr w:type="spellStart"/>
      <w:r w:rsidRPr="00F10409">
        <w:rPr>
          <w:sz w:val="16"/>
          <w:szCs w:val="16"/>
          <w:lang w:val="nl-BE"/>
        </w:rPr>
        <w:t>Article</w:t>
      </w:r>
      <w:proofErr w:type="spellEnd"/>
      <w:r w:rsidRPr="00F10409">
        <w:rPr>
          <w:sz w:val="16"/>
          <w:szCs w:val="16"/>
          <w:lang w:val="nl-BE"/>
        </w:rPr>
        <w:t xml:space="preserve"> 5.63 </w:t>
      </w:r>
      <w:proofErr w:type="spellStart"/>
      <w:r w:rsidRPr="00F10409">
        <w:rPr>
          <w:sz w:val="16"/>
          <w:szCs w:val="16"/>
          <w:lang w:val="nl-BE"/>
        </w:rPr>
        <w:t>Belgian</w:t>
      </w:r>
      <w:proofErr w:type="spellEnd"/>
      <w:r w:rsidRPr="00F10409">
        <w:rPr>
          <w:sz w:val="16"/>
          <w:szCs w:val="16"/>
          <w:lang w:val="nl-BE"/>
        </w:rPr>
        <w:t xml:space="preserve"> </w:t>
      </w:r>
      <w:proofErr w:type="spellStart"/>
      <w:r w:rsidRPr="00F10409">
        <w:rPr>
          <w:sz w:val="16"/>
          <w:szCs w:val="16"/>
          <w:lang w:val="nl-BE"/>
        </w:rPr>
        <w:t>Civil</w:t>
      </w:r>
      <w:proofErr w:type="spellEnd"/>
      <w:r w:rsidRPr="00F10409">
        <w:rPr>
          <w:sz w:val="16"/>
          <w:szCs w:val="16"/>
          <w:lang w:val="nl-BE"/>
        </w:rPr>
        <w:t xml:space="preserve"> Code; J. </w:t>
      </w:r>
      <w:proofErr w:type="spellStart"/>
      <w:r w:rsidRPr="00F10409">
        <w:rPr>
          <w:sz w:val="16"/>
          <w:szCs w:val="16"/>
          <w:lang w:val="nl-BE"/>
        </w:rPr>
        <w:t>S</w:t>
      </w:r>
      <w:r w:rsidR="009D2308" w:rsidRPr="00F10409">
        <w:rPr>
          <w:sz w:val="16"/>
          <w:szCs w:val="16"/>
          <w:lang w:val="nl-BE"/>
        </w:rPr>
        <w:t>tuyck</w:t>
      </w:r>
      <w:proofErr w:type="spellEnd"/>
      <w:r w:rsidR="009D2308" w:rsidRPr="00F10409">
        <w:rPr>
          <w:sz w:val="16"/>
          <w:szCs w:val="16"/>
          <w:lang w:val="nl-BE"/>
        </w:rPr>
        <w:t xml:space="preserve"> </w:t>
      </w:r>
      <w:r w:rsidR="00812E34" w:rsidRPr="00F10409">
        <w:rPr>
          <w:sz w:val="16"/>
          <w:szCs w:val="16"/>
          <w:lang w:val="nl-BE"/>
        </w:rPr>
        <w:t xml:space="preserve">and </w:t>
      </w:r>
      <w:r w:rsidRPr="00F10409">
        <w:rPr>
          <w:sz w:val="16"/>
          <w:szCs w:val="16"/>
          <w:lang w:val="nl-BE"/>
        </w:rPr>
        <w:t xml:space="preserve">B. </w:t>
      </w:r>
      <w:proofErr w:type="spellStart"/>
      <w:r w:rsidRPr="00F10409">
        <w:rPr>
          <w:sz w:val="16"/>
          <w:szCs w:val="16"/>
          <w:lang w:val="nl-BE"/>
        </w:rPr>
        <w:t>K</w:t>
      </w:r>
      <w:r w:rsidR="009D2308" w:rsidRPr="00F10409">
        <w:rPr>
          <w:sz w:val="16"/>
          <w:szCs w:val="16"/>
          <w:lang w:val="nl-BE"/>
        </w:rPr>
        <w:t>eirsbilck</w:t>
      </w:r>
      <w:proofErr w:type="spellEnd"/>
      <w:r w:rsidRPr="00F10409">
        <w:rPr>
          <w:sz w:val="16"/>
          <w:szCs w:val="16"/>
          <w:lang w:val="nl-BE"/>
        </w:rPr>
        <w:t>, Handels- en economisch recht. Deel 2 Mededingingsrecht. A. Handelspraktijken en contracten met consumenten, Kluwer 2024,</w:t>
      </w:r>
      <w:r w:rsidR="009D2308" w:rsidRPr="00F10409">
        <w:rPr>
          <w:sz w:val="16"/>
          <w:szCs w:val="16"/>
          <w:lang w:val="nl-BE"/>
        </w:rPr>
        <w:t xml:space="preserve"> p.</w:t>
      </w:r>
      <w:r w:rsidRPr="00F10409">
        <w:rPr>
          <w:sz w:val="16"/>
          <w:szCs w:val="16"/>
          <w:lang w:val="nl-BE"/>
        </w:rPr>
        <w:t xml:space="preserve"> 901. </w:t>
      </w:r>
    </w:p>
  </w:footnote>
  <w:footnote w:id="71">
    <w:p w14:paraId="0B06799F" w14:textId="3922E7F5" w:rsidR="00D41E8B" w:rsidRPr="00910EF2" w:rsidRDefault="00D41E8B" w:rsidP="001A67CD">
      <w:pPr>
        <w:pStyle w:val="FootnoteText"/>
        <w:jc w:val="both"/>
        <w:rPr>
          <w:sz w:val="16"/>
          <w:szCs w:val="16"/>
          <w:lang w:val="en-US"/>
        </w:rPr>
      </w:pPr>
      <w:r w:rsidRPr="00F10409">
        <w:rPr>
          <w:rStyle w:val="FootnoteReference"/>
          <w:sz w:val="16"/>
          <w:szCs w:val="16"/>
          <w:lang w:val="nl-BE"/>
        </w:rPr>
        <w:footnoteRef/>
      </w:r>
      <w:r w:rsidRPr="00910EF2">
        <w:rPr>
          <w:sz w:val="16"/>
          <w:szCs w:val="16"/>
          <w:lang w:val="en-US"/>
        </w:rPr>
        <w:t xml:space="preserve"> </w:t>
      </w:r>
      <w:r w:rsidRPr="00910EF2">
        <w:rPr>
          <w:sz w:val="16"/>
          <w:szCs w:val="16"/>
          <w:lang w:val="en-US"/>
        </w:rPr>
        <w:tab/>
        <w:t xml:space="preserve">Supreme Court 7 January 2000, AR C.99.0233.N, </w:t>
      </w:r>
      <w:hyperlink r:id="rId16" w:history="1">
        <w:r w:rsidRPr="00910EF2">
          <w:rPr>
            <w:rStyle w:val="Hyperlink"/>
            <w:color w:val="auto"/>
            <w:sz w:val="16"/>
            <w:szCs w:val="16"/>
            <w:lang w:val="en-US"/>
          </w:rPr>
          <w:t>www.juportal.be</w:t>
        </w:r>
      </w:hyperlink>
      <w:r w:rsidRPr="00910EF2">
        <w:rPr>
          <w:sz w:val="16"/>
          <w:szCs w:val="16"/>
          <w:lang w:val="en-US"/>
        </w:rPr>
        <w:t>.</w:t>
      </w:r>
    </w:p>
  </w:footnote>
  <w:footnote w:id="72">
    <w:p w14:paraId="6BC9DD4F" w14:textId="50BE51FA" w:rsidR="00D41E8B" w:rsidRPr="00910EF2" w:rsidRDefault="00D41E8B" w:rsidP="001A67CD">
      <w:pPr>
        <w:pStyle w:val="FootnoteText"/>
        <w:jc w:val="both"/>
        <w:rPr>
          <w:sz w:val="16"/>
          <w:szCs w:val="16"/>
          <w:lang w:val="en-US"/>
        </w:rPr>
      </w:pPr>
      <w:r w:rsidRPr="00F10409">
        <w:rPr>
          <w:rStyle w:val="FootnoteReference"/>
          <w:sz w:val="16"/>
          <w:szCs w:val="16"/>
          <w:lang w:val="nl-BE"/>
        </w:rPr>
        <w:footnoteRef/>
      </w:r>
      <w:r w:rsidRPr="00910EF2">
        <w:rPr>
          <w:sz w:val="16"/>
          <w:szCs w:val="16"/>
          <w:lang w:val="en-US"/>
        </w:rPr>
        <w:tab/>
        <w:t xml:space="preserve">Court of Appeal Brussels 8 June 2023, I.R./D.I. 2023, </w:t>
      </w:r>
      <w:r w:rsidR="00812E34" w:rsidRPr="00910EF2">
        <w:rPr>
          <w:sz w:val="16"/>
          <w:szCs w:val="16"/>
          <w:lang w:val="en-US"/>
        </w:rPr>
        <w:t xml:space="preserve">pp. </w:t>
      </w:r>
      <w:r w:rsidRPr="00910EF2">
        <w:rPr>
          <w:sz w:val="16"/>
          <w:szCs w:val="16"/>
          <w:lang w:val="en-US"/>
        </w:rPr>
        <w:t xml:space="preserve">178-201. </w:t>
      </w:r>
    </w:p>
  </w:footnote>
  <w:footnote w:id="73">
    <w:p w14:paraId="2A4149BE" w14:textId="6021AAA6" w:rsidR="00D41E8B" w:rsidRPr="00910EF2" w:rsidRDefault="00D41E8B" w:rsidP="001A67CD">
      <w:pPr>
        <w:pStyle w:val="FootnoteText"/>
        <w:jc w:val="both"/>
        <w:rPr>
          <w:sz w:val="16"/>
          <w:szCs w:val="16"/>
          <w:lang w:val="en-US"/>
        </w:rPr>
      </w:pPr>
      <w:r w:rsidRPr="00F10409">
        <w:rPr>
          <w:rStyle w:val="FootnoteReference"/>
          <w:sz w:val="16"/>
          <w:szCs w:val="16"/>
          <w:lang w:val="nl-BE"/>
        </w:rPr>
        <w:footnoteRef/>
      </w:r>
      <w:r w:rsidRPr="00910EF2">
        <w:rPr>
          <w:sz w:val="16"/>
          <w:szCs w:val="16"/>
          <w:lang w:val="en-US"/>
        </w:rPr>
        <w:tab/>
        <w:t xml:space="preserve">Court of Appeal Antwerp 20 October 2021, </w:t>
      </w:r>
      <w:proofErr w:type="spellStart"/>
      <w:r w:rsidR="00812E34" w:rsidRPr="00910EF2">
        <w:rPr>
          <w:sz w:val="16"/>
          <w:szCs w:val="16"/>
          <w:lang w:val="en-US"/>
        </w:rPr>
        <w:t>Competitio</w:t>
      </w:r>
      <w:proofErr w:type="spellEnd"/>
      <w:r w:rsidRPr="00910EF2">
        <w:rPr>
          <w:sz w:val="16"/>
          <w:szCs w:val="16"/>
          <w:lang w:val="en-US"/>
        </w:rPr>
        <w:t xml:space="preserve"> 2021</w:t>
      </w:r>
      <w:r w:rsidR="004422FD" w:rsidRPr="00910EF2">
        <w:rPr>
          <w:sz w:val="16"/>
          <w:szCs w:val="16"/>
          <w:lang w:val="en-US"/>
        </w:rPr>
        <w:t>/3</w:t>
      </w:r>
      <w:r w:rsidRPr="00910EF2">
        <w:rPr>
          <w:sz w:val="16"/>
          <w:szCs w:val="16"/>
          <w:lang w:val="en-US"/>
        </w:rPr>
        <w:t xml:space="preserve">, </w:t>
      </w:r>
      <w:r w:rsidR="00812E34" w:rsidRPr="00910EF2">
        <w:rPr>
          <w:sz w:val="16"/>
          <w:szCs w:val="16"/>
          <w:lang w:val="en-US"/>
        </w:rPr>
        <w:t xml:space="preserve">pp. </w:t>
      </w:r>
      <w:r w:rsidRPr="00910EF2">
        <w:rPr>
          <w:sz w:val="16"/>
          <w:szCs w:val="16"/>
          <w:lang w:val="en-US"/>
        </w:rPr>
        <w:t xml:space="preserve">285-289. </w:t>
      </w:r>
    </w:p>
  </w:footnote>
  <w:footnote w:id="74">
    <w:p w14:paraId="692A5153" w14:textId="71BC6B60" w:rsidR="001C7663" w:rsidRPr="00910EF2" w:rsidRDefault="001C7663" w:rsidP="001A67CD">
      <w:pPr>
        <w:pStyle w:val="FootnoteText"/>
        <w:jc w:val="both"/>
        <w:rPr>
          <w:sz w:val="16"/>
          <w:szCs w:val="16"/>
          <w:lang w:val="en-US"/>
        </w:rPr>
      </w:pPr>
      <w:r w:rsidRPr="00F10409">
        <w:rPr>
          <w:rStyle w:val="FootnoteReference"/>
          <w:sz w:val="16"/>
          <w:szCs w:val="16"/>
          <w:lang w:val="nl-BE"/>
        </w:rPr>
        <w:footnoteRef/>
      </w:r>
      <w:r w:rsidRPr="00910EF2">
        <w:rPr>
          <w:sz w:val="16"/>
          <w:szCs w:val="16"/>
          <w:lang w:val="en-US"/>
        </w:rPr>
        <w:tab/>
        <w:t xml:space="preserve">Court of Appeal Ghent 4 April 2022, </w:t>
      </w:r>
      <w:proofErr w:type="spellStart"/>
      <w:r w:rsidR="00812E34" w:rsidRPr="00910EF2">
        <w:rPr>
          <w:sz w:val="16"/>
          <w:szCs w:val="16"/>
          <w:lang w:val="en-US"/>
        </w:rPr>
        <w:t>Competitio</w:t>
      </w:r>
      <w:proofErr w:type="spellEnd"/>
      <w:r w:rsidRPr="00910EF2">
        <w:rPr>
          <w:sz w:val="16"/>
          <w:szCs w:val="16"/>
          <w:lang w:val="en-US"/>
        </w:rPr>
        <w:t xml:space="preserve"> 2022</w:t>
      </w:r>
      <w:r w:rsidR="004422FD" w:rsidRPr="00910EF2">
        <w:rPr>
          <w:sz w:val="16"/>
          <w:szCs w:val="16"/>
          <w:lang w:val="en-US"/>
        </w:rPr>
        <w:t>/1</w:t>
      </w:r>
      <w:r w:rsidRPr="00910EF2">
        <w:rPr>
          <w:sz w:val="16"/>
          <w:szCs w:val="16"/>
          <w:lang w:val="en-US"/>
        </w:rPr>
        <w:t xml:space="preserve">, </w:t>
      </w:r>
      <w:r w:rsidR="00812E34" w:rsidRPr="00910EF2">
        <w:rPr>
          <w:sz w:val="16"/>
          <w:szCs w:val="16"/>
          <w:lang w:val="en-US"/>
        </w:rPr>
        <w:t xml:space="preserve">pp. </w:t>
      </w:r>
      <w:r w:rsidRPr="00910EF2">
        <w:rPr>
          <w:sz w:val="16"/>
          <w:szCs w:val="16"/>
          <w:lang w:val="en-US"/>
        </w:rPr>
        <w:t xml:space="preserve">36-41.  </w:t>
      </w:r>
    </w:p>
  </w:footnote>
  <w:footnote w:id="75">
    <w:p w14:paraId="12555BAC" w14:textId="33DE0EBC" w:rsidR="001C7663" w:rsidRPr="00910EF2" w:rsidRDefault="001C7663" w:rsidP="001A67CD">
      <w:pPr>
        <w:pStyle w:val="FootnoteText"/>
        <w:ind w:left="720" w:hanging="720"/>
        <w:jc w:val="both"/>
        <w:rPr>
          <w:sz w:val="16"/>
          <w:szCs w:val="16"/>
          <w:lang w:val="en-US"/>
        </w:rPr>
      </w:pPr>
      <w:r w:rsidRPr="00F10409">
        <w:rPr>
          <w:rStyle w:val="FootnoteReference"/>
          <w:sz w:val="16"/>
          <w:szCs w:val="16"/>
          <w:lang w:val="nl-BE"/>
        </w:rPr>
        <w:footnoteRef/>
      </w:r>
      <w:r w:rsidRPr="00910EF2">
        <w:rPr>
          <w:sz w:val="16"/>
          <w:szCs w:val="16"/>
          <w:lang w:val="en-US"/>
        </w:rPr>
        <w:tab/>
        <w:t xml:space="preserve">Pres. Enterprise Court Brussels 15 October 2020, </w:t>
      </w:r>
      <w:proofErr w:type="spellStart"/>
      <w:r w:rsidR="00812E34" w:rsidRPr="00910EF2">
        <w:rPr>
          <w:sz w:val="16"/>
          <w:szCs w:val="16"/>
          <w:lang w:val="en-US"/>
        </w:rPr>
        <w:t>Competitio</w:t>
      </w:r>
      <w:proofErr w:type="spellEnd"/>
      <w:r w:rsidRPr="00910EF2">
        <w:rPr>
          <w:sz w:val="16"/>
          <w:szCs w:val="16"/>
          <w:lang w:val="en-US"/>
        </w:rPr>
        <w:t xml:space="preserve"> 2021</w:t>
      </w:r>
      <w:r w:rsidR="0007624B" w:rsidRPr="00910EF2">
        <w:rPr>
          <w:sz w:val="16"/>
          <w:szCs w:val="16"/>
          <w:lang w:val="en-US"/>
        </w:rPr>
        <w:t>/1</w:t>
      </w:r>
      <w:r w:rsidRPr="00910EF2">
        <w:rPr>
          <w:sz w:val="16"/>
          <w:szCs w:val="16"/>
          <w:lang w:val="en-US"/>
        </w:rPr>
        <w:t xml:space="preserve">, </w:t>
      </w:r>
      <w:r w:rsidR="00812E34" w:rsidRPr="00910EF2">
        <w:rPr>
          <w:sz w:val="16"/>
          <w:szCs w:val="16"/>
          <w:lang w:val="en-US"/>
        </w:rPr>
        <w:t xml:space="preserve">pp. </w:t>
      </w:r>
      <w:r w:rsidRPr="00910EF2">
        <w:rPr>
          <w:sz w:val="16"/>
          <w:szCs w:val="16"/>
          <w:lang w:val="en-US"/>
        </w:rPr>
        <w:t xml:space="preserve">58-62; Court of First Instance Brussels 6 December 2021, RABG 2022/10, </w:t>
      </w:r>
      <w:r w:rsidR="00812E34" w:rsidRPr="00910EF2">
        <w:rPr>
          <w:sz w:val="16"/>
          <w:szCs w:val="16"/>
          <w:lang w:val="en-US"/>
        </w:rPr>
        <w:t xml:space="preserve">pp. </w:t>
      </w:r>
      <w:r w:rsidRPr="00910EF2">
        <w:rPr>
          <w:sz w:val="16"/>
          <w:szCs w:val="16"/>
          <w:lang w:val="en-US"/>
        </w:rPr>
        <w:t xml:space="preserve">714-729; Pres. Enterprise Court Brussels 11 February 2021, </w:t>
      </w:r>
      <w:proofErr w:type="spellStart"/>
      <w:r w:rsidR="00812E34" w:rsidRPr="00910EF2">
        <w:rPr>
          <w:sz w:val="16"/>
          <w:szCs w:val="16"/>
          <w:lang w:val="en-US"/>
        </w:rPr>
        <w:t>Competitio</w:t>
      </w:r>
      <w:proofErr w:type="spellEnd"/>
      <w:r w:rsidRPr="00910EF2">
        <w:rPr>
          <w:sz w:val="16"/>
          <w:szCs w:val="16"/>
          <w:lang w:val="en-US"/>
        </w:rPr>
        <w:t xml:space="preserve"> 2021</w:t>
      </w:r>
      <w:r w:rsidR="0007624B" w:rsidRPr="00910EF2">
        <w:rPr>
          <w:sz w:val="16"/>
          <w:szCs w:val="16"/>
          <w:lang w:val="en-US"/>
        </w:rPr>
        <w:t>/2</w:t>
      </w:r>
      <w:r w:rsidRPr="00910EF2">
        <w:rPr>
          <w:sz w:val="16"/>
          <w:szCs w:val="16"/>
          <w:lang w:val="en-US"/>
        </w:rPr>
        <w:t xml:space="preserve">, </w:t>
      </w:r>
      <w:r w:rsidR="00812E34" w:rsidRPr="00910EF2">
        <w:rPr>
          <w:sz w:val="16"/>
          <w:szCs w:val="16"/>
          <w:lang w:val="en-US"/>
        </w:rPr>
        <w:t xml:space="preserve">pp. </w:t>
      </w:r>
      <w:r w:rsidRPr="00910EF2">
        <w:rPr>
          <w:sz w:val="16"/>
          <w:szCs w:val="16"/>
          <w:lang w:val="en-US"/>
        </w:rPr>
        <w:t>166-17</w:t>
      </w:r>
      <w:r w:rsidR="00812E34" w:rsidRPr="00910EF2">
        <w:rPr>
          <w:sz w:val="16"/>
          <w:szCs w:val="16"/>
          <w:lang w:val="en-US"/>
        </w:rPr>
        <w:t>6</w:t>
      </w:r>
      <w:r w:rsidRPr="00910EF2">
        <w:rPr>
          <w:sz w:val="16"/>
          <w:szCs w:val="16"/>
          <w:lang w:val="en-US"/>
        </w:rPr>
        <w:t xml:space="preserve">; Pres. Enterprise Court Antwerp (division Tongeren) 16 April 2021, </w:t>
      </w:r>
      <w:proofErr w:type="spellStart"/>
      <w:r w:rsidR="00812E34" w:rsidRPr="00910EF2">
        <w:rPr>
          <w:sz w:val="16"/>
          <w:szCs w:val="16"/>
          <w:lang w:val="en-US"/>
        </w:rPr>
        <w:t>Competitio</w:t>
      </w:r>
      <w:proofErr w:type="spellEnd"/>
      <w:r w:rsidRPr="00910EF2">
        <w:rPr>
          <w:sz w:val="16"/>
          <w:szCs w:val="16"/>
          <w:lang w:val="en-US"/>
        </w:rPr>
        <w:t xml:space="preserve"> 2021</w:t>
      </w:r>
      <w:r w:rsidR="004422FD" w:rsidRPr="00910EF2">
        <w:rPr>
          <w:sz w:val="16"/>
          <w:szCs w:val="16"/>
          <w:lang w:val="en-US"/>
        </w:rPr>
        <w:t>/2</w:t>
      </w:r>
      <w:r w:rsidRPr="00910EF2">
        <w:rPr>
          <w:sz w:val="16"/>
          <w:szCs w:val="16"/>
          <w:lang w:val="en-US"/>
        </w:rPr>
        <w:t xml:space="preserve">, </w:t>
      </w:r>
      <w:r w:rsidR="00812E34" w:rsidRPr="00910EF2">
        <w:rPr>
          <w:sz w:val="16"/>
          <w:szCs w:val="16"/>
          <w:lang w:val="en-US"/>
        </w:rPr>
        <w:t xml:space="preserve">pp. </w:t>
      </w:r>
      <w:r w:rsidRPr="00910EF2">
        <w:rPr>
          <w:sz w:val="16"/>
          <w:szCs w:val="16"/>
          <w:lang w:val="en-US"/>
        </w:rPr>
        <w:t>159-166; Pres. Enterprise Court Leuven 27 April 2021</w:t>
      </w:r>
      <w:r w:rsidR="004422FD" w:rsidRPr="00910EF2">
        <w:rPr>
          <w:sz w:val="16"/>
          <w:szCs w:val="16"/>
          <w:lang w:val="en-US"/>
        </w:rPr>
        <w:t>/3</w:t>
      </w:r>
      <w:r w:rsidRPr="00910EF2">
        <w:rPr>
          <w:sz w:val="16"/>
          <w:szCs w:val="16"/>
          <w:lang w:val="en-US"/>
        </w:rPr>
        <w:t xml:space="preserve">, </w:t>
      </w:r>
      <w:proofErr w:type="spellStart"/>
      <w:r w:rsidR="00812E34" w:rsidRPr="00910EF2">
        <w:rPr>
          <w:sz w:val="16"/>
          <w:szCs w:val="16"/>
          <w:lang w:val="en-US"/>
        </w:rPr>
        <w:t>Competitio</w:t>
      </w:r>
      <w:proofErr w:type="spellEnd"/>
      <w:r w:rsidRPr="00910EF2">
        <w:rPr>
          <w:sz w:val="16"/>
          <w:szCs w:val="16"/>
          <w:lang w:val="en-US"/>
        </w:rPr>
        <w:t xml:space="preserve"> 2021</w:t>
      </w:r>
      <w:r w:rsidR="004422FD" w:rsidRPr="00910EF2">
        <w:rPr>
          <w:sz w:val="16"/>
          <w:szCs w:val="16"/>
          <w:lang w:val="en-US"/>
        </w:rPr>
        <w:t>/3</w:t>
      </w:r>
      <w:r w:rsidRPr="00910EF2">
        <w:rPr>
          <w:sz w:val="16"/>
          <w:szCs w:val="16"/>
          <w:lang w:val="en-US"/>
        </w:rPr>
        <w:t xml:space="preserve">, </w:t>
      </w:r>
      <w:r w:rsidR="00812E34" w:rsidRPr="00910EF2">
        <w:rPr>
          <w:sz w:val="16"/>
          <w:szCs w:val="16"/>
          <w:lang w:val="en-US"/>
        </w:rPr>
        <w:t xml:space="preserve">pp. </w:t>
      </w:r>
      <w:r w:rsidRPr="00910EF2">
        <w:rPr>
          <w:sz w:val="16"/>
          <w:szCs w:val="16"/>
          <w:lang w:val="en-US"/>
        </w:rPr>
        <w:t xml:space="preserve">275-280; Enterprise Court Brussels 21 October 2021, </w:t>
      </w:r>
      <w:proofErr w:type="spellStart"/>
      <w:r w:rsidR="00812E34" w:rsidRPr="00910EF2">
        <w:rPr>
          <w:sz w:val="16"/>
          <w:szCs w:val="16"/>
          <w:lang w:val="en-US"/>
        </w:rPr>
        <w:t>Competitio</w:t>
      </w:r>
      <w:proofErr w:type="spellEnd"/>
      <w:r w:rsidRPr="00910EF2">
        <w:rPr>
          <w:sz w:val="16"/>
          <w:szCs w:val="16"/>
          <w:lang w:val="en-US"/>
        </w:rPr>
        <w:t xml:space="preserve"> 2021</w:t>
      </w:r>
      <w:r w:rsidR="004422FD" w:rsidRPr="00910EF2">
        <w:rPr>
          <w:sz w:val="16"/>
          <w:szCs w:val="16"/>
          <w:lang w:val="en-US"/>
        </w:rPr>
        <w:t>/3</w:t>
      </w:r>
      <w:r w:rsidRPr="00910EF2">
        <w:rPr>
          <w:sz w:val="16"/>
          <w:szCs w:val="16"/>
          <w:lang w:val="en-US"/>
        </w:rPr>
        <w:t xml:space="preserve">, </w:t>
      </w:r>
      <w:r w:rsidR="00812E34" w:rsidRPr="00910EF2">
        <w:rPr>
          <w:sz w:val="16"/>
          <w:szCs w:val="16"/>
          <w:lang w:val="en-US"/>
        </w:rPr>
        <w:t xml:space="preserve">pp. </w:t>
      </w:r>
      <w:r w:rsidRPr="00910EF2">
        <w:rPr>
          <w:sz w:val="16"/>
          <w:szCs w:val="16"/>
          <w:lang w:val="en-US"/>
        </w:rPr>
        <w:t xml:space="preserve">290-294. </w:t>
      </w:r>
    </w:p>
  </w:footnote>
  <w:footnote w:id="76">
    <w:p w14:paraId="3053A7C4" w14:textId="75E36E38" w:rsidR="001C7663" w:rsidRPr="00910EF2" w:rsidRDefault="001C7663" w:rsidP="001A67CD">
      <w:pPr>
        <w:pStyle w:val="FootnoteText"/>
        <w:tabs>
          <w:tab w:val="left" w:pos="720"/>
          <w:tab w:val="center" w:pos="4609"/>
        </w:tabs>
        <w:ind w:left="720" w:hanging="720"/>
        <w:jc w:val="both"/>
        <w:rPr>
          <w:sz w:val="16"/>
          <w:szCs w:val="16"/>
          <w:lang w:val="en-US"/>
        </w:rPr>
      </w:pPr>
      <w:r w:rsidRPr="00F10409">
        <w:rPr>
          <w:rStyle w:val="FootnoteReference"/>
          <w:sz w:val="16"/>
          <w:szCs w:val="16"/>
          <w:lang w:val="nl-BE"/>
        </w:rPr>
        <w:footnoteRef/>
      </w:r>
      <w:r w:rsidRPr="00910EF2">
        <w:rPr>
          <w:sz w:val="16"/>
          <w:szCs w:val="16"/>
          <w:lang w:val="en-US"/>
        </w:rPr>
        <w:tab/>
        <w:t>Pres. Enterprise Court Ghent 28 October 2020, TBH 2020</w:t>
      </w:r>
      <w:r w:rsidR="004422FD" w:rsidRPr="00910EF2">
        <w:rPr>
          <w:sz w:val="16"/>
          <w:szCs w:val="16"/>
          <w:lang w:val="en-US"/>
        </w:rPr>
        <w:t>/4</w:t>
      </w:r>
      <w:r w:rsidRPr="00910EF2">
        <w:rPr>
          <w:sz w:val="16"/>
          <w:szCs w:val="16"/>
          <w:lang w:val="en-US"/>
        </w:rPr>
        <w:t xml:space="preserve">, </w:t>
      </w:r>
      <w:r w:rsidR="00812E34" w:rsidRPr="00910EF2">
        <w:rPr>
          <w:sz w:val="16"/>
          <w:szCs w:val="16"/>
          <w:lang w:val="en-US"/>
        </w:rPr>
        <w:t xml:space="preserve">pp. </w:t>
      </w:r>
      <w:r w:rsidRPr="00910EF2">
        <w:rPr>
          <w:sz w:val="16"/>
          <w:szCs w:val="16"/>
          <w:lang w:val="en-US"/>
        </w:rPr>
        <w:t xml:space="preserve">514-517; Pres. Enterprise Court Brussels 16 March 2021, </w:t>
      </w:r>
      <w:proofErr w:type="spellStart"/>
      <w:r w:rsidR="00812E34" w:rsidRPr="00910EF2">
        <w:rPr>
          <w:sz w:val="16"/>
          <w:szCs w:val="16"/>
          <w:lang w:val="en-US"/>
        </w:rPr>
        <w:t>Competitio</w:t>
      </w:r>
      <w:proofErr w:type="spellEnd"/>
      <w:r w:rsidRPr="00910EF2">
        <w:rPr>
          <w:sz w:val="16"/>
          <w:szCs w:val="16"/>
          <w:lang w:val="en-US"/>
        </w:rPr>
        <w:t xml:space="preserve"> 2021</w:t>
      </w:r>
      <w:r w:rsidR="0007624B" w:rsidRPr="00910EF2">
        <w:rPr>
          <w:sz w:val="16"/>
          <w:szCs w:val="16"/>
          <w:lang w:val="en-US"/>
        </w:rPr>
        <w:t>/2</w:t>
      </w:r>
      <w:r w:rsidRPr="00910EF2">
        <w:rPr>
          <w:sz w:val="16"/>
          <w:szCs w:val="16"/>
          <w:lang w:val="en-US"/>
        </w:rPr>
        <w:t xml:space="preserve">, </w:t>
      </w:r>
      <w:r w:rsidR="00812E34" w:rsidRPr="00910EF2">
        <w:rPr>
          <w:sz w:val="16"/>
          <w:szCs w:val="16"/>
          <w:lang w:val="en-US"/>
        </w:rPr>
        <w:t xml:space="preserve">pp. </w:t>
      </w:r>
      <w:r w:rsidRPr="00910EF2">
        <w:rPr>
          <w:sz w:val="16"/>
          <w:szCs w:val="16"/>
          <w:lang w:val="en-US"/>
        </w:rPr>
        <w:t xml:space="preserve">187-194; </w:t>
      </w:r>
      <w:r w:rsidR="00714CCA" w:rsidRPr="00910EF2">
        <w:rPr>
          <w:sz w:val="16"/>
          <w:szCs w:val="16"/>
          <w:lang w:val="en-US"/>
        </w:rPr>
        <w:t xml:space="preserve">Pres. Enterprise Court Antwerp (division Tongeren) 16 April 2021, </w:t>
      </w:r>
      <w:proofErr w:type="spellStart"/>
      <w:r w:rsidR="00812E34" w:rsidRPr="00910EF2">
        <w:rPr>
          <w:sz w:val="16"/>
          <w:szCs w:val="16"/>
          <w:lang w:val="en-US"/>
        </w:rPr>
        <w:t>Competitio</w:t>
      </w:r>
      <w:proofErr w:type="spellEnd"/>
      <w:r w:rsidR="00714CCA" w:rsidRPr="00910EF2">
        <w:rPr>
          <w:sz w:val="16"/>
          <w:szCs w:val="16"/>
          <w:lang w:val="en-US"/>
        </w:rPr>
        <w:t xml:space="preserve"> 2021</w:t>
      </w:r>
      <w:r w:rsidR="004422FD" w:rsidRPr="00910EF2">
        <w:rPr>
          <w:sz w:val="16"/>
          <w:szCs w:val="16"/>
          <w:lang w:val="en-US"/>
        </w:rPr>
        <w:t>/2</w:t>
      </w:r>
      <w:r w:rsidR="00714CCA" w:rsidRPr="00910EF2">
        <w:rPr>
          <w:sz w:val="16"/>
          <w:szCs w:val="16"/>
          <w:lang w:val="en-US"/>
        </w:rPr>
        <w:t xml:space="preserve">, </w:t>
      </w:r>
      <w:r w:rsidR="00812E34" w:rsidRPr="00910EF2">
        <w:rPr>
          <w:sz w:val="16"/>
          <w:szCs w:val="16"/>
          <w:lang w:val="en-US"/>
        </w:rPr>
        <w:t xml:space="preserve">pp. </w:t>
      </w:r>
      <w:r w:rsidR="00714CCA" w:rsidRPr="00910EF2">
        <w:rPr>
          <w:sz w:val="16"/>
          <w:szCs w:val="16"/>
          <w:lang w:val="en-US"/>
        </w:rPr>
        <w:t xml:space="preserve">159-166;  Enterprise Court Brussels 26 July 2022, </w:t>
      </w:r>
      <w:proofErr w:type="spellStart"/>
      <w:r w:rsidR="00812E34" w:rsidRPr="00910EF2">
        <w:rPr>
          <w:sz w:val="16"/>
          <w:szCs w:val="16"/>
          <w:lang w:val="en-US"/>
        </w:rPr>
        <w:t>Competitio</w:t>
      </w:r>
      <w:proofErr w:type="spellEnd"/>
      <w:r w:rsidR="00714CCA" w:rsidRPr="00910EF2">
        <w:rPr>
          <w:sz w:val="16"/>
          <w:szCs w:val="16"/>
          <w:lang w:val="en-US"/>
        </w:rPr>
        <w:t xml:space="preserve"> 2022</w:t>
      </w:r>
      <w:r w:rsidR="0007624B" w:rsidRPr="00910EF2">
        <w:rPr>
          <w:sz w:val="16"/>
          <w:szCs w:val="16"/>
          <w:lang w:val="en-US"/>
        </w:rPr>
        <w:t>/2</w:t>
      </w:r>
      <w:r w:rsidR="00714CCA" w:rsidRPr="00910EF2">
        <w:rPr>
          <w:sz w:val="16"/>
          <w:szCs w:val="16"/>
          <w:lang w:val="en-US"/>
        </w:rPr>
        <w:t xml:space="preserve">, </w:t>
      </w:r>
      <w:r w:rsidR="00812E34" w:rsidRPr="00910EF2">
        <w:rPr>
          <w:sz w:val="16"/>
          <w:szCs w:val="16"/>
          <w:lang w:val="en-US"/>
        </w:rPr>
        <w:t xml:space="preserve">pp. </w:t>
      </w:r>
      <w:r w:rsidR="00714CCA" w:rsidRPr="00910EF2">
        <w:rPr>
          <w:sz w:val="16"/>
          <w:szCs w:val="16"/>
          <w:lang w:val="en-US"/>
        </w:rPr>
        <w:t>137-158.</w:t>
      </w:r>
    </w:p>
  </w:footnote>
  <w:footnote w:id="77">
    <w:p w14:paraId="7D6090B8" w14:textId="77777777" w:rsidR="00552569" w:rsidRPr="00910EF2" w:rsidRDefault="00552569" w:rsidP="00552569">
      <w:pPr>
        <w:pStyle w:val="FootnoteText"/>
        <w:jc w:val="both"/>
        <w:rPr>
          <w:sz w:val="16"/>
          <w:szCs w:val="16"/>
          <w:lang w:val="en-US"/>
        </w:rPr>
      </w:pPr>
      <w:r w:rsidRPr="00F10409">
        <w:rPr>
          <w:rStyle w:val="FootnoteReference"/>
          <w:sz w:val="16"/>
          <w:szCs w:val="16"/>
          <w:lang w:val="nl-BE"/>
        </w:rPr>
        <w:footnoteRef/>
      </w:r>
      <w:r w:rsidRPr="00910EF2">
        <w:rPr>
          <w:sz w:val="16"/>
          <w:szCs w:val="16"/>
          <w:lang w:val="en-US"/>
        </w:rPr>
        <w:tab/>
        <w:t xml:space="preserve">Court of Appeal Antwerp 20 October 2021, </w:t>
      </w:r>
      <w:proofErr w:type="spellStart"/>
      <w:r w:rsidRPr="00910EF2">
        <w:rPr>
          <w:sz w:val="16"/>
          <w:szCs w:val="16"/>
          <w:lang w:val="en-US"/>
        </w:rPr>
        <w:t>Competitio</w:t>
      </w:r>
      <w:proofErr w:type="spellEnd"/>
      <w:r w:rsidRPr="00910EF2">
        <w:rPr>
          <w:sz w:val="16"/>
          <w:szCs w:val="16"/>
          <w:lang w:val="en-US"/>
        </w:rPr>
        <w:t xml:space="preserve"> 2021/3, pp. 285-289. </w:t>
      </w:r>
    </w:p>
  </w:footnote>
  <w:footnote w:id="78">
    <w:p w14:paraId="7C9CE5BD" w14:textId="77777777" w:rsidR="00552569" w:rsidRPr="00910EF2" w:rsidRDefault="00552569" w:rsidP="00552569">
      <w:pPr>
        <w:pStyle w:val="FootnoteText"/>
        <w:ind w:left="720" w:hanging="720"/>
        <w:jc w:val="both"/>
        <w:rPr>
          <w:sz w:val="16"/>
          <w:szCs w:val="16"/>
          <w:lang w:val="en-US"/>
        </w:rPr>
      </w:pPr>
      <w:r w:rsidRPr="00F10409">
        <w:rPr>
          <w:rStyle w:val="FootnoteReference"/>
          <w:sz w:val="16"/>
          <w:szCs w:val="16"/>
          <w:lang w:val="nl-BE"/>
        </w:rPr>
        <w:footnoteRef/>
      </w:r>
      <w:r w:rsidRPr="00910EF2">
        <w:rPr>
          <w:sz w:val="16"/>
          <w:szCs w:val="16"/>
          <w:lang w:val="en-US"/>
        </w:rPr>
        <w:tab/>
        <w:t xml:space="preserve">Supreme Court 7 January 2000, AR C.99.0233.N, </w:t>
      </w:r>
      <w:hyperlink r:id="rId17" w:history="1">
        <w:r w:rsidRPr="00910EF2">
          <w:rPr>
            <w:rStyle w:val="Hyperlink"/>
            <w:color w:val="auto"/>
            <w:sz w:val="16"/>
            <w:szCs w:val="16"/>
            <w:lang w:val="en-US"/>
          </w:rPr>
          <w:t>www.juportal.be</w:t>
        </w:r>
      </w:hyperlink>
      <w:r w:rsidRPr="00910EF2">
        <w:rPr>
          <w:sz w:val="16"/>
          <w:szCs w:val="16"/>
          <w:lang w:val="en-US"/>
        </w:rPr>
        <w:t xml:space="preserve">. </w:t>
      </w:r>
    </w:p>
  </w:footnote>
  <w:footnote w:id="79">
    <w:p w14:paraId="178AB413" w14:textId="7652F58F" w:rsidR="008D6633" w:rsidRPr="00F10409" w:rsidRDefault="008D6633" w:rsidP="001A67CD">
      <w:pPr>
        <w:pStyle w:val="FootnoteText"/>
        <w:ind w:left="720" w:hanging="720"/>
        <w:jc w:val="both"/>
        <w:rPr>
          <w:sz w:val="16"/>
          <w:szCs w:val="16"/>
          <w:lang w:val="nl-BE"/>
        </w:rPr>
      </w:pPr>
      <w:r w:rsidRPr="00F10409">
        <w:rPr>
          <w:rStyle w:val="FootnoteReference"/>
          <w:sz w:val="16"/>
          <w:szCs w:val="16"/>
          <w:lang w:val="nl-BE"/>
        </w:rPr>
        <w:footnoteRef/>
      </w:r>
      <w:r w:rsidRPr="00910EF2">
        <w:rPr>
          <w:sz w:val="16"/>
          <w:szCs w:val="16"/>
          <w:lang w:val="fr-FR"/>
        </w:rPr>
        <w:tab/>
        <w:t xml:space="preserve">Pres. Enterprise Court Brussels 11 </w:t>
      </w:r>
      <w:proofErr w:type="spellStart"/>
      <w:r w:rsidRPr="00910EF2">
        <w:rPr>
          <w:sz w:val="16"/>
          <w:szCs w:val="16"/>
          <w:lang w:val="fr-FR"/>
        </w:rPr>
        <w:t>February</w:t>
      </w:r>
      <w:proofErr w:type="spellEnd"/>
      <w:r w:rsidRPr="00910EF2">
        <w:rPr>
          <w:sz w:val="16"/>
          <w:szCs w:val="16"/>
          <w:lang w:val="fr-FR"/>
        </w:rPr>
        <w:t xml:space="preserve"> 2021, </w:t>
      </w:r>
      <w:proofErr w:type="spellStart"/>
      <w:r w:rsidR="00812E34" w:rsidRPr="00910EF2">
        <w:rPr>
          <w:sz w:val="16"/>
          <w:szCs w:val="16"/>
          <w:lang w:val="fr-FR"/>
        </w:rPr>
        <w:t>Competitio</w:t>
      </w:r>
      <w:proofErr w:type="spellEnd"/>
      <w:r w:rsidRPr="00910EF2">
        <w:rPr>
          <w:sz w:val="16"/>
          <w:szCs w:val="16"/>
          <w:lang w:val="fr-FR"/>
        </w:rPr>
        <w:t xml:space="preserve"> 2021</w:t>
      </w:r>
      <w:r w:rsidR="0007624B" w:rsidRPr="00910EF2">
        <w:rPr>
          <w:sz w:val="16"/>
          <w:szCs w:val="16"/>
          <w:lang w:val="fr-FR"/>
        </w:rPr>
        <w:t>/2</w:t>
      </w:r>
      <w:r w:rsidRPr="00910EF2">
        <w:rPr>
          <w:sz w:val="16"/>
          <w:szCs w:val="16"/>
          <w:lang w:val="fr-FR"/>
        </w:rPr>
        <w:t>,</w:t>
      </w:r>
      <w:r w:rsidR="00812E34" w:rsidRPr="00910EF2">
        <w:rPr>
          <w:sz w:val="16"/>
          <w:szCs w:val="16"/>
          <w:lang w:val="fr-FR"/>
        </w:rPr>
        <w:t xml:space="preserve"> pp.</w:t>
      </w:r>
      <w:r w:rsidRPr="00910EF2">
        <w:rPr>
          <w:sz w:val="16"/>
          <w:szCs w:val="16"/>
          <w:lang w:val="fr-FR"/>
        </w:rPr>
        <w:t xml:space="preserve"> 166-176; J. </w:t>
      </w:r>
      <w:r w:rsidR="00812E34" w:rsidRPr="00910EF2">
        <w:rPr>
          <w:sz w:val="16"/>
          <w:szCs w:val="16"/>
          <w:lang w:val="fr-FR"/>
        </w:rPr>
        <w:t>Leonard</w:t>
      </w:r>
      <w:r w:rsidRPr="00910EF2">
        <w:rPr>
          <w:sz w:val="16"/>
          <w:szCs w:val="16"/>
          <w:lang w:val="fr-FR"/>
        </w:rPr>
        <w:t xml:space="preserve"> and E. </w:t>
      </w:r>
      <w:r w:rsidR="00812E34" w:rsidRPr="00910EF2">
        <w:rPr>
          <w:sz w:val="16"/>
          <w:szCs w:val="16"/>
          <w:lang w:val="fr-FR"/>
        </w:rPr>
        <w:t>Pieters</w:t>
      </w:r>
      <w:r w:rsidRPr="00910EF2">
        <w:rPr>
          <w:sz w:val="16"/>
          <w:szCs w:val="16"/>
          <w:lang w:val="fr-FR"/>
        </w:rPr>
        <w:t xml:space="preserve">, L’abus de dépendance économique en droit belge de la concurrence. </w:t>
      </w:r>
      <w:r w:rsidRPr="00F10409">
        <w:rPr>
          <w:sz w:val="16"/>
          <w:szCs w:val="16"/>
          <w:lang w:val="nl-BE"/>
        </w:rPr>
        <w:t xml:space="preserve">Aperçu de la </w:t>
      </w:r>
      <w:proofErr w:type="spellStart"/>
      <w:r w:rsidRPr="00F10409">
        <w:rPr>
          <w:sz w:val="16"/>
          <w:szCs w:val="16"/>
          <w:lang w:val="nl-BE"/>
        </w:rPr>
        <w:t>loi</w:t>
      </w:r>
      <w:proofErr w:type="spellEnd"/>
      <w:r w:rsidRPr="00F10409">
        <w:rPr>
          <w:sz w:val="16"/>
          <w:szCs w:val="16"/>
          <w:lang w:val="nl-BE"/>
        </w:rPr>
        <w:t xml:space="preserve"> du 4 </w:t>
      </w:r>
      <w:proofErr w:type="spellStart"/>
      <w:r w:rsidRPr="00F10409">
        <w:rPr>
          <w:sz w:val="16"/>
          <w:szCs w:val="16"/>
          <w:lang w:val="nl-BE"/>
        </w:rPr>
        <w:t>avril</w:t>
      </w:r>
      <w:proofErr w:type="spellEnd"/>
      <w:r w:rsidRPr="00F10409">
        <w:rPr>
          <w:sz w:val="16"/>
          <w:szCs w:val="16"/>
          <w:lang w:val="nl-BE"/>
        </w:rPr>
        <w:t xml:space="preserve"> 2019 </w:t>
      </w:r>
      <w:proofErr w:type="spellStart"/>
      <w:r w:rsidRPr="00F10409">
        <w:rPr>
          <w:sz w:val="16"/>
          <w:szCs w:val="16"/>
          <w:lang w:val="nl-BE"/>
        </w:rPr>
        <w:t>modifiant</w:t>
      </w:r>
      <w:proofErr w:type="spellEnd"/>
      <w:r w:rsidRPr="00F10409">
        <w:rPr>
          <w:sz w:val="16"/>
          <w:szCs w:val="16"/>
          <w:lang w:val="nl-BE"/>
        </w:rPr>
        <w:t xml:space="preserve"> </w:t>
      </w:r>
      <w:proofErr w:type="spellStart"/>
      <w:r w:rsidRPr="00F10409">
        <w:rPr>
          <w:sz w:val="16"/>
          <w:szCs w:val="16"/>
          <w:lang w:val="nl-BE"/>
        </w:rPr>
        <w:t>le</w:t>
      </w:r>
      <w:proofErr w:type="spellEnd"/>
      <w:r w:rsidRPr="00F10409">
        <w:rPr>
          <w:sz w:val="16"/>
          <w:szCs w:val="16"/>
          <w:lang w:val="nl-BE"/>
        </w:rPr>
        <w:t xml:space="preserve"> Code de </w:t>
      </w:r>
      <w:proofErr w:type="spellStart"/>
      <w:r w:rsidRPr="00F10409">
        <w:rPr>
          <w:sz w:val="16"/>
          <w:szCs w:val="16"/>
          <w:lang w:val="nl-BE"/>
        </w:rPr>
        <w:t>droit</w:t>
      </w:r>
      <w:proofErr w:type="spellEnd"/>
      <w:r w:rsidRPr="00F10409">
        <w:rPr>
          <w:sz w:val="16"/>
          <w:szCs w:val="16"/>
          <w:lang w:val="nl-BE"/>
        </w:rPr>
        <w:t xml:space="preserve"> </w:t>
      </w:r>
      <w:proofErr w:type="spellStart"/>
      <w:r w:rsidRPr="00F10409">
        <w:rPr>
          <w:sz w:val="16"/>
          <w:szCs w:val="16"/>
          <w:lang w:val="nl-BE"/>
        </w:rPr>
        <w:t>économique</w:t>
      </w:r>
      <w:proofErr w:type="spellEnd"/>
      <w:r w:rsidRPr="00F10409">
        <w:rPr>
          <w:sz w:val="16"/>
          <w:szCs w:val="16"/>
          <w:lang w:val="nl-BE"/>
        </w:rPr>
        <w:t xml:space="preserve">, </w:t>
      </w:r>
      <w:proofErr w:type="spellStart"/>
      <w:r w:rsidRPr="00F10409">
        <w:rPr>
          <w:sz w:val="16"/>
          <w:szCs w:val="16"/>
          <w:lang w:val="nl-BE"/>
        </w:rPr>
        <w:t>Competitio</w:t>
      </w:r>
      <w:proofErr w:type="spellEnd"/>
      <w:r w:rsidRPr="00F10409">
        <w:rPr>
          <w:sz w:val="16"/>
          <w:szCs w:val="16"/>
          <w:lang w:val="nl-BE"/>
        </w:rPr>
        <w:t xml:space="preserve"> 2019/1, </w:t>
      </w:r>
      <w:r w:rsidR="00812E34" w:rsidRPr="00F10409">
        <w:rPr>
          <w:sz w:val="16"/>
          <w:szCs w:val="16"/>
          <w:lang w:val="nl-BE"/>
        </w:rPr>
        <w:t>p.</w:t>
      </w:r>
      <w:r w:rsidRPr="00F10409">
        <w:rPr>
          <w:sz w:val="16"/>
          <w:szCs w:val="16"/>
          <w:lang w:val="nl-BE"/>
        </w:rPr>
        <w:t xml:space="preserve"> 15; M. </w:t>
      </w:r>
      <w:proofErr w:type="spellStart"/>
      <w:r w:rsidRPr="00F10409">
        <w:rPr>
          <w:sz w:val="16"/>
          <w:szCs w:val="16"/>
          <w:lang w:val="nl-BE"/>
        </w:rPr>
        <w:t>V</w:t>
      </w:r>
      <w:r w:rsidR="00812E34" w:rsidRPr="00F10409">
        <w:rPr>
          <w:sz w:val="16"/>
          <w:szCs w:val="16"/>
          <w:lang w:val="nl-BE"/>
        </w:rPr>
        <w:t>ancaillie</w:t>
      </w:r>
      <w:proofErr w:type="spellEnd"/>
      <w:r w:rsidRPr="00F10409">
        <w:rPr>
          <w:sz w:val="16"/>
          <w:szCs w:val="16"/>
          <w:lang w:val="nl-BE"/>
        </w:rPr>
        <w:t xml:space="preserve">, Eerste verjaardag verbod van misbruik economische afhankelijkheid: voorlopig een relatief rustig koekoeksjong, </w:t>
      </w:r>
      <w:proofErr w:type="spellStart"/>
      <w:r w:rsidR="00812E34" w:rsidRPr="00F10409">
        <w:rPr>
          <w:sz w:val="16"/>
          <w:szCs w:val="16"/>
          <w:lang w:val="nl-BE"/>
        </w:rPr>
        <w:t>Competitio</w:t>
      </w:r>
      <w:proofErr w:type="spellEnd"/>
      <w:r w:rsidRPr="00F10409">
        <w:rPr>
          <w:sz w:val="16"/>
          <w:szCs w:val="16"/>
          <w:lang w:val="nl-BE"/>
        </w:rPr>
        <w:t xml:space="preserve"> 2021</w:t>
      </w:r>
      <w:r w:rsidR="0007624B" w:rsidRPr="00F10409">
        <w:rPr>
          <w:sz w:val="16"/>
          <w:szCs w:val="16"/>
          <w:lang w:val="nl-BE"/>
        </w:rPr>
        <w:t>/3</w:t>
      </w:r>
      <w:r w:rsidRPr="00F10409">
        <w:rPr>
          <w:sz w:val="16"/>
          <w:szCs w:val="16"/>
          <w:lang w:val="nl-BE"/>
        </w:rPr>
        <w:t xml:space="preserve">, </w:t>
      </w:r>
      <w:r w:rsidR="00812E34" w:rsidRPr="00F10409">
        <w:rPr>
          <w:sz w:val="16"/>
          <w:szCs w:val="16"/>
          <w:lang w:val="nl-BE"/>
        </w:rPr>
        <w:t xml:space="preserve">p. </w:t>
      </w:r>
      <w:r w:rsidRPr="00F10409">
        <w:rPr>
          <w:sz w:val="16"/>
          <w:szCs w:val="16"/>
          <w:lang w:val="nl-BE"/>
        </w:rPr>
        <w:t>261.</w:t>
      </w:r>
    </w:p>
  </w:footnote>
  <w:footnote w:id="80">
    <w:p w14:paraId="5E4FA558" w14:textId="79DD015A" w:rsidR="008D6633" w:rsidRPr="00F10409" w:rsidRDefault="008D6633"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t>J. W</w:t>
      </w:r>
      <w:r w:rsidR="00812E34" w:rsidRPr="00F10409">
        <w:rPr>
          <w:sz w:val="16"/>
          <w:szCs w:val="16"/>
          <w:lang w:val="nl-BE"/>
        </w:rPr>
        <w:t>illems</w:t>
      </w:r>
      <w:r w:rsidRPr="00F10409">
        <w:rPr>
          <w:sz w:val="16"/>
          <w:szCs w:val="16"/>
          <w:lang w:val="nl-BE"/>
        </w:rPr>
        <w:t xml:space="preserve"> and K. J</w:t>
      </w:r>
      <w:r w:rsidR="00812E34" w:rsidRPr="00F10409">
        <w:rPr>
          <w:sz w:val="16"/>
          <w:szCs w:val="16"/>
          <w:lang w:val="nl-BE"/>
        </w:rPr>
        <w:t>anssens</w:t>
      </w:r>
      <w:r w:rsidRPr="00F10409">
        <w:rPr>
          <w:sz w:val="16"/>
          <w:szCs w:val="16"/>
          <w:lang w:val="nl-BE"/>
        </w:rPr>
        <w:t xml:space="preserve">, Misbruik van economische afhankelijkheid: concrete toepassingen in de rechtspraak. </w:t>
      </w:r>
      <w:proofErr w:type="spellStart"/>
      <w:r w:rsidRPr="00F10409">
        <w:rPr>
          <w:sz w:val="16"/>
          <w:szCs w:val="16"/>
          <w:lang w:val="nl-BE"/>
        </w:rPr>
        <w:t>Orb</w:t>
      </w:r>
      <w:proofErr w:type="spellEnd"/>
      <w:r w:rsidRPr="00F10409">
        <w:rPr>
          <w:sz w:val="16"/>
          <w:szCs w:val="16"/>
          <w:lang w:val="nl-BE"/>
        </w:rPr>
        <w:t>. Brussel 11 februari 2021, 2021, ww.legalnews.be/handel-consument/misbruik-van-economische-afhankelijkheid-concrete-toepassingen-in-de-rechtspraak-lydian/</w:t>
      </w:r>
      <w:r w:rsidR="00812E34" w:rsidRPr="00F10409">
        <w:rPr>
          <w:sz w:val="16"/>
          <w:szCs w:val="16"/>
          <w:lang w:val="nl-BE"/>
        </w:rPr>
        <w:t xml:space="preserve">; M. </w:t>
      </w:r>
      <w:proofErr w:type="spellStart"/>
      <w:r w:rsidR="00812E34" w:rsidRPr="00F10409">
        <w:rPr>
          <w:sz w:val="16"/>
          <w:szCs w:val="16"/>
          <w:lang w:val="nl-BE"/>
        </w:rPr>
        <w:t>Vancaillie</w:t>
      </w:r>
      <w:proofErr w:type="spellEnd"/>
      <w:r w:rsidR="00812E34" w:rsidRPr="00F10409">
        <w:rPr>
          <w:sz w:val="16"/>
          <w:szCs w:val="16"/>
          <w:lang w:val="nl-BE"/>
        </w:rPr>
        <w:t xml:space="preserve">, Eerste verjaardag verbod van misbruik economische afhankelijkheid: voorlopig een relatief rustig koekoeksjong”, </w:t>
      </w:r>
      <w:proofErr w:type="spellStart"/>
      <w:r w:rsidR="00812E34" w:rsidRPr="00F10409">
        <w:rPr>
          <w:sz w:val="16"/>
          <w:szCs w:val="16"/>
          <w:lang w:val="nl-BE"/>
        </w:rPr>
        <w:t>Competitio</w:t>
      </w:r>
      <w:proofErr w:type="spellEnd"/>
      <w:r w:rsidR="00812E34" w:rsidRPr="00F10409">
        <w:rPr>
          <w:sz w:val="16"/>
          <w:szCs w:val="16"/>
          <w:lang w:val="nl-BE"/>
        </w:rPr>
        <w:t xml:space="preserve"> 2021</w:t>
      </w:r>
      <w:r w:rsidR="0007624B" w:rsidRPr="00F10409">
        <w:rPr>
          <w:sz w:val="16"/>
          <w:szCs w:val="16"/>
          <w:lang w:val="nl-BE"/>
        </w:rPr>
        <w:t>/3</w:t>
      </w:r>
      <w:r w:rsidR="00812E34" w:rsidRPr="00F10409">
        <w:rPr>
          <w:sz w:val="16"/>
          <w:szCs w:val="16"/>
          <w:lang w:val="nl-BE"/>
        </w:rPr>
        <w:t>, p. 261.</w:t>
      </w:r>
    </w:p>
  </w:footnote>
  <w:footnote w:id="81">
    <w:p w14:paraId="3E4BCDE3" w14:textId="1A2BFCA0" w:rsidR="00904B52" w:rsidRPr="00910EF2" w:rsidRDefault="00904B52" w:rsidP="001A67CD">
      <w:pPr>
        <w:pStyle w:val="FootnoteText"/>
        <w:jc w:val="both"/>
        <w:rPr>
          <w:sz w:val="16"/>
          <w:szCs w:val="16"/>
          <w:lang w:val="en-US"/>
        </w:rPr>
      </w:pPr>
      <w:r w:rsidRPr="00F10409">
        <w:rPr>
          <w:rStyle w:val="FootnoteReference"/>
          <w:sz w:val="16"/>
          <w:szCs w:val="16"/>
          <w:lang w:val="nl-BE"/>
        </w:rPr>
        <w:footnoteRef/>
      </w:r>
      <w:r w:rsidRPr="00910EF2">
        <w:rPr>
          <w:sz w:val="16"/>
          <w:szCs w:val="16"/>
          <w:lang w:val="en-US"/>
        </w:rPr>
        <w:tab/>
        <w:t xml:space="preserve">Pres. Enterprise Court Antwerp (division Tongeren) 16 April 2021, </w:t>
      </w:r>
      <w:proofErr w:type="spellStart"/>
      <w:r w:rsidR="00812E34" w:rsidRPr="00910EF2">
        <w:rPr>
          <w:sz w:val="16"/>
          <w:szCs w:val="16"/>
          <w:lang w:val="en-US"/>
        </w:rPr>
        <w:t>Competitio</w:t>
      </w:r>
      <w:proofErr w:type="spellEnd"/>
      <w:r w:rsidRPr="00910EF2">
        <w:rPr>
          <w:sz w:val="16"/>
          <w:szCs w:val="16"/>
          <w:lang w:val="en-US"/>
        </w:rPr>
        <w:t xml:space="preserve"> 2021</w:t>
      </w:r>
      <w:r w:rsidR="004422FD" w:rsidRPr="00910EF2">
        <w:rPr>
          <w:sz w:val="16"/>
          <w:szCs w:val="16"/>
          <w:lang w:val="en-US"/>
        </w:rPr>
        <w:t>/2</w:t>
      </w:r>
      <w:r w:rsidRPr="00910EF2">
        <w:rPr>
          <w:sz w:val="16"/>
          <w:szCs w:val="16"/>
          <w:lang w:val="en-US"/>
        </w:rPr>
        <w:t xml:space="preserve">, </w:t>
      </w:r>
      <w:r w:rsidR="00812E34" w:rsidRPr="00910EF2">
        <w:rPr>
          <w:sz w:val="16"/>
          <w:szCs w:val="16"/>
          <w:lang w:val="en-US"/>
        </w:rPr>
        <w:t xml:space="preserve">pp. </w:t>
      </w:r>
      <w:r w:rsidRPr="00910EF2">
        <w:rPr>
          <w:sz w:val="16"/>
          <w:szCs w:val="16"/>
          <w:lang w:val="en-US"/>
        </w:rPr>
        <w:t xml:space="preserve">159-166.   </w:t>
      </w:r>
    </w:p>
  </w:footnote>
  <w:footnote w:id="82">
    <w:p w14:paraId="5759D3B6" w14:textId="3813CFA8" w:rsidR="00C66DB2" w:rsidRPr="00910EF2" w:rsidRDefault="00C66DB2" w:rsidP="001A67CD">
      <w:pPr>
        <w:pStyle w:val="FootnoteText"/>
        <w:ind w:left="720" w:hanging="720"/>
        <w:jc w:val="both"/>
        <w:rPr>
          <w:sz w:val="16"/>
          <w:szCs w:val="16"/>
          <w:lang w:val="en-US"/>
        </w:rPr>
      </w:pPr>
      <w:r w:rsidRPr="00F10409">
        <w:rPr>
          <w:rStyle w:val="FootnoteReference"/>
          <w:sz w:val="16"/>
          <w:szCs w:val="16"/>
          <w:lang w:val="nl-BE"/>
        </w:rPr>
        <w:footnoteRef/>
      </w:r>
      <w:r w:rsidRPr="00910EF2">
        <w:rPr>
          <w:sz w:val="16"/>
          <w:szCs w:val="16"/>
          <w:lang w:val="en-US"/>
        </w:rPr>
        <w:tab/>
        <w:t xml:space="preserve">Pres. Enterprise Court Brussels 15 October 2020, </w:t>
      </w:r>
      <w:proofErr w:type="spellStart"/>
      <w:r w:rsidR="00812E34" w:rsidRPr="00910EF2">
        <w:rPr>
          <w:sz w:val="16"/>
          <w:szCs w:val="16"/>
          <w:lang w:val="en-US"/>
        </w:rPr>
        <w:t>Competitio</w:t>
      </w:r>
      <w:proofErr w:type="spellEnd"/>
      <w:r w:rsidRPr="00910EF2">
        <w:rPr>
          <w:sz w:val="16"/>
          <w:szCs w:val="16"/>
          <w:lang w:val="en-US"/>
        </w:rPr>
        <w:t xml:space="preserve"> 2021</w:t>
      </w:r>
      <w:r w:rsidR="0007624B" w:rsidRPr="00910EF2">
        <w:rPr>
          <w:sz w:val="16"/>
          <w:szCs w:val="16"/>
          <w:lang w:val="en-US"/>
        </w:rPr>
        <w:t>/1</w:t>
      </w:r>
      <w:r w:rsidRPr="00910EF2">
        <w:rPr>
          <w:sz w:val="16"/>
          <w:szCs w:val="16"/>
          <w:lang w:val="en-US"/>
        </w:rPr>
        <w:t xml:space="preserve">, </w:t>
      </w:r>
      <w:r w:rsidR="00812E34" w:rsidRPr="00910EF2">
        <w:rPr>
          <w:sz w:val="16"/>
          <w:szCs w:val="16"/>
          <w:lang w:val="en-US"/>
        </w:rPr>
        <w:t xml:space="preserve">pp. </w:t>
      </w:r>
      <w:r w:rsidRPr="00910EF2">
        <w:rPr>
          <w:sz w:val="16"/>
          <w:szCs w:val="16"/>
          <w:lang w:val="en-US"/>
        </w:rPr>
        <w:t xml:space="preserve">58-62; Pres. Enterprise Court Brussels 11 February 2021, </w:t>
      </w:r>
      <w:proofErr w:type="spellStart"/>
      <w:r w:rsidR="00812E34" w:rsidRPr="00910EF2">
        <w:rPr>
          <w:sz w:val="16"/>
          <w:szCs w:val="16"/>
          <w:lang w:val="en-US"/>
        </w:rPr>
        <w:t>Competitio</w:t>
      </w:r>
      <w:proofErr w:type="spellEnd"/>
      <w:r w:rsidRPr="00910EF2">
        <w:rPr>
          <w:sz w:val="16"/>
          <w:szCs w:val="16"/>
          <w:lang w:val="en-US"/>
        </w:rPr>
        <w:t xml:space="preserve"> 2021</w:t>
      </w:r>
      <w:r w:rsidR="0007624B" w:rsidRPr="00910EF2">
        <w:rPr>
          <w:sz w:val="16"/>
          <w:szCs w:val="16"/>
          <w:lang w:val="en-US"/>
        </w:rPr>
        <w:t>/2</w:t>
      </w:r>
      <w:r w:rsidRPr="00910EF2">
        <w:rPr>
          <w:sz w:val="16"/>
          <w:szCs w:val="16"/>
          <w:lang w:val="en-US"/>
        </w:rPr>
        <w:t xml:space="preserve">, </w:t>
      </w:r>
      <w:r w:rsidR="00812E34" w:rsidRPr="00910EF2">
        <w:rPr>
          <w:sz w:val="16"/>
          <w:szCs w:val="16"/>
          <w:lang w:val="en-US"/>
        </w:rPr>
        <w:t xml:space="preserve">pp. </w:t>
      </w:r>
      <w:r w:rsidRPr="00910EF2">
        <w:rPr>
          <w:sz w:val="16"/>
          <w:szCs w:val="16"/>
          <w:lang w:val="en-US"/>
        </w:rPr>
        <w:t>166-17</w:t>
      </w:r>
      <w:r w:rsidR="00812E34" w:rsidRPr="00910EF2">
        <w:rPr>
          <w:sz w:val="16"/>
          <w:szCs w:val="16"/>
          <w:lang w:val="en-US"/>
        </w:rPr>
        <w:t>6</w:t>
      </w:r>
      <w:r w:rsidRPr="00910EF2">
        <w:rPr>
          <w:sz w:val="16"/>
          <w:szCs w:val="16"/>
          <w:lang w:val="en-US"/>
        </w:rPr>
        <w:t xml:space="preserve">; Pres. Enterprise Court Brussels 16 March 2021, </w:t>
      </w:r>
      <w:proofErr w:type="spellStart"/>
      <w:r w:rsidR="00812E34" w:rsidRPr="00910EF2">
        <w:rPr>
          <w:sz w:val="16"/>
          <w:szCs w:val="16"/>
          <w:lang w:val="en-US"/>
        </w:rPr>
        <w:t>Competitio</w:t>
      </w:r>
      <w:proofErr w:type="spellEnd"/>
      <w:r w:rsidRPr="00910EF2">
        <w:rPr>
          <w:sz w:val="16"/>
          <w:szCs w:val="16"/>
          <w:lang w:val="en-US"/>
        </w:rPr>
        <w:t xml:space="preserve"> 2021</w:t>
      </w:r>
      <w:r w:rsidR="0007624B" w:rsidRPr="00910EF2">
        <w:rPr>
          <w:sz w:val="16"/>
          <w:szCs w:val="16"/>
          <w:lang w:val="en-US"/>
        </w:rPr>
        <w:t>/2</w:t>
      </w:r>
      <w:r w:rsidRPr="00910EF2">
        <w:rPr>
          <w:sz w:val="16"/>
          <w:szCs w:val="16"/>
          <w:lang w:val="en-US"/>
        </w:rPr>
        <w:t xml:space="preserve">, </w:t>
      </w:r>
      <w:r w:rsidR="00812E34" w:rsidRPr="00910EF2">
        <w:rPr>
          <w:sz w:val="16"/>
          <w:szCs w:val="16"/>
          <w:lang w:val="en-US"/>
        </w:rPr>
        <w:t xml:space="preserve">pp. </w:t>
      </w:r>
      <w:r w:rsidRPr="00910EF2">
        <w:rPr>
          <w:sz w:val="16"/>
          <w:szCs w:val="16"/>
          <w:lang w:val="en-US"/>
        </w:rPr>
        <w:t xml:space="preserve">187-194; Pres. Enterprise Court Leuven 27 April 2021, </w:t>
      </w:r>
      <w:proofErr w:type="spellStart"/>
      <w:r w:rsidR="00812E34" w:rsidRPr="00910EF2">
        <w:rPr>
          <w:sz w:val="16"/>
          <w:szCs w:val="16"/>
          <w:lang w:val="en-US"/>
        </w:rPr>
        <w:t>Competitio</w:t>
      </w:r>
      <w:proofErr w:type="spellEnd"/>
      <w:r w:rsidRPr="00910EF2">
        <w:rPr>
          <w:sz w:val="16"/>
          <w:szCs w:val="16"/>
          <w:lang w:val="en-US"/>
        </w:rPr>
        <w:t xml:space="preserve"> 2021</w:t>
      </w:r>
      <w:r w:rsidR="004422FD" w:rsidRPr="00910EF2">
        <w:rPr>
          <w:sz w:val="16"/>
          <w:szCs w:val="16"/>
          <w:lang w:val="en-US"/>
        </w:rPr>
        <w:t>/3</w:t>
      </w:r>
      <w:r w:rsidRPr="00910EF2">
        <w:rPr>
          <w:sz w:val="16"/>
          <w:szCs w:val="16"/>
          <w:lang w:val="en-US"/>
        </w:rPr>
        <w:t xml:space="preserve">, </w:t>
      </w:r>
      <w:r w:rsidR="00812E34" w:rsidRPr="00910EF2">
        <w:rPr>
          <w:sz w:val="16"/>
          <w:szCs w:val="16"/>
          <w:lang w:val="en-US"/>
        </w:rPr>
        <w:t xml:space="preserve">pp. </w:t>
      </w:r>
      <w:r w:rsidRPr="00910EF2">
        <w:rPr>
          <w:sz w:val="16"/>
          <w:szCs w:val="16"/>
          <w:lang w:val="en-US"/>
        </w:rPr>
        <w:t>275-28</w:t>
      </w:r>
      <w:r w:rsidR="0028350F" w:rsidRPr="00910EF2">
        <w:rPr>
          <w:sz w:val="16"/>
          <w:szCs w:val="16"/>
          <w:lang w:val="en-US"/>
        </w:rPr>
        <w:t>5</w:t>
      </w:r>
      <w:r w:rsidRPr="00910EF2">
        <w:rPr>
          <w:sz w:val="16"/>
          <w:szCs w:val="16"/>
          <w:lang w:val="en-US"/>
        </w:rPr>
        <w:t xml:space="preserve">; Enterprise Court Brussels 21 October 2021, </w:t>
      </w:r>
      <w:proofErr w:type="spellStart"/>
      <w:r w:rsidR="00812E34" w:rsidRPr="00910EF2">
        <w:rPr>
          <w:sz w:val="16"/>
          <w:szCs w:val="16"/>
          <w:lang w:val="en-US"/>
        </w:rPr>
        <w:t>Competitio</w:t>
      </w:r>
      <w:proofErr w:type="spellEnd"/>
      <w:r w:rsidRPr="00910EF2">
        <w:rPr>
          <w:sz w:val="16"/>
          <w:szCs w:val="16"/>
          <w:lang w:val="en-US"/>
        </w:rPr>
        <w:t xml:space="preserve"> 2021</w:t>
      </w:r>
      <w:r w:rsidR="004422FD" w:rsidRPr="00910EF2">
        <w:rPr>
          <w:sz w:val="16"/>
          <w:szCs w:val="16"/>
          <w:lang w:val="en-US"/>
        </w:rPr>
        <w:t>/3</w:t>
      </w:r>
      <w:r w:rsidRPr="00910EF2">
        <w:rPr>
          <w:sz w:val="16"/>
          <w:szCs w:val="16"/>
          <w:lang w:val="en-US"/>
        </w:rPr>
        <w:t xml:space="preserve">, </w:t>
      </w:r>
      <w:r w:rsidR="00812E34" w:rsidRPr="00910EF2">
        <w:rPr>
          <w:sz w:val="16"/>
          <w:szCs w:val="16"/>
          <w:lang w:val="en-US"/>
        </w:rPr>
        <w:t xml:space="preserve">pp. </w:t>
      </w:r>
      <w:r w:rsidRPr="00910EF2">
        <w:rPr>
          <w:sz w:val="16"/>
          <w:szCs w:val="16"/>
          <w:lang w:val="en-US"/>
        </w:rPr>
        <w:t xml:space="preserve">290-294.   </w:t>
      </w:r>
    </w:p>
  </w:footnote>
  <w:footnote w:id="83">
    <w:p w14:paraId="73D547E8" w14:textId="415941DB" w:rsidR="008D6633" w:rsidRPr="00910EF2" w:rsidRDefault="008D6633" w:rsidP="001A67CD">
      <w:pPr>
        <w:pStyle w:val="FootnoteText"/>
        <w:jc w:val="both"/>
        <w:rPr>
          <w:sz w:val="16"/>
          <w:szCs w:val="16"/>
          <w:lang w:val="en-US"/>
        </w:rPr>
      </w:pPr>
      <w:r w:rsidRPr="00F10409">
        <w:rPr>
          <w:rStyle w:val="FootnoteReference"/>
          <w:sz w:val="16"/>
          <w:szCs w:val="16"/>
          <w:lang w:val="nl-BE"/>
        </w:rPr>
        <w:footnoteRef/>
      </w:r>
      <w:r w:rsidRPr="00910EF2">
        <w:rPr>
          <w:sz w:val="16"/>
          <w:szCs w:val="16"/>
          <w:lang w:val="en-US"/>
        </w:rPr>
        <w:tab/>
        <w:t xml:space="preserve">Pres. Enterprise </w:t>
      </w:r>
      <w:r w:rsidR="0028350F" w:rsidRPr="00910EF2">
        <w:rPr>
          <w:sz w:val="16"/>
          <w:szCs w:val="16"/>
          <w:lang w:val="en-US"/>
        </w:rPr>
        <w:t>C</w:t>
      </w:r>
      <w:r w:rsidRPr="00910EF2">
        <w:rPr>
          <w:sz w:val="16"/>
          <w:szCs w:val="16"/>
          <w:lang w:val="en-US"/>
        </w:rPr>
        <w:t xml:space="preserve">ourt Leuven 27 April 2021, </w:t>
      </w:r>
      <w:proofErr w:type="spellStart"/>
      <w:r w:rsidR="00812E34" w:rsidRPr="00910EF2">
        <w:rPr>
          <w:sz w:val="16"/>
          <w:szCs w:val="16"/>
          <w:lang w:val="en-US"/>
        </w:rPr>
        <w:t>Competitio</w:t>
      </w:r>
      <w:proofErr w:type="spellEnd"/>
      <w:r w:rsidRPr="00910EF2">
        <w:rPr>
          <w:sz w:val="16"/>
          <w:szCs w:val="16"/>
          <w:lang w:val="en-US"/>
        </w:rPr>
        <w:t xml:space="preserve"> 2021</w:t>
      </w:r>
      <w:r w:rsidR="004422FD" w:rsidRPr="00910EF2">
        <w:rPr>
          <w:sz w:val="16"/>
          <w:szCs w:val="16"/>
          <w:lang w:val="en-US"/>
        </w:rPr>
        <w:t>/3</w:t>
      </w:r>
      <w:r w:rsidRPr="00910EF2">
        <w:rPr>
          <w:sz w:val="16"/>
          <w:szCs w:val="16"/>
          <w:lang w:val="en-US"/>
        </w:rPr>
        <w:t xml:space="preserve">, </w:t>
      </w:r>
      <w:r w:rsidR="00812E34" w:rsidRPr="00910EF2">
        <w:rPr>
          <w:sz w:val="16"/>
          <w:szCs w:val="16"/>
          <w:lang w:val="en-US"/>
        </w:rPr>
        <w:t xml:space="preserve">pp. </w:t>
      </w:r>
      <w:r w:rsidRPr="00910EF2">
        <w:rPr>
          <w:sz w:val="16"/>
          <w:szCs w:val="16"/>
          <w:lang w:val="en-US"/>
        </w:rPr>
        <w:t xml:space="preserve">275-285. </w:t>
      </w:r>
    </w:p>
  </w:footnote>
  <w:footnote w:id="84">
    <w:p w14:paraId="42B04122" w14:textId="73E95606" w:rsidR="0028350F" w:rsidRPr="00910EF2" w:rsidRDefault="0028350F" w:rsidP="001A67CD">
      <w:pPr>
        <w:pStyle w:val="FootnoteText"/>
        <w:ind w:left="720" w:hanging="720"/>
        <w:jc w:val="both"/>
        <w:rPr>
          <w:sz w:val="16"/>
          <w:szCs w:val="16"/>
          <w:lang w:val="en-US"/>
        </w:rPr>
      </w:pPr>
      <w:r w:rsidRPr="00F10409">
        <w:rPr>
          <w:rStyle w:val="FootnoteReference"/>
          <w:sz w:val="16"/>
          <w:szCs w:val="16"/>
          <w:lang w:val="nl-BE"/>
        </w:rPr>
        <w:footnoteRef/>
      </w:r>
      <w:r w:rsidRPr="00910EF2">
        <w:rPr>
          <w:sz w:val="16"/>
          <w:szCs w:val="16"/>
          <w:lang w:val="en-US"/>
        </w:rPr>
        <w:tab/>
        <w:t xml:space="preserve">Pres. </w:t>
      </w:r>
      <w:proofErr w:type="spellStart"/>
      <w:r w:rsidRPr="00910EF2">
        <w:rPr>
          <w:sz w:val="16"/>
          <w:szCs w:val="16"/>
          <w:lang w:val="en-US"/>
        </w:rPr>
        <w:t>Enterpris</w:t>
      </w:r>
      <w:proofErr w:type="spellEnd"/>
      <w:r w:rsidRPr="00910EF2">
        <w:rPr>
          <w:sz w:val="16"/>
          <w:szCs w:val="16"/>
          <w:lang w:val="en-US"/>
        </w:rPr>
        <w:t xml:space="preserve"> Court Ghent 28 October </w:t>
      </w:r>
      <w:r w:rsidR="004422FD" w:rsidRPr="00910EF2">
        <w:rPr>
          <w:sz w:val="16"/>
          <w:szCs w:val="16"/>
          <w:lang w:val="en-US"/>
        </w:rPr>
        <w:t>2</w:t>
      </w:r>
      <w:r w:rsidRPr="00910EF2">
        <w:rPr>
          <w:sz w:val="16"/>
          <w:szCs w:val="16"/>
          <w:lang w:val="en-US"/>
        </w:rPr>
        <w:t>020, TBH 2020</w:t>
      </w:r>
      <w:r w:rsidR="004422FD" w:rsidRPr="00910EF2">
        <w:rPr>
          <w:sz w:val="16"/>
          <w:szCs w:val="16"/>
          <w:lang w:val="en-US"/>
        </w:rPr>
        <w:t>/4</w:t>
      </w:r>
      <w:r w:rsidRPr="00910EF2">
        <w:rPr>
          <w:sz w:val="16"/>
          <w:szCs w:val="16"/>
          <w:lang w:val="en-US"/>
        </w:rPr>
        <w:t>, pp. 514-517; Pres. Enterprise Court Ghent 28 October 2020, TBH 2020</w:t>
      </w:r>
      <w:r w:rsidR="004422FD" w:rsidRPr="00910EF2">
        <w:rPr>
          <w:sz w:val="16"/>
          <w:szCs w:val="16"/>
          <w:lang w:val="en-US"/>
        </w:rPr>
        <w:t>/4</w:t>
      </w:r>
      <w:r w:rsidRPr="00910EF2">
        <w:rPr>
          <w:sz w:val="16"/>
          <w:szCs w:val="16"/>
          <w:lang w:val="en-US"/>
        </w:rPr>
        <w:t xml:space="preserve">, pp. 514-517; Pres. Enterprise Court Brussels, 16 March 2021, </w:t>
      </w:r>
      <w:proofErr w:type="spellStart"/>
      <w:r w:rsidRPr="00910EF2">
        <w:rPr>
          <w:sz w:val="16"/>
          <w:szCs w:val="16"/>
          <w:lang w:val="en-US"/>
        </w:rPr>
        <w:t>Competitio</w:t>
      </w:r>
      <w:proofErr w:type="spellEnd"/>
      <w:r w:rsidRPr="00910EF2">
        <w:rPr>
          <w:sz w:val="16"/>
          <w:szCs w:val="16"/>
          <w:lang w:val="en-US"/>
        </w:rPr>
        <w:t xml:space="preserve"> 2021</w:t>
      </w:r>
      <w:r w:rsidR="0007624B" w:rsidRPr="00910EF2">
        <w:rPr>
          <w:sz w:val="16"/>
          <w:szCs w:val="16"/>
          <w:lang w:val="en-US"/>
        </w:rPr>
        <w:t>/2</w:t>
      </w:r>
      <w:r w:rsidRPr="00910EF2">
        <w:rPr>
          <w:sz w:val="16"/>
          <w:szCs w:val="16"/>
          <w:lang w:val="en-US"/>
        </w:rPr>
        <w:t xml:space="preserve">, pp. 187-194; Pres. Enterprise Court Antwerp (division Tongeren) 16 April 2021, </w:t>
      </w:r>
      <w:proofErr w:type="spellStart"/>
      <w:r w:rsidRPr="00910EF2">
        <w:rPr>
          <w:sz w:val="16"/>
          <w:szCs w:val="16"/>
          <w:lang w:val="en-US"/>
        </w:rPr>
        <w:t>Competitio</w:t>
      </w:r>
      <w:proofErr w:type="spellEnd"/>
      <w:r w:rsidR="004422FD" w:rsidRPr="00910EF2">
        <w:rPr>
          <w:sz w:val="16"/>
          <w:szCs w:val="16"/>
          <w:lang w:val="en-US"/>
        </w:rPr>
        <w:t>/2</w:t>
      </w:r>
      <w:r w:rsidRPr="00910EF2">
        <w:rPr>
          <w:sz w:val="16"/>
          <w:szCs w:val="16"/>
          <w:lang w:val="en-US"/>
        </w:rPr>
        <w:t xml:space="preserve">, pp. 159-166. </w:t>
      </w:r>
    </w:p>
  </w:footnote>
  <w:footnote w:id="85">
    <w:p w14:paraId="5F536DCB" w14:textId="298932F8" w:rsidR="00F53942" w:rsidRPr="00910EF2" w:rsidRDefault="00F53942" w:rsidP="001A67CD">
      <w:pPr>
        <w:pStyle w:val="FootnoteText"/>
        <w:ind w:left="720" w:hanging="720"/>
        <w:jc w:val="both"/>
        <w:rPr>
          <w:sz w:val="16"/>
          <w:szCs w:val="16"/>
          <w:lang w:val="en-US"/>
        </w:rPr>
      </w:pPr>
      <w:r w:rsidRPr="00F10409">
        <w:rPr>
          <w:rStyle w:val="FootnoteReference"/>
          <w:sz w:val="16"/>
          <w:szCs w:val="16"/>
          <w:lang w:val="nl-BE"/>
        </w:rPr>
        <w:footnoteRef/>
      </w:r>
      <w:r w:rsidRPr="00910EF2">
        <w:rPr>
          <w:sz w:val="16"/>
          <w:szCs w:val="16"/>
          <w:lang w:val="en-US"/>
        </w:rPr>
        <w:tab/>
      </w:r>
      <w:bookmarkStart w:id="33" w:name="_Hlk209450019"/>
      <w:r w:rsidR="0028350F" w:rsidRPr="00910EF2">
        <w:rPr>
          <w:sz w:val="16"/>
          <w:szCs w:val="16"/>
          <w:lang w:val="en-US"/>
        </w:rPr>
        <w:t xml:space="preserve">Pres. Enterprise Court Brussels 15 October 2020, </w:t>
      </w:r>
      <w:proofErr w:type="spellStart"/>
      <w:r w:rsidR="0028350F" w:rsidRPr="00910EF2">
        <w:rPr>
          <w:sz w:val="16"/>
          <w:szCs w:val="16"/>
          <w:lang w:val="en-US"/>
        </w:rPr>
        <w:t>Competitio</w:t>
      </w:r>
      <w:proofErr w:type="spellEnd"/>
      <w:r w:rsidR="0007624B" w:rsidRPr="00910EF2">
        <w:rPr>
          <w:sz w:val="16"/>
          <w:szCs w:val="16"/>
          <w:lang w:val="en-US"/>
        </w:rPr>
        <w:t xml:space="preserve"> 2021/1</w:t>
      </w:r>
      <w:r w:rsidR="0028350F" w:rsidRPr="00910EF2">
        <w:rPr>
          <w:sz w:val="16"/>
          <w:szCs w:val="16"/>
          <w:lang w:val="en-US"/>
        </w:rPr>
        <w:t xml:space="preserve">, pp. 58-62; </w:t>
      </w:r>
      <w:r w:rsidRPr="00910EF2">
        <w:rPr>
          <w:sz w:val="16"/>
          <w:szCs w:val="16"/>
          <w:lang w:val="en-US"/>
        </w:rPr>
        <w:t>Pres. Enterprise Court Ghent 28 October 2020, TBH 2020</w:t>
      </w:r>
      <w:r w:rsidR="004422FD" w:rsidRPr="00910EF2">
        <w:rPr>
          <w:sz w:val="16"/>
          <w:szCs w:val="16"/>
          <w:lang w:val="en-US"/>
        </w:rPr>
        <w:t>/4</w:t>
      </w:r>
      <w:r w:rsidRPr="00910EF2">
        <w:rPr>
          <w:sz w:val="16"/>
          <w:szCs w:val="16"/>
          <w:lang w:val="en-US"/>
        </w:rPr>
        <w:t>, pp. 514-517</w:t>
      </w:r>
      <w:r w:rsidR="00C4082D" w:rsidRPr="00910EF2">
        <w:rPr>
          <w:sz w:val="16"/>
          <w:szCs w:val="16"/>
          <w:lang w:val="en-US"/>
        </w:rPr>
        <w:t xml:space="preserve">; </w:t>
      </w:r>
      <w:r w:rsidR="0028350F" w:rsidRPr="00910EF2">
        <w:rPr>
          <w:sz w:val="16"/>
          <w:szCs w:val="16"/>
          <w:lang w:val="en-US"/>
        </w:rPr>
        <w:t xml:space="preserve">Pres. Enterprise Court Brussels 11 February 2021, </w:t>
      </w:r>
      <w:proofErr w:type="spellStart"/>
      <w:r w:rsidR="0028350F" w:rsidRPr="00910EF2">
        <w:rPr>
          <w:sz w:val="16"/>
          <w:szCs w:val="16"/>
          <w:lang w:val="en-US"/>
        </w:rPr>
        <w:t>Competitio</w:t>
      </w:r>
      <w:proofErr w:type="spellEnd"/>
      <w:r w:rsidR="0028350F" w:rsidRPr="00910EF2">
        <w:rPr>
          <w:sz w:val="16"/>
          <w:szCs w:val="16"/>
          <w:lang w:val="en-US"/>
        </w:rPr>
        <w:t xml:space="preserve"> 2021</w:t>
      </w:r>
      <w:r w:rsidR="0007624B" w:rsidRPr="00910EF2">
        <w:rPr>
          <w:sz w:val="16"/>
          <w:szCs w:val="16"/>
          <w:lang w:val="en-US"/>
        </w:rPr>
        <w:t>/2</w:t>
      </w:r>
      <w:r w:rsidR="0028350F" w:rsidRPr="00910EF2">
        <w:rPr>
          <w:sz w:val="16"/>
          <w:szCs w:val="16"/>
          <w:lang w:val="en-US"/>
        </w:rPr>
        <w:t xml:space="preserve">, pp. 166-176; Pres. Enterprise Court Brussels 16 March 2021, </w:t>
      </w:r>
      <w:proofErr w:type="spellStart"/>
      <w:r w:rsidR="0028350F" w:rsidRPr="00910EF2">
        <w:rPr>
          <w:sz w:val="16"/>
          <w:szCs w:val="16"/>
          <w:lang w:val="en-US"/>
        </w:rPr>
        <w:t>Competitio</w:t>
      </w:r>
      <w:proofErr w:type="spellEnd"/>
      <w:r w:rsidR="0028350F" w:rsidRPr="00910EF2">
        <w:rPr>
          <w:sz w:val="16"/>
          <w:szCs w:val="16"/>
          <w:lang w:val="en-US"/>
        </w:rPr>
        <w:t xml:space="preserve"> 2021</w:t>
      </w:r>
      <w:r w:rsidR="0007624B" w:rsidRPr="00910EF2">
        <w:rPr>
          <w:sz w:val="16"/>
          <w:szCs w:val="16"/>
          <w:lang w:val="en-US"/>
        </w:rPr>
        <w:t>/2</w:t>
      </w:r>
      <w:r w:rsidR="0028350F" w:rsidRPr="00910EF2">
        <w:rPr>
          <w:sz w:val="16"/>
          <w:szCs w:val="16"/>
          <w:lang w:val="en-US"/>
        </w:rPr>
        <w:t xml:space="preserve">, pp. 187-194; </w:t>
      </w:r>
      <w:r w:rsidR="00C4082D" w:rsidRPr="00910EF2">
        <w:rPr>
          <w:sz w:val="16"/>
          <w:szCs w:val="16"/>
          <w:lang w:val="en-US"/>
        </w:rPr>
        <w:t xml:space="preserve">Pres. Enterprise Court Antwerp (division Tongeren) 16 April 2021, </w:t>
      </w:r>
      <w:proofErr w:type="spellStart"/>
      <w:r w:rsidR="00C4082D" w:rsidRPr="00910EF2">
        <w:rPr>
          <w:sz w:val="16"/>
          <w:szCs w:val="16"/>
          <w:lang w:val="en-US"/>
        </w:rPr>
        <w:t>Competitio</w:t>
      </w:r>
      <w:proofErr w:type="spellEnd"/>
      <w:r w:rsidR="004422FD" w:rsidRPr="00910EF2">
        <w:rPr>
          <w:sz w:val="16"/>
          <w:szCs w:val="16"/>
          <w:lang w:val="en-US"/>
        </w:rPr>
        <w:t xml:space="preserve"> 2021/2</w:t>
      </w:r>
      <w:r w:rsidR="00C4082D" w:rsidRPr="00910EF2">
        <w:rPr>
          <w:sz w:val="16"/>
          <w:szCs w:val="16"/>
          <w:lang w:val="en-US"/>
        </w:rPr>
        <w:t>, pp. 159-166</w:t>
      </w:r>
      <w:r w:rsidR="0028350F" w:rsidRPr="00910EF2">
        <w:rPr>
          <w:sz w:val="16"/>
          <w:szCs w:val="16"/>
          <w:lang w:val="en-US"/>
        </w:rPr>
        <w:t xml:space="preserve">; Pres. Enterprise Court Leuven 27 April 2021, </w:t>
      </w:r>
      <w:proofErr w:type="spellStart"/>
      <w:r w:rsidR="0028350F" w:rsidRPr="00910EF2">
        <w:rPr>
          <w:sz w:val="16"/>
          <w:szCs w:val="16"/>
          <w:lang w:val="en-US"/>
        </w:rPr>
        <w:t>Competitio</w:t>
      </w:r>
      <w:proofErr w:type="spellEnd"/>
      <w:r w:rsidR="004422FD" w:rsidRPr="00910EF2">
        <w:rPr>
          <w:sz w:val="16"/>
          <w:szCs w:val="16"/>
          <w:lang w:val="en-US"/>
        </w:rPr>
        <w:t xml:space="preserve"> 2021/3</w:t>
      </w:r>
      <w:r w:rsidR="0028350F" w:rsidRPr="00910EF2">
        <w:rPr>
          <w:sz w:val="16"/>
          <w:szCs w:val="16"/>
          <w:lang w:val="en-US"/>
        </w:rPr>
        <w:t xml:space="preserve">, 275-285; </w:t>
      </w:r>
      <w:r w:rsidR="004422FD" w:rsidRPr="00910EF2">
        <w:rPr>
          <w:sz w:val="16"/>
          <w:szCs w:val="16"/>
          <w:lang w:val="en-US"/>
        </w:rPr>
        <w:t xml:space="preserve">Court of Appeal Antwerp 20 October 2021, </w:t>
      </w:r>
      <w:proofErr w:type="spellStart"/>
      <w:r w:rsidR="004422FD" w:rsidRPr="00910EF2">
        <w:rPr>
          <w:sz w:val="16"/>
          <w:szCs w:val="16"/>
          <w:lang w:val="en-US"/>
        </w:rPr>
        <w:t>Competitio</w:t>
      </w:r>
      <w:proofErr w:type="spellEnd"/>
      <w:r w:rsidR="004422FD" w:rsidRPr="00910EF2">
        <w:rPr>
          <w:sz w:val="16"/>
          <w:szCs w:val="16"/>
          <w:lang w:val="en-US"/>
        </w:rPr>
        <w:t xml:space="preserve"> 2021/3, pp. 285-289; </w:t>
      </w:r>
      <w:r w:rsidR="0028350F" w:rsidRPr="00910EF2">
        <w:rPr>
          <w:sz w:val="16"/>
          <w:szCs w:val="16"/>
          <w:lang w:val="en-US"/>
        </w:rPr>
        <w:t>Pres. Enterprise Court Brussels 21 October 20</w:t>
      </w:r>
      <w:r w:rsidR="004422FD" w:rsidRPr="00910EF2">
        <w:rPr>
          <w:sz w:val="16"/>
          <w:szCs w:val="16"/>
          <w:lang w:val="en-US"/>
        </w:rPr>
        <w:t>21</w:t>
      </w:r>
      <w:r w:rsidR="0028350F" w:rsidRPr="00910EF2">
        <w:rPr>
          <w:sz w:val="16"/>
          <w:szCs w:val="16"/>
          <w:lang w:val="en-US"/>
        </w:rPr>
        <w:t xml:space="preserve">, </w:t>
      </w:r>
      <w:proofErr w:type="spellStart"/>
      <w:r w:rsidR="0028350F" w:rsidRPr="00910EF2">
        <w:rPr>
          <w:sz w:val="16"/>
          <w:szCs w:val="16"/>
          <w:lang w:val="en-US"/>
        </w:rPr>
        <w:t>Competitio</w:t>
      </w:r>
      <w:proofErr w:type="spellEnd"/>
      <w:r w:rsidR="0028350F" w:rsidRPr="00910EF2">
        <w:rPr>
          <w:sz w:val="16"/>
          <w:szCs w:val="16"/>
          <w:lang w:val="en-US"/>
        </w:rPr>
        <w:t xml:space="preserve"> 2021</w:t>
      </w:r>
      <w:r w:rsidR="004422FD" w:rsidRPr="00910EF2">
        <w:rPr>
          <w:sz w:val="16"/>
          <w:szCs w:val="16"/>
          <w:lang w:val="en-US"/>
        </w:rPr>
        <w:t>/3</w:t>
      </w:r>
      <w:r w:rsidR="0028350F" w:rsidRPr="00910EF2">
        <w:rPr>
          <w:sz w:val="16"/>
          <w:szCs w:val="16"/>
          <w:lang w:val="en-US"/>
        </w:rPr>
        <w:t xml:space="preserve">, pp. 290-294; </w:t>
      </w:r>
      <w:r w:rsidR="004422FD" w:rsidRPr="00910EF2">
        <w:rPr>
          <w:sz w:val="16"/>
          <w:szCs w:val="16"/>
          <w:lang w:val="en-US"/>
        </w:rPr>
        <w:t xml:space="preserve">Court of First Instance Brussels 6 December 2021, RABG 2022/10, pp. 714-730; </w:t>
      </w:r>
      <w:r w:rsidR="001A67CD" w:rsidRPr="00910EF2">
        <w:rPr>
          <w:sz w:val="16"/>
          <w:szCs w:val="16"/>
          <w:lang w:val="en-US"/>
        </w:rPr>
        <w:t xml:space="preserve">Court of Appeal Ghent 4 April 2022, </w:t>
      </w:r>
      <w:proofErr w:type="spellStart"/>
      <w:r w:rsidR="001A67CD" w:rsidRPr="00910EF2">
        <w:rPr>
          <w:sz w:val="16"/>
          <w:szCs w:val="16"/>
          <w:lang w:val="en-US"/>
        </w:rPr>
        <w:t>Competitio</w:t>
      </w:r>
      <w:proofErr w:type="spellEnd"/>
      <w:r w:rsidR="001A67CD" w:rsidRPr="00910EF2">
        <w:rPr>
          <w:sz w:val="16"/>
          <w:szCs w:val="16"/>
          <w:lang w:val="en-US"/>
        </w:rPr>
        <w:t xml:space="preserve"> 2022/1, pp. 36-41; </w:t>
      </w:r>
      <w:r w:rsidR="004422FD" w:rsidRPr="00910EF2">
        <w:rPr>
          <w:sz w:val="16"/>
          <w:szCs w:val="16"/>
          <w:lang w:val="en-US"/>
        </w:rPr>
        <w:t xml:space="preserve">Pres. Enterprise Court Antwerp 20 April 2022, </w:t>
      </w:r>
      <w:proofErr w:type="spellStart"/>
      <w:r w:rsidR="004422FD" w:rsidRPr="00910EF2">
        <w:rPr>
          <w:sz w:val="16"/>
          <w:szCs w:val="16"/>
          <w:lang w:val="en-US"/>
        </w:rPr>
        <w:t>Competitio</w:t>
      </w:r>
      <w:proofErr w:type="spellEnd"/>
      <w:r w:rsidR="004422FD" w:rsidRPr="00910EF2">
        <w:rPr>
          <w:sz w:val="16"/>
          <w:szCs w:val="16"/>
          <w:lang w:val="en-US"/>
        </w:rPr>
        <w:t xml:space="preserve"> 2022/1, pp. 41-43; </w:t>
      </w:r>
      <w:r w:rsidR="0028350F" w:rsidRPr="00910EF2">
        <w:rPr>
          <w:sz w:val="16"/>
          <w:szCs w:val="16"/>
          <w:lang w:val="en-US"/>
        </w:rPr>
        <w:t xml:space="preserve">Pres. Enterprise Court Brussels 26 July 2022, </w:t>
      </w:r>
      <w:proofErr w:type="spellStart"/>
      <w:r w:rsidR="0028350F" w:rsidRPr="00910EF2">
        <w:rPr>
          <w:sz w:val="16"/>
          <w:szCs w:val="16"/>
          <w:lang w:val="en-US"/>
        </w:rPr>
        <w:t>Competitio</w:t>
      </w:r>
      <w:proofErr w:type="spellEnd"/>
      <w:r w:rsidR="0028350F" w:rsidRPr="00910EF2">
        <w:rPr>
          <w:sz w:val="16"/>
          <w:szCs w:val="16"/>
          <w:lang w:val="en-US"/>
        </w:rPr>
        <w:t xml:space="preserve"> 2022</w:t>
      </w:r>
      <w:r w:rsidR="0007624B" w:rsidRPr="00910EF2">
        <w:rPr>
          <w:sz w:val="16"/>
          <w:szCs w:val="16"/>
          <w:lang w:val="en-US"/>
        </w:rPr>
        <w:t>/2</w:t>
      </w:r>
      <w:r w:rsidR="0028350F" w:rsidRPr="00910EF2">
        <w:rPr>
          <w:sz w:val="16"/>
          <w:szCs w:val="16"/>
          <w:lang w:val="en-US"/>
        </w:rPr>
        <w:t>, pp. 137-158; Court of Appeal Brussels 8 June 2023, I.R/D.I 2023/2, pp. 178-201</w:t>
      </w:r>
      <w:r w:rsidRPr="00910EF2">
        <w:rPr>
          <w:sz w:val="16"/>
          <w:szCs w:val="16"/>
          <w:lang w:val="en-US"/>
        </w:rPr>
        <w:t xml:space="preserve">. </w:t>
      </w:r>
      <w:bookmarkEnd w:id="33"/>
    </w:p>
  </w:footnote>
  <w:footnote w:id="86">
    <w:p w14:paraId="3AB45483" w14:textId="1FE9F850" w:rsidR="0049380C" w:rsidRPr="00910EF2" w:rsidRDefault="0049380C" w:rsidP="001A67CD">
      <w:pPr>
        <w:pStyle w:val="FootnoteText"/>
        <w:ind w:left="720" w:hanging="720"/>
        <w:jc w:val="both"/>
        <w:rPr>
          <w:sz w:val="16"/>
          <w:szCs w:val="16"/>
          <w:lang w:val="fr-FR"/>
        </w:rPr>
      </w:pPr>
      <w:r w:rsidRPr="00F10409">
        <w:rPr>
          <w:rStyle w:val="FootnoteReference"/>
          <w:sz w:val="16"/>
          <w:szCs w:val="16"/>
          <w:lang w:val="nl-BE"/>
        </w:rPr>
        <w:footnoteRef/>
      </w:r>
      <w:r w:rsidRPr="00910EF2">
        <w:rPr>
          <w:sz w:val="16"/>
          <w:szCs w:val="16"/>
          <w:lang w:val="en-US"/>
        </w:rPr>
        <w:tab/>
        <w:t xml:space="preserve">G. </w:t>
      </w:r>
      <w:proofErr w:type="spellStart"/>
      <w:r w:rsidRPr="00910EF2">
        <w:rPr>
          <w:sz w:val="16"/>
          <w:szCs w:val="16"/>
          <w:lang w:val="en-US"/>
        </w:rPr>
        <w:t>Straetmans</w:t>
      </w:r>
      <w:proofErr w:type="spellEnd"/>
      <w:r w:rsidRPr="00910EF2">
        <w:rPr>
          <w:sz w:val="16"/>
          <w:szCs w:val="16"/>
          <w:lang w:val="en-US"/>
        </w:rPr>
        <w:t xml:space="preserve">, De </w:t>
      </w:r>
      <w:proofErr w:type="spellStart"/>
      <w:r w:rsidRPr="00910EF2">
        <w:rPr>
          <w:sz w:val="16"/>
          <w:szCs w:val="16"/>
          <w:lang w:val="en-US"/>
        </w:rPr>
        <w:t>nieuwe</w:t>
      </w:r>
      <w:proofErr w:type="spellEnd"/>
      <w:r w:rsidRPr="00910EF2">
        <w:rPr>
          <w:sz w:val="16"/>
          <w:szCs w:val="16"/>
          <w:lang w:val="en-US"/>
        </w:rPr>
        <w:t xml:space="preserve"> b2b-marktpraktijken </w:t>
      </w:r>
      <w:proofErr w:type="spellStart"/>
      <w:r w:rsidRPr="00910EF2">
        <w:rPr>
          <w:sz w:val="16"/>
          <w:szCs w:val="16"/>
          <w:lang w:val="en-US"/>
        </w:rPr>
        <w:t>uit</w:t>
      </w:r>
      <w:proofErr w:type="spellEnd"/>
      <w:r w:rsidRPr="00910EF2">
        <w:rPr>
          <w:sz w:val="16"/>
          <w:szCs w:val="16"/>
          <w:lang w:val="en-US"/>
        </w:rPr>
        <w:t xml:space="preserve"> de wet van 4 </w:t>
      </w:r>
      <w:proofErr w:type="spellStart"/>
      <w:r w:rsidRPr="00910EF2">
        <w:rPr>
          <w:sz w:val="16"/>
          <w:szCs w:val="16"/>
          <w:lang w:val="en-US"/>
        </w:rPr>
        <w:t>april</w:t>
      </w:r>
      <w:proofErr w:type="spellEnd"/>
      <w:r w:rsidRPr="00910EF2">
        <w:rPr>
          <w:sz w:val="16"/>
          <w:szCs w:val="16"/>
          <w:lang w:val="en-US"/>
        </w:rPr>
        <w:t xml:space="preserve"> 2019, DAOR</w:t>
      </w:r>
      <w:r w:rsidRPr="00910EF2">
        <w:rPr>
          <w:i/>
          <w:iCs/>
          <w:sz w:val="16"/>
          <w:szCs w:val="16"/>
          <w:lang w:val="en-US"/>
        </w:rPr>
        <w:t xml:space="preserve"> </w:t>
      </w:r>
      <w:r w:rsidRPr="00910EF2">
        <w:rPr>
          <w:sz w:val="16"/>
          <w:szCs w:val="16"/>
          <w:lang w:val="en-US"/>
        </w:rPr>
        <w:t xml:space="preserve">2020/1, pp. 3-13; J. Leonard and E. Pieters, </w:t>
      </w:r>
      <w:proofErr w:type="spellStart"/>
      <w:r w:rsidRPr="00910EF2">
        <w:rPr>
          <w:sz w:val="16"/>
          <w:szCs w:val="16"/>
          <w:lang w:val="en-US"/>
        </w:rPr>
        <w:t>L’abus</w:t>
      </w:r>
      <w:proofErr w:type="spellEnd"/>
      <w:r w:rsidRPr="00910EF2">
        <w:rPr>
          <w:sz w:val="16"/>
          <w:szCs w:val="16"/>
          <w:lang w:val="en-US"/>
        </w:rPr>
        <w:t xml:space="preserve"> de </w:t>
      </w:r>
      <w:proofErr w:type="spellStart"/>
      <w:r w:rsidRPr="00910EF2">
        <w:rPr>
          <w:sz w:val="16"/>
          <w:szCs w:val="16"/>
          <w:lang w:val="en-US"/>
        </w:rPr>
        <w:t>dépendance</w:t>
      </w:r>
      <w:proofErr w:type="spellEnd"/>
      <w:r w:rsidRPr="00910EF2">
        <w:rPr>
          <w:sz w:val="16"/>
          <w:szCs w:val="16"/>
          <w:lang w:val="en-US"/>
        </w:rPr>
        <w:t xml:space="preserve"> </w:t>
      </w:r>
      <w:proofErr w:type="spellStart"/>
      <w:r w:rsidRPr="00910EF2">
        <w:rPr>
          <w:sz w:val="16"/>
          <w:szCs w:val="16"/>
          <w:lang w:val="en-US"/>
        </w:rPr>
        <w:t>économique</w:t>
      </w:r>
      <w:proofErr w:type="spellEnd"/>
      <w:r w:rsidRPr="00910EF2">
        <w:rPr>
          <w:sz w:val="16"/>
          <w:szCs w:val="16"/>
          <w:lang w:val="en-US"/>
        </w:rPr>
        <w:t xml:space="preserve"> en droit </w:t>
      </w:r>
      <w:proofErr w:type="spellStart"/>
      <w:r w:rsidRPr="00910EF2">
        <w:rPr>
          <w:sz w:val="16"/>
          <w:szCs w:val="16"/>
          <w:lang w:val="en-US"/>
        </w:rPr>
        <w:t>belge</w:t>
      </w:r>
      <w:proofErr w:type="spellEnd"/>
      <w:r w:rsidRPr="00910EF2">
        <w:rPr>
          <w:sz w:val="16"/>
          <w:szCs w:val="16"/>
          <w:lang w:val="en-US"/>
        </w:rPr>
        <w:t xml:space="preserve"> de la concurrence. </w:t>
      </w:r>
      <w:r w:rsidRPr="00910EF2">
        <w:rPr>
          <w:sz w:val="16"/>
          <w:szCs w:val="16"/>
          <w:lang w:val="fr-FR"/>
        </w:rPr>
        <w:t xml:space="preserve">Aperçu de la loi du 4 avril 2019 modifiant le Code de droit économique, </w:t>
      </w:r>
      <w:proofErr w:type="spellStart"/>
      <w:r w:rsidRPr="00910EF2">
        <w:rPr>
          <w:sz w:val="16"/>
          <w:szCs w:val="16"/>
          <w:lang w:val="fr-FR"/>
        </w:rPr>
        <w:t>Competitio</w:t>
      </w:r>
      <w:proofErr w:type="spellEnd"/>
      <w:r w:rsidRPr="00910EF2">
        <w:rPr>
          <w:sz w:val="16"/>
          <w:szCs w:val="16"/>
          <w:lang w:val="fr-FR"/>
        </w:rPr>
        <w:t xml:space="preserve"> 2019/1, p. 16.   </w:t>
      </w:r>
    </w:p>
  </w:footnote>
  <w:footnote w:id="87">
    <w:p w14:paraId="6503E449" w14:textId="37B53159" w:rsidR="00315055" w:rsidRPr="00910EF2" w:rsidRDefault="00315055" w:rsidP="001A67CD">
      <w:pPr>
        <w:pStyle w:val="FootnoteText"/>
        <w:ind w:left="720" w:hanging="720"/>
        <w:jc w:val="both"/>
        <w:rPr>
          <w:sz w:val="16"/>
          <w:szCs w:val="16"/>
          <w:lang w:val="fr-FR"/>
        </w:rPr>
      </w:pPr>
      <w:r w:rsidRPr="00F10409">
        <w:rPr>
          <w:rStyle w:val="FootnoteReference"/>
          <w:sz w:val="16"/>
          <w:szCs w:val="16"/>
          <w:lang w:val="nl-BE"/>
        </w:rPr>
        <w:footnoteRef/>
      </w:r>
      <w:r w:rsidRPr="00910EF2">
        <w:rPr>
          <w:sz w:val="16"/>
          <w:szCs w:val="16"/>
          <w:lang w:val="fr-FR"/>
        </w:rPr>
        <w:tab/>
        <w:t xml:space="preserve">I. </w:t>
      </w:r>
      <w:proofErr w:type="spellStart"/>
      <w:r w:rsidRPr="00910EF2">
        <w:rPr>
          <w:sz w:val="16"/>
          <w:szCs w:val="16"/>
          <w:lang w:val="fr-FR"/>
        </w:rPr>
        <w:t>V</w:t>
      </w:r>
      <w:r w:rsidR="00812E34" w:rsidRPr="00910EF2">
        <w:rPr>
          <w:sz w:val="16"/>
          <w:szCs w:val="16"/>
          <w:lang w:val="fr-FR"/>
        </w:rPr>
        <w:t>andeborre</w:t>
      </w:r>
      <w:proofErr w:type="spellEnd"/>
      <w:r w:rsidRPr="00910EF2">
        <w:rPr>
          <w:sz w:val="16"/>
          <w:szCs w:val="16"/>
          <w:lang w:val="fr-FR"/>
        </w:rPr>
        <w:t>,</w:t>
      </w:r>
      <w:r w:rsidR="00812E34" w:rsidRPr="00910EF2">
        <w:rPr>
          <w:sz w:val="16"/>
          <w:szCs w:val="16"/>
          <w:lang w:val="fr-FR"/>
        </w:rPr>
        <w:t xml:space="preserve"> </w:t>
      </w:r>
      <w:r w:rsidRPr="00910EF2">
        <w:rPr>
          <w:sz w:val="16"/>
          <w:szCs w:val="16"/>
          <w:lang w:val="fr-FR"/>
        </w:rPr>
        <w:t xml:space="preserve">De </w:t>
      </w:r>
      <w:proofErr w:type="spellStart"/>
      <w:r w:rsidRPr="00910EF2">
        <w:rPr>
          <w:sz w:val="16"/>
          <w:szCs w:val="16"/>
          <w:lang w:val="fr-FR"/>
        </w:rPr>
        <w:t>verhouding</w:t>
      </w:r>
      <w:proofErr w:type="spellEnd"/>
      <w:r w:rsidRPr="00910EF2">
        <w:rPr>
          <w:sz w:val="16"/>
          <w:szCs w:val="16"/>
          <w:lang w:val="fr-FR"/>
        </w:rPr>
        <w:t xml:space="preserve"> </w:t>
      </w:r>
      <w:proofErr w:type="spellStart"/>
      <w:r w:rsidRPr="00910EF2">
        <w:rPr>
          <w:sz w:val="16"/>
          <w:szCs w:val="16"/>
          <w:lang w:val="fr-FR"/>
        </w:rPr>
        <w:t>tussen</w:t>
      </w:r>
      <w:proofErr w:type="spellEnd"/>
      <w:r w:rsidRPr="00910EF2">
        <w:rPr>
          <w:sz w:val="16"/>
          <w:szCs w:val="16"/>
          <w:lang w:val="fr-FR"/>
        </w:rPr>
        <w:t xml:space="preserve"> de </w:t>
      </w:r>
      <w:proofErr w:type="spellStart"/>
      <w:r w:rsidRPr="00910EF2">
        <w:rPr>
          <w:sz w:val="16"/>
          <w:szCs w:val="16"/>
          <w:lang w:val="fr-FR"/>
        </w:rPr>
        <w:t>eerlijke</w:t>
      </w:r>
      <w:proofErr w:type="spellEnd"/>
      <w:r w:rsidRPr="00910EF2">
        <w:rPr>
          <w:sz w:val="16"/>
          <w:szCs w:val="16"/>
          <w:lang w:val="fr-FR"/>
        </w:rPr>
        <w:t xml:space="preserve"> </w:t>
      </w:r>
      <w:proofErr w:type="spellStart"/>
      <w:r w:rsidRPr="00910EF2">
        <w:rPr>
          <w:sz w:val="16"/>
          <w:szCs w:val="16"/>
          <w:lang w:val="fr-FR"/>
        </w:rPr>
        <w:t>handelsgebruiken</w:t>
      </w:r>
      <w:proofErr w:type="spellEnd"/>
      <w:r w:rsidRPr="00910EF2">
        <w:rPr>
          <w:sz w:val="16"/>
          <w:szCs w:val="16"/>
          <w:lang w:val="fr-FR"/>
        </w:rPr>
        <w:t xml:space="preserve"> en de W.E.M., Jura </w:t>
      </w:r>
      <w:proofErr w:type="spellStart"/>
      <w:r w:rsidRPr="00910EF2">
        <w:rPr>
          <w:sz w:val="16"/>
          <w:szCs w:val="16"/>
          <w:lang w:val="fr-FR"/>
        </w:rPr>
        <w:t>Falconis</w:t>
      </w:r>
      <w:proofErr w:type="spellEnd"/>
      <w:r w:rsidRPr="00910EF2">
        <w:rPr>
          <w:sz w:val="16"/>
          <w:szCs w:val="16"/>
          <w:lang w:val="fr-FR"/>
        </w:rPr>
        <w:t xml:space="preserve"> 1997-98, </w:t>
      </w:r>
      <w:r w:rsidR="00812E34" w:rsidRPr="00910EF2">
        <w:rPr>
          <w:sz w:val="16"/>
          <w:szCs w:val="16"/>
          <w:lang w:val="fr-FR"/>
        </w:rPr>
        <w:t xml:space="preserve">p. </w:t>
      </w:r>
      <w:r w:rsidRPr="00910EF2">
        <w:rPr>
          <w:sz w:val="16"/>
          <w:szCs w:val="16"/>
          <w:lang w:val="fr-FR"/>
        </w:rPr>
        <w:t>103; D. P</w:t>
      </w:r>
      <w:r w:rsidR="00812E34" w:rsidRPr="00910EF2">
        <w:rPr>
          <w:sz w:val="16"/>
          <w:szCs w:val="16"/>
          <w:lang w:val="fr-FR"/>
        </w:rPr>
        <w:t>hilippe</w:t>
      </w:r>
      <w:r w:rsidRPr="00910EF2">
        <w:rPr>
          <w:sz w:val="16"/>
          <w:szCs w:val="16"/>
          <w:lang w:val="fr-FR"/>
        </w:rPr>
        <w:t xml:space="preserve"> </w:t>
      </w:r>
      <w:r w:rsidR="00812E34" w:rsidRPr="00910EF2">
        <w:rPr>
          <w:sz w:val="16"/>
          <w:szCs w:val="16"/>
          <w:lang w:val="fr-FR"/>
        </w:rPr>
        <w:t xml:space="preserve">and </w:t>
      </w:r>
      <w:r w:rsidRPr="00910EF2">
        <w:rPr>
          <w:sz w:val="16"/>
          <w:szCs w:val="16"/>
          <w:lang w:val="fr-FR"/>
        </w:rPr>
        <w:t xml:space="preserve">G. </w:t>
      </w:r>
      <w:proofErr w:type="spellStart"/>
      <w:r w:rsidRPr="00910EF2">
        <w:rPr>
          <w:sz w:val="16"/>
          <w:szCs w:val="16"/>
          <w:lang w:val="fr-FR"/>
        </w:rPr>
        <w:t>S</w:t>
      </w:r>
      <w:r w:rsidR="00812E34" w:rsidRPr="00910EF2">
        <w:rPr>
          <w:sz w:val="16"/>
          <w:szCs w:val="16"/>
          <w:lang w:val="fr-FR"/>
        </w:rPr>
        <w:t>orreaux</w:t>
      </w:r>
      <w:proofErr w:type="spellEnd"/>
      <w:r w:rsidRPr="00910EF2">
        <w:rPr>
          <w:sz w:val="16"/>
          <w:szCs w:val="16"/>
          <w:lang w:val="fr-FR"/>
        </w:rPr>
        <w:t xml:space="preserve">, L’abus de dépendance économique, les clauses abusives et les pratiques du marché déloyales entre entreprises: premiers regards sur la loi du 4 avril 2019, DAOR 2019/3, </w:t>
      </w:r>
      <w:r w:rsidR="00812E34" w:rsidRPr="00910EF2">
        <w:rPr>
          <w:sz w:val="16"/>
          <w:szCs w:val="16"/>
          <w:lang w:val="fr-FR"/>
        </w:rPr>
        <w:t>p.</w:t>
      </w:r>
      <w:r w:rsidRPr="00910EF2">
        <w:rPr>
          <w:sz w:val="16"/>
          <w:szCs w:val="16"/>
          <w:lang w:val="fr-FR"/>
        </w:rPr>
        <w:t xml:space="preserve"> 32 ; J. </w:t>
      </w:r>
      <w:proofErr w:type="spellStart"/>
      <w:r w:rsidRPr="00910EF2">
        <w:rPr>
          <w:sz w:val="16"/>
          <w:szCs w:val="16"/>
          <w:lang w:val="fr-FR"/>
        </w:rPr>
        <w:t>S</w:t>
      </w:r>
      <w:r w:rsidR="00812E34" w:rsidRPr="00910EF2">
        <w:rPr>
          <w:sz w:val="16"/>
          <w:szCs w:val="16"/>
          <w:lang w:val="fr-FR"/>
        </w:rPr>
        <w:t>tuyck</w:t>
      </w:r>
      <w:proofErr w:type="spellEnd"/>
      <w:r w:rsidRPr="00910EF2">
        <w:rPr>
          <w:sz w:val="16"/>
          <w:szCs w:val="16"/>
          <w:lang w:val="fr-FR"/>
        </w:rPr>
        <w:t xml:space="preserve">, </w:t>
      </w:r>
      <w:proofErr w:type="spellStart"/>
      <w:r w:rsidRPr="00910EF2">
        <w:rPr>
          <w:sz w:val="16"/>
          <w:szCs w:val="16"/>
          <w:lang w:val="fr-FR"/>
        </w:rPr>
        <w:t>Ongewenste</w:t>
      </w:r>
      <w:proofErr w:type="spellEnd"/>
      <w:r w:rsidRPr="00910EF2">
        <w:rPr>
          <w:sz w:val="16"/>
          <w:szCs w:val="16"/>
          <w:lang w:val="fr-FR"/>
        </w:rPr>
        <w:t xml:space="preserve"> </w:t>
      </w:r>
      <w:proofErr w:type="spellStart"/>
      <w:r w:rsidRPr="00910EF2">
        <w:rPr>
          <w:sz w:val="16"/>
          <w:szCs w:val="16"/>
          <w:lang w:val="fr-FR"/>
        </w:rPr>
        <w:t>reflexwerking</w:t>
      </w:r>
      <w:proofErr w:type="spellEnd"/>
      <w:r w:rsidRPr="00910EF2">
        <w:rPr>
          <w:sz w:val="16"/>
          <w:szCs w:val="16"/>
          <w:lang w:val="fr-FR"/>
        </w:rPr>
        <w:t xml:space="preserve"> van het </w:t>
      </w:r>
      <w:proofErr w:type="spellStart"/>
      <w:r w:rsidRPr="00910EF2">
        <w:rPr>
          <w:sz w:val="16"/>
          <w:szCs w:val="16"/>
          <w:lang w:val="fr-FR"/>
        </w:rPr>
        <w:t>verbod</w:t>
      </w:r>
      <w:proofErr w:type="spellEnd"/>
      <w:r w:rsidRPr="00910EF2">
        <w:rPr>
          <w:sz w:val="16"/>
          <w:szCs w:val="16"/>
          <w:lang w:val="fr-FR"/>
        </w:rPr>
        <w:t xml:space="preserve"> van </w:t>
      </w:r>
      <w:proofErr w:type="spellStart"/>
      <w:r w:rsidRPr="00910EF2">
        <w:rPr>
          <w:sz w:val="16"/>
          <w:szCs w:val="16"/>
          <w:lang w:val="fr-FR"/>
        </w:rPr>
        <w:t>misbruik</w:t>
      </w:r>
      <w:proofErr w:type="spellEnd"/>
      <w:r w:rsidRPr="00910EF2">
        <w:rPr>
          <w:sz w:val="16"/>
          <w:szCs w:val="16"/>
          <w:lang w:val="fr-FR"/>
        </w:rPr>
        <w:t xml:space="preserve"> van </w:t>
      </w:r>
      <w:proofErr w:type="spellStart"/>
      <w:r w:rsidRPr="00910EF2">
        <w:rPr>
          <w:sz w:val="16"/>
          <w:szCs w:val="16"/>
          <w:lang w:val="fr-FR"/>
        </w:rPr>
        <w:t>economische</w:t>
      </w:r>
      <w:proofErr w:type="spellEnd"/>
      <w:r w:rsidRPr="00910EF2">
        <w:rPr>
          <w:sz w:val="16"/>
          <w:szCs w:val="16"/>
          <w:lang w:val="fr-FR"/>
        </w:rPr>
        <w:t xml:space="preserve"> </w:t>
      </w:r>
      <w:proofErr w:type="spellStart"/>
      <w:r w:rsidRPr="00910EF2">
        <w:rPr>
          <w:sz w:val="16"/>
          <w:szCs w:val="16"/>
          <w:lang w:val="fr-FR"/>
        </w:rPr>
        <w:t>machtspositie</w:t>
      </w:r>
      <w:proofErr w:type="spellEnd"/>
      <w:r w:rsidRPr="00910EF2">
        <w:rPr>
          <w:sz w:val="16"/>
          <w:szCs w:val="16"/>
          <w:lang w:val="fr-FR"/>
        </w:rPr>
        <w:t xml:space="preserve"> op de </w:t>
      </w:r>
      <w:proofErr w:type="spellStart"/>
      <w:r w:rsidRPr="00910EF2">
        <w:rPr>
          <w:sz w:val="16"/>
          <w:szCs w:val="16"/>
          <w:lang w:val="fr-FR"/>
        </w:rPr>
        <w:t>norm</w:t>
      </w:r>
      <w:proofErr w:type="spellEnd"/>
      <w:r w:rsidRPr="00910EF2">
        <w:rPr>
          <w:sz w:val="16"/>
          <w:szCs w:val="16"/>
          <w:lang w:val="fr-FR"/>
        </w:rPr>
        <w:t xml:space="preserve"> der </w:t>
      </w:r>
      <w:proofErr w:type="spellStart"/>
      <w:r w:rsidRPr="00910EF2">
        <w:rPr>
          <w:sz w:val="16"/>
          <w:szCs w:val="16"/>
          <w:lang w:val="fr-FR"/>
        </w:rPr>
        <w:t>eerlijke</w:t>
      </w:r>
      <w:proofErr w:type="spellEnd"/>
      <w:r w:rsidRPr="00910EF2">
        <w:rPr>
          <w:sz w:val="16"/>
          <w:szCs w:val="16"/>
          <w:lang w:val="fr-FR"/>
        </w:rPr>
        <w:t xml:space="preserve"> </w:t>
      </w:r>
      <w:proofErr w:type="spellStart"/>
      <w:r w:rsidRPr="00910EF2">
        <w:rPr>
          <w:sz w:val="16"/>
          <w:szCs w:val="16"/>
          <w:lang w:val="fr-FR"/>
        </w:rPr>
        <w:t>handelsgebruiken</w:t>
      </w:r>
      <w:proofErr w:type="spellEnd"/>
      <w:r w:rsidRPr="00910EF2">
        <w:rPr>
          <w:sz w:val="16"/>
          <w:szCs w:val="16"/>
          <w:lang w:val="fr-FR"/>
        </w:rPr>
        <w:t xml:space="preserve">, TBH 2021, </w:t>
      </w:r>
      <w:r w:rsidR="00812E34" w:rsidRPr="00910EF2">
        <w:rPr>
          <w:sz w:val="16"/>
          <w:szCs w:val="16"/>
          <w:lang w:val="fr-FR"/>
        </w:rPr>
        <w:t xml:space="preserve">p. </w:t>
      </w:r>
      <w:r w:rsidRPr="00910EF2">
        <w:rPr>
          <w:sz w:val="16"/>
          <w:szCs w:val="16"/>
          <w:lang w:val="fr-FR"/>
        </w:rPr>
        <w:t xml:space="preserve">656.    </w:t>
      </w:r>
    </w:p>
  </w:footnote>
  <w:footnote w:id="88">
    <w:p w14:paraId="6159B7AF" w14:textId="77777777" w:rsidR="00315055" w:rsidRPr="00910EF2" w:rsidRDefault="00315055" w:rsidP="001A67CD">
      <w:pPr>
        <w:pStyle w:val="FootnoteText"/>
        <w:jc w:val="both"/>
        <w:rPr>
          <w:sz w:val="16"/>
          <w:szCs w:val="16"/>
          <w:lang w:val="en-US"/>
        </w:rPr>
      </w:pPr>
      <w:r w:rsidRPr="00F10409">
        <w:rPr>
          <w:rStyle w:val="FootnoteReference"/>
          <w:sz w:val="16"/>
          <w:szCs w:val="16"/>
          <w:lang w:val="nl-BE"/>
        </w:rPr>
        <w:footnoteRef/>
      </w:r>
      <w:r w:rsidRPr="00910EF2">
        <w:rPr>
          <w:sz w:val="16"/>
          <w:szCs w:val="16"/>
          <w:lang w:val="en-US"/>
        </w:rPr>
        <w:tab/>
        <w:t xml:space="preserve">Supreme Court 7 January 2000, AR C.99.0233.N, </w:t>
      </w:r>
      <w:hyperlink r:id="rId18" w:history="1">
        <w:r w:rsidRPr="00910EF2">
          <w:rPr>
            <w:rStyle w:val="Hyperlink"/>
            <w:color w:val="auto"/>
            <w:sz w:val="16"/>
            <w:szCs w:val="16"/>
            <w:lang w:val="en-US"/>
          </w:rPr>
          <w:t>www.juportal.be</w:t>
        </w:r>
      </w:hyperlink>
      <w:r w:rsidRPr="00910EF2">
        <w:rPr>
          <w:sz w:val="16"/>
          <w:szCs w:val="16"/>
          <w:lang w:val="en-US"/>
        </w:rPr>
        <w:t xml:space="preserve">.   </w:t>
      </w:r>
    </w:p>
  </w:footnote>
  <w:footnote w:id="89">
    <w:p w14:paraId="49E89562" w14:textId="37CC2B1D" w:rsidR="00315055" w:rsidRPr="00910EF2" w:rsidRDefault="00315055" w:rsidP="001A67CD">
      <w:pPr>
        <w:pStyle w:val="FootnoteText"/>
        <w:jc w:val="both"/>
        <w:rPr>
          <w:sz w:val="16"/>
          <w:szCs w:val="16"/>
          <w:lang w:val="en-US"/>
        </w:rPr>
      </w:pPr>
      <w:r w:rsidRPr="00F10409">
        <w:rPr>
          <w:rStyle w:val="FootnoteReference"/>
          <w:sz w:val="16"/>
          <w:szCs w:val="16"/>
          <w:lang w:val="nl-BE"/>
        </w:rPr>
        <w:footnoteRef/>
      </w:r>
      <w:r w:rsidRPr="00910EF2">
        <w:rPr>
          <w:sz w:val="16"/>
          <w:szCs w:val="16"/>
          <w:lang w:val="en-US"/>
        </w:rPr>
        <w:tab/>
        <w:t xml:space="preserve">Pres. Enterprise Court Brussels 11 February 2021, </w:t>
      </w:r>
      <w:proofErr w:type="spellStart"/>
      <w:r w:rsidR="00812E34" w:rsidRPr="00910EF2">
        <w:rPr>
          <w:sz w:val="16"/>
          <w:szCs w:val="16"/>
          <w:lang w:val="en-US"/>
        </w:rPr>
        <w:t>Competitio</w:t>
      </w:r>
      <w:proofErr w:type="spellEnd"/>
      <w:r w:rsidRPr="00910EF2">
        <w:rPr>
          <w:sz w:val="16"/>
          <w:szCs w:val="16"/>
          <w:lang w:val="en-US"/>
        </w:rPr>
        <w:t xml:space="preserve"> 2021</w:t>
      </w:r>
      <w:r w:rsidR="0007624B" w:rsidRPr="00910EF2">
        <w:rPr>
          <w:sz w:val="16"/>
          <w:szCs w:val="16"/>
          <w:lang w:val="en-US"/>
        </w:rPr>
        <w:t>/2</w:t>
      </w:r>
      <w:r w:rsidRPr="00910EF2">
        <w:rPr>
          <w:sz w:val="16"/>
          <w:szCs w:val="16"/>
          <w:lang w:val="en-US"/>
        </w:rPr>
        <w:t xml:space="preserve">, </w:t>
      </w:r>
      <w:r w:rsidR="00812E34" w:rsidRPr="00910EF2">
        <w:rPr>
          <w:sz w:val="16"/>
          <w:szCs w:val="16"/>
          <w:lang w:val="en-US"/>
        </w:rPr>
        <w:t xml:space="preserve">pp. </w:t>
      </w:r>
      <w:r w:rsidRPr="00910EF2">
        <w:rPr>
          <w:sz w:val="16"/>
          <w:szCs w:val="16"/>
          <w:lang w:val="en-US"/>
        </w:rPr>
        <w:t xml:space="preserve">166-167. </w:t>
      </w:r>
    </w:p>
  </w:footnote>
  <w:footnote w:id="90">
    <w:p w14:paraId="1749D5DA" w14:textId="5B8B9375" w:rsidR="00DA2E1D" w:rsidRPr="00F10409" w:rsidRDefault="00DA2E1D" w:rsidP="001A67CD">
      <w:pPr>
        <w:pStyle w:val="FootnoteText"/>
        <w:ind w:left="720" w:hanging="720"/>
        <w:jc w:val="both"/>
        <w:rPr>
          <w:sz w:val="16"/>
          <w:szCs w:val="16"/>
          <w:lang w:val="nl-BE"/>
        </w:rPr>
      </w:pPr>
      <w:r w:rsidRPr="00F10409">
        <w:rPr>
          <w:rStyle w:val="FootnoteReference"/>
          <w:sz w:val="16"/>
          <w:szCs w:val="16"/>
          <w:lang w:val="nl-BE"/>
        </w:rPr>
        <w:footnoteRef/>
      </w:r>
      <w:r w:rsidRPr="00F10409">
        <w:rPr>
          <w:sz w:val="16"/>
          <w:szCs w:val="16"/>
          <w:lang w:val="nl-BE"/>
        </w:rPr>
        <w:tab/>
        <w:t>S. D</w:t>
      </w:r>
      <w:r w:rsidR="00812E34" w:rsidRPr="00F10409">
        <w:rPr>
          <w:sz w:val="16"/>
          <w:szCs w:val="16"/>
          <w:lang w:val="nl-BE"/>
        </w:rPr>
        <w:t xml:space="preserve">e </w:t>
      </w:r>
      <w:proofErr w:type="spellStart"/>
      <w:r w:rsidR="00812E34" w:rsidRPr="00F10409">
        <w:rPr>
          <w:sz w:val="16"/>
          <w:szCs w:val="16"/>
          <w:lang w:val="nl-BE"/>
        </w:rPr>
        <w:t>Pourcq</w:t>
      </w:r>
      <w:proofErr w:type="spellEnd"/>
      <w:r w:rsidRPr="00F10409">
        <w:rPr>
          <w:sz w:val="16"/>
          <w:szCs w:val="16"/>
          <w:lang w:val="nl-BE"/>
        </w:rPr>
        <w:t xml:space="preserve">, Oneerlijke handelspraktijken en bedingen in contracten tussen ondernemingen, Antwerpen, </w:t>
      </w:r>
      <w:proofErr w:type="spellStart"/>
      <w:r w:rsidRPr="00F10409">
        <w:rPr>
          <w:sz w:val="16"/>
          <w:szCs w:val="16"/>
          <w:lang w:val="nl-BE"/>
        </w:rPr>
        <w:t>Intersentia</w:t>
      </w:r>
      <w:proofErr w:type="spellEnd"/>
      <w:r w:rsidRPr="00F10409">
        <w:rPr>
          <w:sz w:val="16"/>
          <w:szCs w:val="16"/>
          <w:lang w:val="nl-BE"/>
        </w:rPr>
        <w:t>, 2018,</w:t>
      </w:r>
      <w:r w:rsidR="00812E34" w:rsidRPr="00F10409">
        <w:rPr>
          <w:sz w:val="16"/>
          <w:szCs w:val="16"/>
          <w:lang w:val="nl-BE"/>
        </w:rPr>
        <w:t xml:space="preserve"> p.</w:t>
      </w:r>
      <w:r w:rsidRPr="00F10409">
        <w:rPr>
          <w:sz w:val="16"/>
          <w:szCs w:val="16"/>
          <w:lang w:val="nl-BE"/>
        </w:rPr>
        <w:t xml:space="preserve"> 592.   </w:t>
      </w:r>
    </w:p>
  </w:footnote>
  <w:footnote w:id="91">
    <w:p w14:paraId="7F475D79" w14:textId="2D617EB9" w:rsidR="00F8391A" w:rsidRPr="00910EF2" w:rsidRDefault="00F8391A" w:rsidP="001A67CD">
      <w:pPr>
        <w:pStyle w:val="FootnoteText"/>
        <w:jc w:val="both"/>
        <w:rPr>
          <w:sz w:val="16"/>
          <w:szCs w:val="16"/>
          <w:lang w:val="fr-FR"/>
        </w:rPr>
      </w:pPr>
      <w:r w:rsidRPr="00F10409">
        <w:rPr>
          <w:rStyle w:val="FootnoteReference"/>
          <w:sz w:val="16"/>
          <w:szCs w:val="16"/>
          <w:lang w:val="nl-BE"/>
        </w:rPr>
        <w:footnoteRef/>
      </w:r>
      <w:r w:rsidRPr="00910EF2">
        <w:rPr>
          <w:sz w:val="16"/>
          <w:szCs w:val="16"/>
          <w:lang w:val="fr-FR"/>
        </w:rPr>
        <w:tab/>
        <w:t xml:space="preserve">Article IV.1 BCEL. </w:t>
      </w:r>
    </w:p>
  </w:footnote>
  <w:footnote w:id="92">
    <w:p w14:paraId="5C07137A" w14:textId="2F0AE6B5" w:rsidR="00F8391A" w:rsidRPr="00910EF2" w:rsidRDefault="00F8391A" w:rsidP="001A67CD">
      <w:pPr>
        <w:pStyle w:val="FootnoteText"/>
        <w:jc w:val="both"/>
        <w:rPr>
          <w:sz w:val="16"/>
          <w:szCs w:val="16"/>
          <w:lang w:val="fr-FR"/>
        </w:rPr>
      </w:pPr>
      <w:r w:rsidRPr="00F10409">
        <w:rPr>
          <w:rStyle w:val="FootnoteReference"/>
          <w:sz w:val="16"/>
          <w:szCs w:val="16"/>
          <w:lang w:val="nl-BE"/>
        </w:rPr>
        <w:footnoteRef/>
      </w:r>
      <w:r w:rsidRPr="00910EF2">
        <w:rPr>
          <w:sz w:val="16"/>
          <w:szCs w:val="16"/>
          <w:lang w:val="fr-FR"/>
        </w:rPr>
        <w:tab/>
        <w:t xml:space="preserve">Article IV.2 BCEL. </w:t>
      </w:r>
    </w:p>
  </w:footnote>
  <w:footnote w:id="93">
    <w:p w14:paraId="2F18B81C" w14:textId="67AA9F20" w:rsidR="00F8391A" w:rsidRPr="00910EF2" w:rsidRDefault="00F8391A" w:rsidP="001A67CD">
      <w:pPr>
        <w:pStyle w:val="FootnoteText"/>
        <w:jc w:val="both"/>
        <w:rPr>
          <w:sz w:val="16"/>
          <w:szCs w:val="16"/>
          <w:lang w:val="en-US"/>
        </w:rPr>
      </w:pPr>
      <w:r w:rsidRPr="00F10409">
        <w:rPr>
          <w:rStyle w:val="FootnoteReference"/>
          <w:sz w:val="16"/>
          <w:szCs w:val="16"/>
          <w:lang w:val="nl-BE"/>
        </w:rPr>
        <w:footnoteRef/>
      </w:r>
      <w:r w:rsidRPr="00910EF2">
        <w:rPr>
          <w:sz w:val="16"/>
          <w:szCs w:val="16"/>
          <w:lang w:val="en-US"/>
        </w:rPr>
        <w:tab/>
        <w:t>Article VI.</w:t>
      </w:r>
      <w:r w:rsidR="008121AC" w:rsidRPr="00910EF2">
        <w:rPr>
          <w:sz w:val="16"/>
          <w:szCs w:val="16"/>
          <w:lang w:val="en-US"/>
        </w:rPr>
        <w:t>91/1</w:t>
      </w:r>
      <w:r w:rsidRPr="00910EF2">
        <w:rPr>
          <w:sz w:val="16"/>
          <w:szCs w:val="16"/>
          <w:lang w:val="en-US"/>
        </w:rPr>
        <w:t xml:space="preserve"> and following BCEL. </w:t>
      </w:r>
    </w:p>
  </w:footnote>
  <w:footnote w:id="94">
    <w:p w14:paraId="5C177863" w14:textId="2154DCB4" w:rsidR="00902986" w:rsidRPr="00910EF2" w:rsidRDefault="00902986" w:rsidP="001A67CD">
      <w:pPr>
        <w:pStyle w:val="FootnoteText"/>
        <w:jc w:val="both"/>
        <w:rPr>
          <w:sz w:val="16"/>
          <w:szCs w:val="16"/>
          <w:lang w:val="en-US"/>
        </w:rPr>
      </w:pPr>
      <w:r w:rsidRPr="00F10409">
        <w:rPr>
          <w:rStyle w:val="FootnoteReference"/>
          <w:sz w:val="16"/>
          <w:szCs w:val="16"/>
          <w:lang w:val="nl-BE"/>
        </w:rPr>
        <w:footnoteRef/>
      </w:r>
      <w:r w:rsidRPr="00910EF2">
        <w:rPr>
          <w:sz w:val="16"/>
          <w:szCs w:val="16"/>
          <w:lang w:val="en-US"/>
        </w:rPr>
        <w:tab/>
        <w:t xml:space="preserve">Articles 5.33 and following Belgian Civil Code. </w:t>
      </w:r>
    </w:p>
  </w:footnote>
  <w:footnote w:id="95">
    <w:p w14:paraId="395C0E7D" w14:textId="77777777" w:rsidR="001A67CD" w:rsidRPr="00910EF2" w:rsidRDefault="001A67CD" w:rsidP="001A67CD">
      <w:pPr>
        <w:pStyle w:val="FootnoteText"/>
        <w:jc w:val="both"/>
        <w:rPr>
          <w:sz w:val="16"/>
          <w:szCs w:val="16"/>
          <w:lang w:val="fr-FR"/>
        </w:rPr>
      </w:pPr>
      <w:r w:rsidRPr="00F10409">
        <w:rPr>
          <w:rStyle w:val="FootnoteReference"/>
          <w:sz w:val="16"/>
          <w:szCs w:val="16"/>
          <w:lang w:val="nl-BE"/>
        </w:rPr>
        <w:footnoteRef/>
      </w:r>
      <w:r w:rsidRPr="00910EF2">
        <w:rPr>
          <w:sz w:val="16"/>
          <w:szCs w:val="16"/>
          <w:lang w:val="fr-FR"/>
        </w:rPr>
        <w:tab/>
        <w:t xml:space="preserve">Article VI.105 BCEL. </w:t>
      </w:r>
    </w:p>
  </w:footnote>
  <w:footnote w:id="96">
    <w:p w14:paraId="2922D145" w14:textId="77777777" w:rsidR="00B454CE" w:rsidRPr="00910EF2" w:rsidRDefault="00B454CE" w:rsidP="001A67CD">
      <w:pPr>
        <w:pStyle w:val="FootnoteText"/>
        <w:jc w:val="both"/>
        <w:rPr>
          <w:sz w:val="16"/>
          <w:szCs w:val="16"/>
          <w:lang w:val="fr-FR"/>
        </w:rPr>
      </w:pPr>
      <w:r w:rsidRPr="00F10409">
        <w:rPr>
          <w:rStyle w:val="FootnoteReference"/>
          <w:sz w:val="16"/>
          <w:szCs w:val="16"/>
          <w:lang w:val="nl-BE"/>
        </w:rPr>
        <w:footnoteRef/>
      </w:r>
      <w:r w:rsidRPr="00910EF2">
        <w:rPr>
          <w:sz w:val="16"/>
          <w:szCs w:val="16"/>
          <w:lang w:val="fr-FR"/>
        </w:rPr>
        <w:tab/>
        <w:t xml:space="preserve">Article 5.37 </w:t>
      </w:r>
      <w:proofErr w:type="spellStart"/>
      <w:r w:rsidRPr="00910EF2">
        <w:rPr>
          <w:sz w:val="16"/>
          <w:szCs w:val="16"/>
          <w:lang w:val="fr-FR"/>
        </w:rPr>
        <w:t>Belgian</w:t>
      </w:r>
      <w:proofErr w:type="spellEnd"/>
      <w:r w:rsidRPr="00910EF2">
        <w:rPr>
          <w:sz w:val="16"/>
          <w:szCs w:val="16"/>
          <w:lang w:val="fr-FR"/>
        </w:rPr>
        <w:t xml:space="preserve"> Civil Code. </w:t>
      </w:r>
    </w:p>
  </w:footnote>
  <w:footnote w:id="97">
    <w:p w14:paraId="4F82F8D9" w14:textId="0CAF6A01" w:rsidR="00B454CE" w:rsidRPr="00F10409" w:rsidRDefault="00B454CE" w:rsidP="001A67CD">
      <w:pPr>
        <w:pStyle w:val="FootnoteText"/>
        <w:jc w:val="both"/>
        <w:rPr>
          <w:sz w:val="16"/>
          <w:szCs w:val="16"/>
          <w:lang w:val="nl-BE"/>
        </w:rPr>
      </w:pPr>
      <w:r w:rsidRPr="00F10409">
        <w:rPr>
          <w:rStyle w:val="FootnoteReference"/>
          <w:sz w:val="16"/>
          <w:szCs w:val="16"/>
          <w:lang w:val="nl-BE"/>
        </w:rPr>
        <w:footnoteRef/>
      </w:r>
      <w:r w:rsidRPr="00F10409">
        <w:rPr>
          <w:sz w:val="16"/>
          <w:szCs w:val="16"/>
          <w:lang w:val="nl-BE"/>
        </w:rPr>
        <w:tab/>
      </w:r>
      <w:proofErr w:type="spellStart"/>
      <w:r w:rsidRPr="00F10409">
        <w:rPr>
          <w:sz w:val="16"/>
          <w:szCs w:val="16"/>
          <w:lang w:val="nl-BE"/>
        </w:rPr>
        <w:t>Articles</w:t>
      </w:r>
      <w:proofErr w:type="spellEnd"/>
      <w:r w:rsidRPr="00F10409">
        <w:rPr>
          <w:sz w:val="16"/>
          <w:szCs w:val="16"/>
          <w:lang w:val="nl-BE"/>
        </w:rPr>
        <w:t xml:space="preserve"> VI.104 and VI.109/1 BCEL. </w:t>
      </w:r>
    </w:p>
  </w:footnote>
  <w:footnote w:id="98">
    <w:p w14:paraId="667AED70" w14:textId="7BE42C71" w:rsidR="00B454CE" w:rsidRPr="00F10409" w:rsidRDefault="00B454CE" w:rsidP="001A67CD">
      <w:pPr>
        <w:pStyle w:val="FootnoteText"/>
        <w:jc w:val="both"/>
        <w:rPr>
          <w:sz w:val="16"/>
          <w:szCs w:val="16"/>
          <w:lang w:val="nl-BE"/>
        </w:rPr>
      </w:pPr>
      <w:r w:rsidRPr="00F10409">
        <w:rPr>
          <w:rStyle w:val="FootnoteReference"/>
          <w:sz w:val="16"/>
          <w:szCs w:val="16"/>
          <w:lang w:val="nl-BE"/>
        </w:rPr>
        <w:footnoteRef/>
      </w:r>
      <w:r w:rsidRPr="00F10409">
        <w:rPr>
          <w:sz w:val="16"/>
          <w:szCs w:val="16"/>
          <w:lang w:val="nl-BE"/>
        </w:rPr>
        <w:tab/>
      </w:r>
      <w:proofErr w:type="spellStart"/>
      <w:r w:rsidRPr="00F10409">
        <w:rPr>
          <w:sz w:val="16"/>
          <w:szCs w:val="16"/>
          <w:lang w:val="nl-BE"/>
        </w:rPr>
        <w:t>Article</w:t>
      </w:r>
      <w:proofErr w:type="spellEnd"/>
      <w:r w:rsidRPr="00F10409">
        <w:rPr>
          <w:sz w:val="16"/>
          <w:szCs w:val="16"/>
          <w:lang w:val="nl-BE"/>
        </w:rPr>
        <w:t xml:space="preserve"> 1.10 </w:t>
      </w:r>
      <w:proofErr w:type="spellStart"/>
      <w:r w:rsidRPr="00F10409">
        <w:rPr>
          <w:sz w:val="16"/>
          <w:szCs w:val="16"/>
          <w:lang w:val="nl-BE"/>
        </w:rPr>
        <w:t>Belgian</w:t>
      </w:r>
      <w:proofErr w:type="spellEnd"/>
      <w:r w:rsidRPr="00F10409">
        <w:rPr>
          <w:sz w:val="16"/>
          <w:szCs w:val="16"/>
          <w:lang w:val="nl-BE"/>
        </w:rPr>
        <w:t xml:space="preserve"> </w:t>
      </w:r>
      <w:proofErr w:type="spellStart"/>
      <w:r w:rsidRPr="00F10409">
        <w:rPr>
          <w:sz w:val="16"/>
          <w:szCs w:val="16"/>
          <w:lang w:val="nl-BE"/>
        </w:rPr>
        <w:t>Civil</w:t>
      </w:r>
      <w:proofErr w:type="spellEnd"/>
      <w:r w:rsidRPr="00F10409">
        <w:rPr>
          <w:sz w:val="16"/>
          <w:szCs w:val="16"/>
          <w:lang w:val="nl-BE"/>
        </w:rPr>
        <w:t xml:space="preserve"> Code.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B2F2" w14:textId="77777777" w:rsidR="00734E8A" w:rsidRDefault="00734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6095" w14:textId="52ECA59C" w:rsidR="00AC0084" w:rsidRPr="00C2307B" w:rsidRDefault="006133D1" w:rsidP="006133D1">
    <w:pPr>
      <w:pStyle w:val="Header"/>
      <w:rPr>
        <w:sz w:val="20"/>
        <w:szCs w:val="20"/>
        <w:lang w:val="en-BE"/>
      </w:rPr>
    </w:pPr>
    <w:r w:rsidRPr="00C2307B">
      <w:rPr>
        <w:sz w:val="20"/>
        <w:szCs w:val="20"/>
        <w:lang w:val="en-BE"/>
      </w:rPr>
      <w:t>Bo De Clercq</w:t>
    </w:r>
  </w:p>
  <w:p w14:paraId="45B7A46C" w14:textId="21DF5098" w:rsidR="006133D1" w:rsidRPr="00C2307B" w:rsidRDefault="006133D1" w:rsidP="006133D1">
    <w:pPr>
      <w:pStyle w:val="Header"/>
      <w:rPr>
        <w:sz w:val="20"/>
        <w:szCs w:val="20"/>
        <w:lang w:val="en-BE"/>
      </w:rPr>
    </w:pPr>
    <w:r w:rsidRPr="00C2307B">
      <w:rPr>
        <w:sz w:val="20"/>
        <w:szCs w:val="20"/>
        <w:lang w:val="en-BE"/>
      </w:rPr>
      <w:t>Linklaters LLP, Brussels</w:t>
    </w:r>
  </w:p>
  <w:p w14:paraId="62BD52A0" w14:textId="6104FFA4" w:rsidR="006133D1" w:rsidRPr="00C2307B" w:rsidRDefault="006133D1" w:rsidP="006133D1">
    <w:pPr>
      <w:pStyle w:val="Header"/>
      <w:rPr>
        <w:sz w:val="20"/>
        <w:szCs w:val="20"/>
        <w:lang w:val="en-BE"/>
      </w:rPr>
    </w:pPr>
    <w:r w:rsidRPr="00C2307B">
      <w:rPr>
        <w:sz w:val="20"/>
        <w:szCs w:val="20"/>
        <w:lang w:val="en-BE"/>
      </w:rPr>
      <w:t>Email: bo.declercq@linklaters.com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0297" w14:textId="77777777" w:rsidR="00734E8A" w:rsidRDefault="00734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81B"/>
    <w:multiLevelType w:val="multilevel"/>
    <w:tmpl w:val="0409001F"/>
    <w:lvl w:ilvl="0">
      <w:start w:val="1"/>
      <w:numFmt w:val="decimal"/>
      <w:lvlText w:val="%1."/>
      <w:lvlJc w:val="left"/>
      <w:pPr>
        <w:ind w:left="360" w:hanging="360"/>
      </w:pPr>
      <w:rPr>
        <w:rFonts w:hint="default"/>
        <w:b/>
        <w:bCs/>
        <w:i w:val="0"/>
        <w:iCs w:val="0"/>
        <w:spacing w:val="0"/>
        <w:w w:val="100"/>
        <w:sz w:val="20"/>
        <w:szCs w:val="20"/>
        <w:lang w:val="en-US" w:eastAsia="en-US" w:bidi="ar-SA"/>
      </w:rPr>
    </w:lvl>
    <w:lvl w:ilvl="1">
      <w:start w:val="1"/>
      <w:numFmt w:val="decimal"/>
      <w:lvlText w:val="%1.%2."/>
      <w:lvlJc w:val="left"/>
      <w:pPr>
        <w:ind w:left="792" w:hanging="432"/>
      </w:pPr>
      <w:rPr>
        <w:rFonts w:hint="default"/>
        <w:b/>
        <w:bCs/>
        <w:i w:val="0"/>
        <w:iCs w:val="0"/>
        <w:spacing w:val="0"/>
        <w:w w:val="100"/>
        <w:sz w:val="20"/>
        <w:szCs w:val="20"/>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 w15:restartNumberingAfterBreak="0">
    <w:nsid w:val="13862CC7"/>
    <w:multiLevelType w:val="hybridMultilevel"/>
    <w:tmpl w:val="16D0A538"/>
    <w:lvl w:ilvl="0" w:tplc="582264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73ACB"/>
    <w:multiLevelType w:val="hybridMultilevel"/>
    <w:tmpl w:val="66261D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BC9378F"/>
    <w:multiLevelType w:val="hybridMultilevel"/>
    <w:tmpl w:val="1F84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9936CD"/>
    <w:multiLevelType w:val="multilevel"/>
    <w:tmpl w:val="4150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D3754"/>
    <w:multiLevelType w:val="multilevel"/>
    <w:tmpl w:val="0D803D9A"/>
    <w:lvl w:ilvl="0">
      <w:start w:val="3"/>
      <w:numFmt w:val="decimal"/>
      <w:lvlText w:val="%1."/>
      <w:lvlJc w:val="left"/>
      <w:pPr>
        <w:ind w:left="363" w:hanging="360"/>
      </w:pPr>
      <w:rPr>
        <w:rFonts w:ascii="Times New Roman" w:eastAsia="Times New Roman" w:hAnsi="Times New Roman" w:cs="Times New Roman" w:hint="default"/>
        <w:b/>
        <w:bCs/>
        <w:i w:val="0"/>
        <w:iCs w:val="0"/>
        <w:spacing w:val="0"/>
        <w:w w:val="100"/>
        <w:sz w:val="24"/>
        <w:szCs w:val="24"/>
      </w:rPr>
    </w:lvl>
    <w:lvl w:ilvl="1">
      <w:start w:val="1"/>
      <w:numFmt w:val="decimal"/>
      <w:lvlText w:val="%1.%2."/>
      <w:lvlJc w:val="left"/>
      <w:pPr>
        <w:ind w:left="795" w:hanging="432"/>
      </w:pPr>
      <w:rPr>
        <w:rFonts w:ascii="Times New Roman" w:eastAsia="Times New Roman" w:hAnsi="Times New Roman" w:cs="Times New Roman" w:hint="default"/>
        <w:b/>
        <w:bCs/>
        <w:i w:val="0"/>
        <w:iCs w:val="0"/>
        <w:spacing w:val="0"/>
        <w:w w:val="100"/>
        <w:sz w:val="24"/>
        <w:szCs w:val="24"/>
      </w:rPr>
    </w:lvl>
    <w:lvl w:ilvl="2">
      <w:numFmt w:val="bullet"/>
      <w:lvlText w:val="•"/>
      <w:lvlJc w:val="left"/>
      <w:pPr>
        <w:ind w:left="1734" w:hanging="432"/>
      </w:pPr>
      <w:rPr>
        <w:rFonts w:hint="default"/>
      </w:rPr>
    </w:lvl>
    <w:lvl w:ilvl="3">
      <w:numFmt w:val="bullet"/>
      <w:lvlText w:val="•"/>
      <w:lvlJc w:val="left"/>
      <w:pPr>
        <w:ind w:left="2669" w:hanging="432"/>
      </w:pPr>
      <w:rPr>
        <w:rFonts w:hint="default"/>
      </w:rPr>
    </w:lvl>
    <w:lvl w:ilvl="4">
      <w:numFmt w:val="bullet"/>
      <w:lvlText w:val="•"/>
      <w:lvlJc w:val="left"/>
      <w:pPr>
        <w:ind w:left="3604" w:hanging="432"/>
      </w:pPr>
      <w:rPr>
        <w:rFonts w:hint="default"/>
      </w:rPr>
    </w:lvl>
    <w:lvl w:ilvl="5">
      <w:numFmt w:val="bullet"/>
      <w:lvlText w:val="•"/>
      <w:lvlJc w:val="left"/>
      <w:pPr>
        <w:ind w:left="4539" w:hanging="432"/>
      </w:pPr>
      <w:rPr>
        <w:rFonts w:hint="default"/>
      </w:rPr>
    </w:lvl>
    <w:lvl w:ilvl="6">
      <w:numFmt w:val="bullet"/>
      <w:lvlText w:val="•"/>
      <w:lvlJc w:val="left"/>
      <w:pPr>
        <w:ind w:left="5474" w:hanging="432"/>
      </w:pPr>
      <w:rPr>
        <w:rFonts w:hint="default"/>
      </w:rPr>
    </w:lvl>
    <w:lvl w:ilvl="7">
      <w:numFmt w:val="bullet"/>
      <w:lvlText w:val="•"/>
      <w:lvlJc w:val="left"/>
      <w:pPr>
        <w:ind w:left="6409" w:hanging="432"/>
      </w:pPr>
      <w:rPr>
        <w:rFonts w:hint="default"/>
      </w:rPr>
    </w:lvl>
    <w:lvl w:ilvl="8">
      <w:numFmt w:val="bullet"/>
      <w:lvlText w:val="•"/>
      <w:lvlJc w:val="left"/>
      <w:pPr>
        <w:ind w:left="7343" w:hanging="432"/>
      </w:pPr>
      <w:rPr>
        <w:rFonts w:hint="default"/>
      </w:rPr>
    </w:lvl>
  </w:abstractNum>
  <w:abstractNum w:abstractNumId="6" w15:restartNumberingAfterBreak="0">
    <w:nsid w:val="3B90484D"/>
    <w:multiLevelType w:val="hybridMultilevel"/>
    <w:tmpl w:val="C96CA9B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B746C39"/>
    <w:multiLevelType w:val="multilevel"/>
    <w:tmpl w:val="0409001F"/>
    <w:lvl w:ilvl="0">
      <w:start w:val="1"/>
      <w:numFmt w:val="decimal"/>
      <w:lvlText w:val="%1."/>
      <w:lvlJc w:val="left"/>
      <w:pPr>
        <w:ind w:left="360" w:hanging="360"/>
      </w:pPr>
      <w:rPr>
        <w:rFonts w:hint="default"/>
        <w:b/>
        <w:bCs/>
        <w:i w:val="0"/>
        <w:iCs w:val="0"/>
        <w:spacing w:val="0"/>
        <w:w w:val="100"/>
        <w:sz w:val="20"/>
        <w:szCs w:val="20"/>
        <w:lang w:val="en-US" w:eastAsia="en-US" w:bidi="ar-SA"/>
      </w:rPr>
    </w:lvl>
    <w:lvl w:ilvl="1">
      <w:start w:val="1"/>
      <w:numFmt w:val="decimal"/>
      <w:lvlText w:val="%1.%2."/>
      <w:lvlJc w:val="left"/>
      <w:pPr>
        <w:ind w:left="792" w:hanging="432"/>
      </w:pPr>
      <w:rPr>
        <w:rFonts w:hint="default"/>
        <w:b/>
        <w:bCs/>
        <w:i w:val="0"/>
        <w:iCs w:val="0"/>
        <w:spacing w:val="0"/>
        <w:w w:val="100"/>
        <w:sz w:val="20"/>
        <w:szCs w:val="20"/>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8" w15:restartNumberingAfterBreak="0">
    <w:nsid w:val="5E151532"/>
    <w:multiLevelType w:val="hybridMultilevel"/>
    <w:tmpl w:val="CDD05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C21621"/>
    <w:multiLevelType w:val="hybridMultilevel"/>
    <w:tmpl w:val="7A22F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2A4D6E"/>
    <w:multiLevelType w:val="hybridMultilevel"/>
    <w:tmpl w:val="5C3AABF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A8118C1"/>
    <w:multiLevelType w:val="multilevel"/>
    <w:tmpl w:val="A710B99A"/>
    <w:lvl w:ilvl="0">
      <w:start w:val="1"/>
      <w:numFmt w:val="decimal"/>
      <w:lvlText w:val="%1."/>
      <w:lvlJc w:val="left"/>
      <w:pPr>
        <w:ind w:left="360" w:hanging="360"/>
      </w:pPr>
      <w:rPr>
        <w:rFonts w:hint="default"/>
        <w:b/>
        <w:bCs/>
        <w:i w:val="0"/>
        <w:iCs w:val="0"/>
        <w:spacing w:val="0"/>
        <w:w w:val="100"/>
        <w:sz w:val="20"/>
        <w:szCs w:val="20"/>
        <w:lang w:val="en-US" w:eastAsia="en-US" w:bidi="ar-SA"/>
      </w:rPr>
    </w:lvl>
    <w:lvl w:ilvl="1">
      <w:start w:val="1"/>
      <w:numFmt w:val="decimal"/>
      <w:lvlText w:val="%1.%2."/>
      <w:lvlJc w:val="left"/>
      <w:pPr>
        <w:ind w:left="792" w:hanging="432"/>
      </w:pPr>
      <w:rPr>
        <w:rFonts w:hint="default"/>
        <w:b/>
        <w:bCs/>
        <w:i w:val="0"/>
        <w:iCs w:val="0"/>
        <w:spacing w:val="0"/>
        <w:w w:val="100"/>
        <w:sz w:val="20"/>
        <w:szCs w:val="20"/>
        <w:lang w:val="en-US" w:eastAsia="en-US" w:bidi="ar-SA"/>
      </w:rPr>
    </w:lvl>
    <w:lvl w:ilvl="2">
      <w:start w:val="1"/>
      <w:numFmt w:val="decimal"/>
      <w:lvlText w:val="%1.%2.%3."/>
      <w:lvlJc w:val="left"/>
      <w:pPr>
        <w:ind w:left="1224" w:hanging="504"/>
      </w:pPr>
      <w:rPr>
        <w:rFonts w:hint="default"/>
        <w:b/>
        <w:bCs/>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2" w15:restartNumberingAfterBreak="0">
    <w:nsid w:val="6AA504E0"/>
    <w:multiLevelType w:val="hybridMultilevel"/>
    <w:tmpl w:val="C026F07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3C223E9"/>
    <w:multiLevelType w:val="hybridMultilevel"/>
    <w:tmpl w:val="0750CE94"/>
    <w:lvl w:ilvl="0" w:tplc="8D44DF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4260043">
    <w:abstractNumId w:val="11"/>
  </w:num>
  <w:num w:numId="2" w16cid:durableId="1838573456">
    <w:abstractNumId w:val="8"/>
  </w:num>
  <w:num w:numId="3" w16cid:durableId="206796394">
    <w:abstractNumId w:val="3"/>
  </w:num>
  <w:num w:numId="4" w16cid:durableId="788091668">
    <w:abstractNumId w:val="12"/>
  </w:num>
  <w:num w:numId="5" w16cid:durableId="921257920">
    <w:abstractNumId w:val="10"/>
  </w:num>
  <w:num w:numId="6" w16cid:durableId="2115248285">
    <w:abstractNumId w:val="6"/>
  </w:num>
  <w:num w:numId="7" w16cid:durableId="1191340030">
    <w:abstractNumId w:val="2"/>
  </w:num>
  <w:num w:numId="8" w16cid:durableId="752819506">
    <w:abstractNumId w:val="13"/>
  </w:num>
  <w:num w:numId="9" w16cid:durableId="1349287174">
    <w:abstractNumId w:val="5"/>
  </w:num>
  <w:num w:numId="10" w16cid:durableId="660432063">
    <w:abstractNumId w:val="9"/>
  </w:num>
  <w:num w:numId="11" w16cid:durableId="1095859990">
    <w:abstractNumId w:val="4"/>
  </w:num>
  <w:num w:numId="12" w16cid:durableId="2074351172">
    <w:abstractNumId w:val="0"/>
  </w:num>
  <w:num w:numId="13" w16cid:durableId="825825876">
    <w:abstractNumId w:val="1"/>
  </w:num>
  <w:num w:numId="14" w16cid:durableId="5608686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FE"/>
    <w:rsid w:val="000013DB"/>
    <w:rsid w:val="00005875"/>
    <w:rsid w:val="000100B6"/>
    <w:rsid w:val="0001085E"/>
    <w:rsid w:val="00014249"/>
    <w:rsid w:val="000145BF"/>
    <w:rsid w:val="0001503D"/>
    <w:rsid w:val="000229D1"/>
    <w:rsid w:val="0002489A"/>
    <w:rsid w:val="00027BE8"/>
    <w:rsid w:val="0003050F"/>
    <w:rsid w:val="0003270E"/>
    <w:rsid w:val="000334BB"/>
    <w:rsid w:val="000340A4"/>
    <w:rsid w:val="00036E1D"/>
    <w:rsid w:val="0005570C"/>
    <w:rsid w:val="00055A24"/>
    <w:rsid w:val="000570B2"/>
    <w:rsid w:val="00060044"/>
    <w:rsid w:val="00061E16"/>
    <w:rsid w:val="00065B7A"/>
    <w:rsid w:val="0007624B"/>
    <w:rsid w:val="0008033B"/>
    <w:rsid w:val="000809C6"/>
    <w:rsid w:val="00081D9F"/>
    <w:rsid w:val="00094B55"/>
    <w:rsid w:val="000A475B"/>
    <w:rsid w:val="000A6290"/>
    <w:rsid w:val="000A649C"/>
    <w:rsid w:val="000B0ED0"/>
    <w:rsid w:val="000B2829"/>
    <w:rsid w:val="000B75CB"/>
    <w:rsid w:val="000B796D"/>
    <w:rsid w:val="000C09CB"/>
    <w:rsid w:val="000C3F0A"/>
    <w:rsid w:val="000C4DE1"/>
    <w:rsid w:val="000C5B0F"/>
    <w:rsid w:val="000D0E4D"/>
    <w:rsid w:val="000D1BAD"/>
    <w:rsid w:val="000D3F38"/>
    <w:rsid w:val="000E4149"/>
    <w:rsid w:val="000E5351"/>
    <w:rsid w:val="000E60B2"/>
    <w:rsid w:val="000E691E"/>
    <w:rsid w:val="000E7686"/>
    <w:rsid w:val="00101A44"/>
    <w:rsid w:val="001051FF"/>
    <w:rsid w:val="00110F11"/>
    <w:rsid w:val="0011146C"/>
    <w:rsid w:val="00112DED"/>
    <w:rsid w:val="00114D23"/>
    <w:rsid w:val="00121111"/>
    <w:rsid w:val="00122AE4"/>
    <w:rsid w:val="00125313"/>
    <w:rsid w:val="0012580C"/>
    <w:rsid w:val="00126FAB"/>
    <w:rsid w:val="0013290F"/>
    <w:rsid w:val="00145EED"/>
    <w:rsid w:val="001532BD"/>
    <w:rsid w:val="00154CFC"/>
    <w:rsid w:val="00155097"/>
    <w:rsid w:val="00157E0F"/>
    <w:rsid w:val="00160C40"/>
    <w:rsid w:val="001639C4"/>
    <w:rsid w:val="0016656F"/>
    <w:rsid w:val="0016782C"/>
    <w:rsid w:val="00173B02"/>
    <w:rsid w:val="00175D49"/>
    <w:rsid w:val="001813CF"/>
    <w:rsid w:val="00182F5B"/>
    <w:rsid w:val="0018753E"/>
    <w:rsid w:val="00193441"/>
    <w:rsid w:val="0019624C"/>
    <w:rsid w:val="00196D8B"/>
    <w:rsid w:val="001975B6"/>
    <w:rsid w:val="001A1AD9"/>
    <w:rsid w:val="001A38A6"/>
    <w:rsid w:val="001A67CD"/>
    <w:rsid w:val="001B5379"/>
    <w:rsid w:val="001B5C42"/>
    <w:rsid w:val="001C7663"/>
    <w:rsid w:val="001D2B26"/>
    <w:rsid w:val="001D4D47"/>
    <w:rsid w:val="001E1FA9"/>
    <w:rsid w:val="001E3EB4"/>
    <w:rsid w:val="001F07BA"/>
    <w:rsid w:val="001F7C78"/>
    <w:rsid w:val="0020099C"/>
    <w:rsid w:val="00200F11"/>
    <w:rsid w:val="00204E8D"/>
    <w:rsid w:val="00206A25"/>
    <w:rsid w:val="002121E9"/>
    <w:rsid w:val="00215262"/>
    <w:rsid w:val="00223203"/>
    <w:rsid w:val="00225032"/>
    <w:rsid w:val="00226A52"/>
    <w:rsid w:val="00227A69"/>
    <w:rsid w:val="002300D0"/>
    <w:rsid w:val="00234EF7"/>
    <w:rsid w:val="00237924"/>
    <w:rsid w:val="00240E7A"/>
    <w:rsid w:val="00243179"/>
    <w:rsid w:val="0024382D"/>
    <w:rsid w:val="0024487A"/>
    <w:rsid w:val="00244DD6"/>
    <w:rsid w:val="0024596E"/>
    <w:rsid w:val="00247D63"/>
    <w:rsid w:val="0025590B"/>
    <w:rsid w:val="002573AC"/>
    <w:rsid w:val="00263428"/>
    <w:rsid w:val="00270C80"/>
    <w:rsid w:val="0027624D"/>
    <w:rsid w:val="0027677E"/>
    <w:rsid w:val="00276C8F"/>
    <w:rsid w:val="00282651"/>
    <w:rsid w:val="0028350F"/>
    <w:rsid w:val="00284A02"/>
    <w:rsid w:val="00285081"/>
    <w:rsid w:val="00296A15"/>
    <w:rsid w:val="00297945"/>
    <w:rsid w:val="002A2A18"/>
    <w:rsid w:val="002A2A87"/>
    <w:rsid w:val="002A3469"/>
    <w:rsid w:val="002A3B95"/>
    <w:rsid w:val="002A4B06"/>
    <w:rsid w:val="002A69CB"/>
    <w:rsid w:val="002B2B06"/>
    <w:rsid w:val="002B7397"/>
    <w:rsid w:val="002C01AE"/>
    <w:rsid w:val="002C165E"/>
    <w:rsid w:val="002C16AA"/>
    <w:rsid w:val="002C380C"/>
    <w:rsid w:val="002C69C0"/>
    <w:rsid w:val="002D08AF"/>
    <w:rsid w:val="002E19B9"/>
    <w:rsid w:val="002E41AD"/>
    <w:rsid w:val="002E6934"/>
    <w:rsid w:val="002F6031"/>
    <w:rsid w:val="0030032D"/>
    <w:rsid w:val="00300F7B"/>
    <w:rsid w:val="003033DD"/>
    <w:rsid w:val="003039E5"/>
    <w:rsid w:val="00303E17"/>
    <w:rsid w:val="00310F0E"/>
    <w:rsid w:val="00312B79"/>
    <w:rsid w:val="00315055"/>
    <w:rsid w:val="0031571E"/>
    <w:rsid w:val="00317201"/>
    <w:rsid w:val="00317712"/>
    <w:rsid w:val="00324BE9"/>
    <w:rsid w:val="00325DB7"/>
    <w:rsid w:val="00330ADD"/>
    <w:rsid w:val="00334BC0"/>
    <w:rsid w:val="00336CB3"/>
    <w:rsid w:val="003461AB"/>
    <w:rsid w:val="00347AEC"/>
    <w:rsid w:val="00347AEF"/>
    <w:rsid w:val="00350125"/>
    <w:rsid w:val="00352689"/>
    <w:rsid w:val="00354C5B"/>
    <w:rsid w:val="00357825"/>
    <w:rsid w:val="00360244"/>
    <w:rsid w:val="00361715"/>
    <w:rsid w:val="00363CC8"/>
    <w:rsid w:val="003701F6"/>
    <w:rsid w:val="00370A77"/>
    <w:rsid w:val="00372452"/>
    <w:rsid w:val="0037363E"/>
    <w:rsid w:val="00373969"/>
    <w:rsid w:val="00385695"/>
    <w:rsid w:val="00385DB6"/>
    <w:rsid w:val="00386222"/>
    <w:rsid w:val="00387127"/>
    <w:rsid w:val="00391C5A"/>
    <w:rsid w:val="00391C73"/>
    <w:rsid w:val="003A0915"/>
    <w:rsid w:val="003A3C8C"/>
    <w:rsid w:val="003A4C9E"/>
    <w:rsid w:val="003A7B14"/>
    <w:rsid w:val="003B0C65"/>
    <w:rsid w:val="003B71C2"/>
    <w:rsid w:val="003C0282"/>
    <w:rsid w:val="003C2D5A"/>
    <w:rsid w:val="003C693B"/>
    <w:rsid w:val="003D20D3"/>
    <w:rsid w:val="003D51A1"/>
    <w:rsid w:val="003E1977"/>
    <w:rsid w:val="003E5844"/>
    <w:rsid w:val="003E638D"/>
    <w:rsid w:val="003F0E9F"/>
    <w:rsid w:val="004004AC"/>
    <w:rsid w:val="00403FB0"/>
    <w:rsid w:val="00407D5B"/>
    <w:rsid w:val="004110FF"/>
    <w:rsid w:val="004112A5"/>
    <w:rsid w:val="00411C62"/>
    <w:rsid w:val="00411DEB"/>
    <w:rsid w:val="004138E2"/>
    <w:rsid w:val="00414B3F"/>
    <w:rsid w:val="00421C47"/>
    <w:rsid w:val="00422067"/>
    <w:rsid w:val="00424DDA"/>
    <w:rsid w:val="00425872"/>
    <w:rsid w:val="00427CFB"/>
    <w:rsid w:val="00431CC7"/>
    <w:rsid w:val="004422FD"/>
    <w:rsid w:val="00443FA7"/>
    <w:rsid w:val="004447C1"/>
    <w:rsid w:val="004455AC"/>
    <w:rsid w:val="0044704F"/>
    <w:rsid w:val="0045140D"/>
    <w:rsid w:val="00451EE4"/>
    <w:rsid w:val="00455297"/>
    <w:rsid w:val="0045536B"/>
    <w:rsid w:val="00460BF5"/>
    <w:rsid w:val="00462913"/>
    <w:rsid w:val="004663D0"/>
    <w:rsid w:val="004710A5"/>
    <w:rsid w:val="00490D0D"/>
    <w:rsid w:val="0049380C"/>
    <w:rsid w:val="004A3172"/>
    <w:rsid w:val="004A3D35"/>
    <w:rsid w:val="004A3EF9"/>
    <w:rsid w:val="004A4EBE"/>
    <w:rsid w:val="004A54C5"/>
    <w:rsid w:val="004B3EC4"/>
    <w:rsid w:val="004B76C2"/>
    <w:rsid w:val="004C4AA4"/>
    <w:rsid w:val="004C5D36"/>
    <w:rsid w:val="004D14D2"/>
    <w:rsid w:val="004D2CBA"/>
    <w:rsid w:val="004D69CE"/>
    <w:rsid w:val="004D6FA8"/>
    <w:rsid w:val="004E387E"/>
    <w:rsid w:val="004F03ED"/>
    <w:rsid w:val="004F27AA"/>
    <w:rsid w:val="004F33CA"/>
    <w:rsid w:val="004F4401"/>
    <w:rsid w:val="00503216"/>
    <w:rsid w:val="00507849"/>
    <w:rsid w:val="005228AD"/>
    <w:rsid w:val="00523E7E"/>
    <w:rsid w:val="00524A71"/>
    <w:rsid w:val="005267BF"/>
    <w:rsid w:val="005323E2"/>
    <w:rsid w:val="00537FAE"/>
    <w:rsid w:val="00545012"/>
    <w:rsid w:val="00546B2F"/>
    <w:rsid w:val="00550181"/>
    <w:rsid w:val="00552569"/>
    <w:rsid w:val="00552A84"/>
    <w:rsid w:val="005565F6"/>
    <w:rsid w:val="00560586"/>
    <w:rsid w:val="00561DB0"/>
    <w:rsid w:val="00563E79"/>
    <w:rsid w:val="00566DB1"/>
    <w:rsid w:val="00573EDC"/>
    <w:rsid w:val="00576966"/>
    <w:rsid w:val="00577B3C"/>
    <w:rsid w:val="00582827"/>
    <w:rsid w:val="0059142E"/>
    <w:rsid w:val="0059144E"/>
    <w:rsid w:val="0059190F"/>
    <w:rsid w:val="005929B2"/>
    <w:rsid w:val="005942D5"/>
    <w:rsid w:val="005959E7"/>
    <w:rsid w:val="005A56C9"/>
    <w:rsid w:val="005B003E"/>
    <w:rsid w:val="005B0618"/>
    <w:rsid w:val="005B0BAE"/>
    <w:rsid w:val="005B10DA"/>
    <w:rsid w:val="005B2D7B"/>
    <w:rsid w:val="005B3019"/>
    <w:rsid w:val="005B4BFE"/>
    <w:rsid w:val="005B524B"/>
    <w:rsid w:val="005C433A"/>
    <w:rsid w:val="005C5C9C"/>
    <w:rsid w:val="005C5ED8"/>
    <w:rsid w:val="005C6236"/>
    <w:rsid w:val="005C6A5A"/>
    <w:rsid w:val="005D29F6"/>
    <w:rsid w:val="005D379C"/>
    <w:rsid w:val="005E14EC"/>
    <w:rsid w:val="005E3644"/>
    <w:rsid w:val="005E3962"/>
    <w:rsid w:val="005E450C"/>
    <w:rsid w:val="005E5741"/>
    <w:rsid w:val="005E5BE3"/>
    <w:rsid w:val="005F029E"/>
    <w:rsid w:val="00600591"/>
    <w:rsid w:val="00603708"/>
    <w:rsid w:val="00606BE7"/>
    <w:rsid w:val="00611EAD"/>
    <w:rsid w:val="006133D1"/>
    <w:rsid w:val="006154BF"/>
    <w:rsid w:val="00620A8A"/>
    <w:rsid w:val="00623163"/>
    <w:rsid w:val="00626600"/>
    <w:rsid w:val="00636642"/>
    <w:rsid w:val="00636995"/>
    <w:rsid w:val="00637939"/>
    <w:rsid w:val="00643092"/>
    <w:rsid w:val="00644916"/>
    <w:rsid w:val="006456F1"/>
    <w:rsid w:val="00650321"/>
    <w:rsid w:val="0065183A"/>
    <w:rsid w:val="00653313"/>
    <w:rsid w:val="00674649"/>
    <w:rsid w:val="006768B3"/>
    <w:rsid w:val="00691AF7"/>
    <w:rsid w:val="00694F0B"/>
    <w:rsid w:val="0069761C"/>
    <w:rsid w:val="006A4EA0"/>
    <w:rsid w:val="006A622F"/>
    <w:rsid w:val="006B2875"/>
    <w:rsid w:val="006C2156"/>
    <w:rsid w:val="006C41D2"/>
    <w:rsid w:val="006C62AC"/>
    <w:rsid w:val="006D0831"/>
    <w:rsid w:val="006D423E"/>
    <w:rsid w:val="006D4258"/>
    <w:rsid w:val="006D799F"/>
    <w:rsid w:val="006E400E"/>
    <w:rsid w:val="006E7BCB"/>
    <w:rsid w:val="006F4D16"/>
    <w:rsid w:val="006F5600"/>
    <w:rsid w:val="006F7D83"/>
    <w:rsid w:val="00702803"/>
    <w:rsid w:val="0070292B"/>
    <w:rsid w:val="00706759"/>
    <w:rsid w:val="00714CCA"/>
    <w:rsid w:val="00715D4F"/>
    <w:rsid w:val="007164D6"/>
    <w:rsid w:val="00720CAF"/>
    <w:rsid w:val="007221ED"/>
    <w:rsid w:val="00722F6A"/>
    <w:rsid w:val="007237EE"/>
    <w:rsid w:val="00734DFC"/>
    <w:rsid w:val="00734E8A"/>
    <w:rsid w:val="00735CDB"/>
    <w:rsid w:val="00736D85"/>
    <w:rsid w:val="0074253E"/>
    <w:rsid w:val="007427FA"/>
    <w:rsid w:val="007436AF"/>
    <w:rsid w:val="00744F1B"/>
    <w:rsid w:val="00746E51"/>
    <w:rsid w:val="00750F1F"/>
    <w:rsid w:val="007517B6"/>
    <w:rsid w:val="00755706"/>
    <w:rsid w:val="007664A4"/>
    <w:rsid w:val="00771581"/>
    <w:rsid w:val="00777CA7"/>
    <w:rsid w:val="00780113"/>
    <w:rsid w:val="00783093"/>
    <w:rsid w:val="007853E7"/>
    <w:rsid w:val="00790353"/>
    <w:rsid w:val="007904A4"/>
    <w:rsid w:val="00793040"/>
    <w:rsid w:val="0079456E"/>
    <w:rsid w:val="00795A97"/>
    <w:rsid w:val="00796FDB"/>
    <w:rsid w:val="007A31B2"/>
    <w:rsid w:val="007A4A07"/>
    <w:rsid w:val="007A4E15"/>
    <w:rsid w:val="007B144C"/>
    <w:rsid w:val="007B270B"/>
    <w:rsid w:val="007B4E8F"/>
    <w:rsid w:val="007B7E6A"/>
    <w:rsid w:val="007C5D08"/>
    <w:rsid w:val="007C5F64"/>
    <w:rsid w:val="007C695A"/>
    <w:rsid w:val="007D6C48"/>
    <w:rsid w:val="007E10DD"/>
    <w:rsid w:val="007E5E0E"/>
    <w:rsid w:val="007E624D"/>
    <w:rsid w:val="007E70D3"/>
    <w:rsid w:val="007F29DD"/>
    <w:rsid w:val="007F791A"/>
    <w:rsid w:val="00810877"/>
    <w:rsid w:val="008121AC"/>
    <w:rsid w:val="00812752"/>
    <w:rsid w:val="00812E34"/>
    <w:rsid w:val="00814483"/>
    <w:rsid w:val="00815862"/>
    <w:rsid w:val="00816558"/>
    <w:rsid w:val="00825D34"/>
    <w:rsid w:val="00826886"/>
    <w:rsid w:val="0082785C"/>
    <w:rsid w:val="00830B72"/>
    <w:rsid w:val="00835142"/>
    <w:rsid w:val="00836EC1"/>
    <w:rsid w:val="008427BD"/>
    <w:rsid w:val="00843B4D"/>
    <w:rsid w:val="00843B57"/>
    <w:rsid w:val="00844542"/>
    <w:rsid w:val="00850A75"/>
    <w:rsid w:val="00853ABD"/>
    <w:rsid w:val="0085566D"/>
    <w:rsid w:val="00857A03"/>
    <w:rsid w:val="00861E6C"/>
    <w:rsid w:val="00865FFF"/>
    <w:rsid w:val="00867082"/>
    <w:rsid w:val="00871207"/>
    <w:rsid w:val="00877279"/>
    <w:rsid w:val="00877D4C"/>
    <w:rsid w:val="00880302"/>
    <w:rsid w:val="00881695"/>
    <w:rsid w:val="00893583"/>
    <w:rsid w:val="00896B36"/>
    <w:rsid w:val="00897A40"/>
    <w:rsid w:val="008A5C93"/>
    <w:rsid w:val="008A6F66"/>
    <w:rsid w:val="008C79C0"/>
    <w:rsid w:val="008D4BF7"/>
    <w:rsid w:val="008D5C4C"/>
    <w:rsid w:val="008D6633"/>
    <w:rsid w:val="008E014F"/>
    <w:rsid w:val="008E10AC"/>
    <w:rsid w:val="008E4D63"/>
    <w:rsid w:val="008F0686"/>
    <w:rsid w:val="008F6B70"/>
    <w:rsid w:val="00902986"/>
    <w:rsid w:val="00904B52"/>
    <w:rsid w:val="0090632F"/>
    <w:rsid w:val="00910EF2"/>
    <w:rsid w:val="00913085"/>
    <w:rsid w:val="00913190"/>
    <w:rsid w:val="00913D76"/>
    <w:rsid w:val="0091680F"/>
    <w:rsid w:val="009209C6"/>
    <w:rsid w:val="009235FD"/>
    <w:rsid w:val="00924D82"/>
    <w:rsid w:val="00927ADF"/>
    <w:rsid w:val="009302A2"/>
    <w:rsid w:val="0093053D"/>
    <w:rsid w:val="0093065E"/>
    <w:rsid w:val="00932C08"/>
    <w:rsid w:val="009370F1"/>
    <w:rsid w:val="00937282"/>
    <w:rsid w:val="00937D70"/>
    <w:rsid w:val="009414A2"/>
    <w:rsid w:val="00942F7A"/>
    <w:rsid w:val="00945609"/>
    <w:rsid w:val="00950C9D"/>
    <w:rsid w:val="00952AD0"/>
    <w:rsid w:val="009600B7"/>
    <w:rsid w:val="00962CCF"/>
    <w:rsid w:val="00965FF7"/>
    <w:rsid w:val="00974D72"/>
    <w:rsid w:val="009776EC"/>
    <w:rsid w:val="00981133"/>
    <w:rsid w:val="00993453"/>
    <w:rsid w:val="00993465"/>
    <w:rsid w:val="00993938"/>
    <w:rsid w:val="009A01F2"/>
    <w:rsid w:val="009A0543"/>
    <w:rsid w:val="009A2B1A"/>
    <w:rsid w:val="009B1FDE"/>
    <w:rsid w:val="009B254E"/>
    <w:rsid w:val="009C6020"/>
    <w:rsid w:val="009C67AC"/>
    <w:rsid w:val="009D104C"/>
    <w:rsid w:val="009D2054"/>
    <w:rsid w:val="009D2308"/>
    <w:rsid w:val="009D61BF"/>
    <w:rsid w:val="009D6964"/>
    <w:rsid w:val="009E6603"/>
    <w:rsid w:val="009E7B7B"/>
    <w:rsid w:val="009F0233"/>
    <w:rsid w:val="009F0264"/>
    <w:rsid w:val="009F19BC"/>
    <w:rsid w:val="009F2BAC"/>
    <w:rsid w:val="009F3106"/>
    <w:rsid w:val="009F583B"/>
    <w:rsid w:val="009F70D1"/>
    <w:rsid w:val="009F7E13"/>
    <w:rsid w:val="00A00B1D"/>
    <w:rsid w:val="00A031DC"/>
    <w:rsid w:val="00A069C5"/>
    <w:rsid w:val="00A109E0"/>
    <w:rsid w:val="00A169F4"/>
    <w:rsid w:val="00A30778"/>
    <w:rsid w:val="00A330AA"/>
    <w:rsid w:val="00A37E6F"/>
    <w:rsid w:val="00A37FC8"/>
    <w:rsid w:val="00A40969"/>
    <w:rsid w:val="00A42BFD"/>
    <w:rsid w:val="00A44865"/>
    <w:rsid w:val="00A4647C"/>
    <w:rsid w:val="00A50A41"/>
    <w:rsid w:val="00A541E9"/>
    <w:rsid w:val="00A56753"/>
    <w:rsid w:val="00A61078"/>
    <w:rsid w:val="00A62862"/>
    <w:rsid w:val="00A65FCE"/>
    <w:rsid w:val="00A733B2"/>
    <w:rsid w:val="00A7698B"/>
    <w:rsid w:val="00A775EC"/>
    <w:rsid w:val="00A856CE"/>
    <w:rsid w:val="00A87573"/>
    <w:rsid w:val="00A9013D"/>
    <w:rsid w:val="00A9558E"/>
    <w:rsid w:val="00A96EA4"/>
    <w:rsid w:val="00AA18C9"/>
    <w:rsid w:val="00AA403C"/>
    <w:rsid w:val="00AB1ADF"/>
    <w:rsid w:val="00AB27CE"/>
    <w:rsid w:val="00AB6CAC"/>
    <w:rsid w:val="00AC0084"/>
    <w:rsid w:val="00AC2B56"/>
    <w:rsid w:val="00AC4308"/>
    <w:rsid w:val="00AD096D"/>
    <w:rsid w:val="00AD7282"/>
    <w:rsid w:val="00AD7C9D"/>
    <w:rsid w:val="00AE225E"/>
    <w:rsid w:val="00AF70F5"/>
    <w:rsid w:val="00B00A33"/>
    <w:rsid w:val="00B00C43"/>
    <w:rsid w:val="00B02282"/>
    <w:rsid w:val="00B0309B"/>
    <w:rsid w:val="00B03CB2"/>
    <w:rsid w:val="00B03EFD"/>
    <w:rsid w:val="00B0640D"/>
    <w:rsid w:val="00B11666"/>
    <w:rsid w:val="00B123BE"/>
    <w:rsid w:val="00B14C9E"/>
    <w:rsid w:val="00B169C8"/>
    <w:rsid w:val="00B212A8"/>
    <w:rsid w:val="00B224C1"/>
    <w:rsid w:val="00B245DC"/>
    <w:rsid w:val="00B308FE"/>
    <w:rsid w:val="00B34FF0"/>
    <w:rsid w:val="00B363D8"/>
    <w:rsid w:val="00B36A82"/>
    <w:rsid w:val="00B37D70"/>
    <w:rsid w:val="00B40E6D"/>
    <w:rsid w:val="00B420F3"/>
    <w:rsid w:val="00B454CE"/>
    <w:rsid w:val="00B45879"/>
    <w:rsid w:val="00B47838"/>
    <w:rsid w:val="00B50153"/>
    <w:rsid w:val="00B5194D"/>
    <w:rsid w:val="00B556CA"/>
    <w:rsid w:val="00B57145"/>
    <w:rsid w:val="00B577AC"/>
    <w:rsid w:val="00B624E1"/>
    <w:rsid w:val="00B70508"/>
    <w:rsid w:val="00B7183C"/>
    <w:rsid w:val="00B724C7"/>
    <w:rsid w:val="00B8428B"/>
    <w:rsid w:val="00BA1609"/>
    <w:rsid w:val="00BA1617"/>
    <w:rsid w:val="00BA1F03"/>
    <w:rsid w:val="00BA73FE"/>
    <w:rsid w:val="00BB1DE1"/>
    <w:rsid w:val="00BB2D35"/>
    <w:rsid w:val="00BB5606"/>
    <w:rsid w:val="00BC0B0E"/>
    <w:rsid w:val="00BC445C"/>
    <w:rsid w:val="00BC51B3"/>
    <w:rsid w:val="00BD0B7A"/>
    <w:rsid w:val="00BD2307"/>
    <w:rsid w:val="00BD24F6"/>
    <w:rsid w:val="00BD2582"/>
    <w:rsid w:val="00BD2AE8"/>
    <w:rsid w:val="00BD4D13"/>
    <w:rsid w:val="00BD4F7A"/>
    <w:rsid w:val="00BD7F81"/>
    <w:rsid w:val="00BD7FC4"/>
    <w:rsid w:val="00BE191C"/>
    <w:rsid w:val="00BE761B"/>
    <w:rsid w:val="00BF42AF"/>
    <w:rsid w:val="00BF487F"/>
    <w:rsid w:val="00C027A7"/>
    <w:rsid w:val="00C07FAC"/>
    <w:rsid w:val="00C13C95"/>
    <w:rsid w:val="00C2307B"/>
    <w:rsid w:val="00C32E7E"/>
    <w:rsid w:val="00C33A42"/>
    <w:rsid w:val="00C33DA4"/>
    <w:rsid w:val="00C3462C"/>
    <w:rsid w:val="00C4082D"/>
    <w:rsid w:val="00C46998"/>
    <w:rsid w:val="00C46DD1"/>
    <w:rsid w:val="00C4747E"/>
    <w:rsid w:val="00C47C27"/>
    <w:rsid w:val="00C5003A"/>
    <w:rsid w:val="00C503AA"/>
    <w:rsid w:val="00C55036"/>
    <w:rsid w:val="00C63F02"/>
    <w:rsid w:val="00C66DB2"/>
    <w:rsid w:val="00C67FE8"/>
    <w:rsid w:val="00C85F86"/>
    <w:rsid w:val="00C86B3D"/>
    <w:rsid w:val="00C90190"/>
    <w:rsid w:val="00CB004E"/>
    <w:rsid w:val="00CB118A"/>
    <w:rsid w:val="00CB679E"/>
    <w:rsid w:val="00CC2E29"/>
    <w:rsid w:val="00CD296A"/>
    <w:rsid w:val="00CE133E"/>
    <w:rsid w:val="00CE2E4B"/>
    <w:rsid w:val="00CE3CE9"/>
    <w:rsid w:val="00CE6D05"/>
    <w:rsid w:val="00CF180B"/>
    <w:rsid w:val="00CF2F95"/>
    <w:rsid w:val="00CF577B"/>
    <w:rsid w:val="00D043BE"/>
    <w:rsid w:val="00D15773"/>
    <w:rsid w:val="00D17B32"/>
    <w:rsid w:val="00D222CC"/>
    <w:rsid w:val="00D22692"/>
    <w:rsid w:val="00D23E58"/>
    <w:rsid w:val="00D34F16"/>
    <w:rsid w:val="00D36D24"/>
    <w:rsid w:val="00D375ED"/>
    <w:rsid w:val="00D40C13"/>
    <w:rsid w:val="00D4171A"/>
    <w:rsid w:val="00D41E8B"/>
    <w:rsid w:val="00D4296B"/>
    <w:rsid w:val="00D46F7E"/>
    <w:rsid w:val="00D51335"/>
    <w:rsid w:val="00D51E36"/>
    <w:rsid w:val="00D6191E"/>
    <w:rsid w:val="00D64C41"/>
    <w:rsid w:val="00D67681"/>
    <w:rsid w:val="00D77039"/>
    <w:rsid w:val="00D77F9D"/>
    <w:rsid w:val="00D81A57"/>
    <w:rsid w:val="00D81B41"/>
    <w:rsid w:val="00D82F3E"/>
    <w:rsid w:val="00D86C93"/>
    <w:rsid w:val="00D92F07"/>
    <w:rsid w:val="00D94CEE"/>
    <w:rsid w:val="00DA2912"/>
    <w:rsid w:val="00DA2E1D"/>
    <w:rsid w:val="00DA2FFD"/>
    <w:rsid w:val="00DA4704"/>
    <w:rsid w:val="00DB2340"/>
    <w:rsid w:val="00DB302A"/>
    <w:rsid w:val="00DC579A"/>
    <w:rsid w:val="00DD330B"/>
    <w:rsid w:val="00DD344C"/>
    <w:rsid w:val="00DD61CA"/>
    <w:rsid w:val="00DE1BBE"/>
    <w:rsid w:val="00DE2175"/>
    <w:rsid w:val="00DE2BDC"/>
    <w:rsid w:val="00DE5AD9"/>
    <w:rsid w:val="00DE62DE"/>
    <w:rsid w:val="00DE66AC"/>
    <w:rsid w:val="00DE74DA"/>
    <w:rsid w:val="00DF69C4"/>
    <w:rsid w:val="00DF727B"/>
    <w:rsid w:val="00E03779"/>
    <w:rsid w:val="00E045BD"/>
    <w:rsid w:val="00E0609E"/>
    <w:rsid w:val="00E07506"/>
    <w:rsid w:val="00E1023F"/>
    <w:rsid w:val="00E1248A"/>
    <w:rsid w:val="00E143FC"/>
    <w:rsid w:val="00E144FA"/>
    <w:rsid w:val="00E166E4"/>
    <w:rsid w:val="00E23C59"/>
    <w:rsid w:val="00E26C4C"/>
    <w:rsid w:val="00E31B84"/>
    <w:rsid w:val="00E37E05"/>
    <w:rsid w:val="00E54564"/>
    <w:rsid w:val="00E56278"/>
    <w:rsid w:val="00E6436B"/>
    <w:rsid w:val="00E724F9"/>
    <w:rsid w:val="00E72D8A"/>
    <w:rsid w:val="00E80170"/>
    <w:rsid w:val="00E86BBC"/>
    <w:rsid w:val="00E95679"/>
    <w:rsid w:val="00E97007"/>
    <w:rsid w:val="00EA0C41"/>
    <w:rsid w:val="00EA13DD"/>
    <w:rsid w:val="00EA244F"/>
    <w:rsid w:val="00EB1CD6"/>
    <w:rsid w:val="00EB72CF"/>
    <w:rsid w:val="00EB7E14"/>
    <w:rsid w:val="00EC2945"/>
    <w:rsid w:val="00ED0EBE"/>
    <w:rsid w:val="00ED0F2D"/>
    <w:rsid w:val="00ED1009"/>
    <w:rsid w:val="00ED1C30"/>
    <w:rsid w:val="00ED1CC9"/>
    <w:rsid w:val="00ED4E50"/>
    <w:rsid w:val="00EE579A"/>
    <w:rsid w:val="00EF54C1"/>
    <w:rsid w:val="00EF5837"/>
    <w:rsid w:val="00EF69A4"/>
    <w:rsid w:val="00F0047A"/>
    <w:rsid w:val="00F00A4D"/>
    <w:rsid w:val="00F0139C"/>
    <w:rsid w:val="00F10409"/>
    <w:rsid w:val="00F147CE"/>
    <w:rsid w:val="00F162D9"/>
    <w:rsid w:val="00F17124"/>
    <w:rsid w:val="00F24253"/>
    <w:rsid w:val="00F25ECC"/>
    <w:rsid w:val="00F26AAE"/>
    <w:rsid w:val="00F276B2"/>
    <w:rsid w:val="00F310D0"/>
    <w:rsid w:val="00F32CD8"/>
    <w:rsid w:val="00F3600D"/>
    <w:rsid w:val="00F3707A"/>
    <w:rsid w:val="00F44158"/>
    <w:rsid w:val="00F4539C"/>
    <w:rsid w:val="00F500CB"/>
    <w:rsid w:val="00F51ADE"/>
    <w:rsid w:val="00F53942"/>
    <w:rsid w:val="00F545F0"/>
    <w:rsid w:val="00F549B5"/>
    <w:rsid w:val="00F557F4"/>
    <w:rsid w:val="00F55AB7"/>
    <w:rsid w:val="00F620A1"/>
    <w:rsid w:val="00F63ADE"/>
    <w:rsid w:val="00F666DD"/>
    <w:rsid w:val="00F66A9E"/>
    <w:rsid w:val="00F720A7"/>
    <w:rsid w:val="00F77888"/>
    <w:rsid w:val="00F80630"/>
    <w:rsid w:val="00F8391A"/>
    <w:rsid w:val="00F857D0"/>
    <w:rsid w:val="00F8671E"/>
    <w:rsid w:val="00F877DA"/>
    <w:rsid w:val="00F924C1"/>
    <w:rsid w:val="00F92DE8"/>
    <w:rsid w:val="00F97755"/>
    <w:rsid w:val="00FB2707"/>
    <w:rsid w:val="00FB2C5D"/>
    <w:rsid w:val="00FC1F56"/>
    <w:rsid w:val="00FC3257"/>
    <w:rsid w:val="00FC5056"/>
    <w:rsid w:val="00FD070F"/>
    <w:rsid w:val="00FD1A60"/>
    <w:rsid w:val="00FD580B"/>
    <w:rsid w:val="00FD690F"/>
    <w:rsid w:val="00FE070C"/>
    <w:rsid w:val="00FE3829"/>
    <w:rsid w:val="00FE698D"/>
    <w:rsid w:val="00FF0CAF"/>
    <w:rsid w:val="00FF0F04"/>
    <w:rsid w:val="00FF51B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51237"/>
  <w15:docId w15:val="{6066A9B3-EACB-400C-AE28-59CC9AFC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rPr>
  </w:style>
  <w:style w:type="paragraph" w:styleId="Heading1">
    <w:name w:val="heading 1"/>
    <w:basedOn w:val="Normal"/>
    <w:uiPriority w:val="9"/>
    <w:qFormat/>
    <w:pPr>
      <w:ind w:left="795" w:hanging="4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3"/>
    </w:pPr>
    <w:rPr>
      <w:sz w:val="24"/>
      <w:szCs w:val="24"/>
    </w:rPr>
  </w:style>
  <w:style w:type="paragraph" w:styleId="ListParagraph">
    <w:name w:val="List Paragraph"/>
    <w:basedOn w:val="Normal"/>
    <w:uiPriority w:val="1"/>
    <w:qFormat/>
    <w:pPr>
      <w:ind w:left="795" w:hanging="432"/>
    </w:pPr>
  </w:style>
  <w:style w:type="paragraph" w:customStyle="1" w:styleId="TableParagraph">
    <w:name w:val="Table Paragraph"/>
    <w:basedOn w:val="Normal"/>
    <w:uiPriority w:val="1"/>
    <w:qFormat/>
  </w:style>
  <w:style w:type="table" w:styleId="TableGrid">
    <w:name w:val="Table Grid"/>
    <w:basedOn w:val="TableNormal"/>
    <w:uiPriority w:val="39"/>
    <w:rsid w:val="000B0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C51B3"/>
    <w:rPr>
      <w:sz w:val="24"/>
      <w:szCs w:val="24"/>
    </w:rPr>
  </w:style>
  <w:style w:type="paragraph" w:styleId="FootnoteText">
    <w:name w:val="footnote text"/>
    <w:basedOn w:val="Normal"/>
    <w:link w:val="FootnoteTextChar"/>
    <w:uiPriority w:val="99"/>
    <w:semiHidden/>
    <w:unhideWhenUsed/>
    <w:rsid w:val="009A2B1A"/>
    <w:rPr>
      <w:sz w:val="20"/>
      <w:szCs w:val="20"/>
    </w:rPr>
  </w:style>
  <w:style w:type="character" w:customStyle="1" w:styleId="FootnoteTextChar">
    <w:name w:val="Footnote Text Char"/>
    <w:basedOn w:val="DefaultParagraphFont"/>
    <w:link w:val="FootnoteText"/>
    <w:uiPriority w:val="99"/>
    <w:semiHidden/>
    <w:rsid w:val="009A2B1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A2B1A"/>
    <w:rPr>
      <w:vertAlign w:val="superscript"/>
    </w:rPr>
  </w:style>
  <w:style w:type="character" w:styleId="Hyperlink">
    <w:name w:val="Hyperlink"/>
    <w:basedOn w:val="DefaultParagraphFont"/>
    <w:uiPriority w:val="99"/>
    <w:unhideWhenUsed/>
    <w:rsid w:val="00F666DD"/>
    <w:rPr>
      <w:color w:val="AF005F"/>
      <w:u w:val="none"/>
    </w:rPr>
  </w:style>
  <w:style w:type="character" w:styleId="UnresolvedMention">
    <w:name w:val="Unresolved Mention"/>
    <w:basedOn w:val="DefaultParagraphFont"/>
    <w:uiPriority w:val="99"/>
    <w:semiHidden/>
    <w:unhideWhenUsed/>
    <w:rsid w:val="00F666DD"/>
    <w:rPr>
      <w:color w:val="605E5C"/>
      <w:shd w:val="clear" w:color="auto" w:fill="E1DFDD"/>
    </w:rPr>
  </w:style>
  <w:style w:type="character" w:styleId="FollowedHyperlink">
    <w:name w:val="FollowedHyperlink"/>
    <w:basedOn w:val="DefaultParagraphFont"/>
    <w:uiPriority w:val="99"/>
    <w:semiHidden/>
    <w:unhideWhenUsed/>
    <w:rsid w:val="00815862"/>
    <w:rPr>
      <w:color w:val="AF005F"/>
      <w:u w:val="none"/>
    </w:rPr>
  </w:style>
  <w:style w:type="paragraph" w:styleId="Header">
    <w:name w:val="header"/>
    <w:basedOn w:val="Normal"/>
    <w:link w:val="HeaderChar"/>
    <w:uiPriority w:val="99"/>
    <w:unhideWhenUsed/>
    <w:rsid w:val="00FD690F"/>
    <w:pPr>
      <w:tabs>
        <w:tab w:val="center" w:pos="4680"/>
        <w:tab w:val="right" w:pos="9360"/>
      </w:tabs>
    </w:pPr>
  </w:style>
  <w:style w:type="character" w:customStyle="1" w:styleId="HeaderChar">
    <w:name w:val="Header Char"/>
    <w:basedOn w:val="DefaultParagraphFont"/>
    <w:link w:val="Header"/>
    <w:uiPriority w:val="99"/>
    <w:rsid w:val="00FD690F"/>
    <w:rPr>
      <w:rFonts w:ascii="Times New Roman" w:eastAsia="Times New Roman" w:hAnsi="Times New Roman" w:cs="Times New Roman"/>
    </w:rPr>
  </w:style>
  <w:style w:type="paragraph" w:styleId="Footer">
    <w:name w:val="footer"/>
    <w:basedOn w:val="Normal"/>
    <w:link w:val="FooterChar"/>
    <w:uiPriority w:val="99"/>
    <w:unhideWhenUsed/>
    <w:rsid w:val="00FD690F"/>
    <w:pPr>
      <w:tabs>
        <w:tab w:val="center" w:pos="4680"/>
        <w:tab w:val="right" w:pos="9360"/>
      </w:tabs>
    </w:pPr>
  </w:style>
  <w:style w:type="character" w:customStyle="1" w:styleId="FooterChar">
    <w:name w:val="Footer Char"/>
    <w:basedOn w:val="DefaultParagraphFont"/>
    <w:link w:val="Footer"/>
    <w:uiPriority w:val="99"/>
    <w:rsid w:val="00FD690F"/>
    <w:rPr>
      <w:rFonts w:ascii="Times New Roman" w:eastAsia="Times New Roman" w:hAnsi="Times New Roman" w:cs="Times New Roman"/>
    </w:rPr>
  </w:style>
  <w:style w:type="paragraph" w:styleId="Revision">
    <w:name w:val="Revision"/>
    <w:hidden/>
    <w:uiPriority w:val="99"/>
    <w:semiHidden/>
    <w:rsid w:val="00FC505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C5056"/>
    <w:rPr>
      <w:sz w:val="16"/>
      <w:szCs w:val="16"/>
    </w:rPr>
  </w:style>
  <w:style w:type="paragraph" w:styleId="CommentText">
    <w:name w:val="annotation text"/>
    <w:basedOn w:val="Normal"/>
    <w:link w:val="CommentTextChar"/>
    <w:uiPriority w:val="99"/>
    <w:unhideWhenUsed/>
    <w:rsid w:val="00FC5056"/>
    <w:rPr>
      <w:sz w:val="20"/>
      <w:szCs w:val="20"/>
    </w:rPr>
  </w:style>
  <w:style w:type="character" w:customStyle="1" w:styleId="CommentTextChar">
    <w:name w:val="Comment Text Char"/>
    <w:basedOn w:val="DefaultParagraphFont"/>
    <w:link w:val="CommentText"/>
    <w:uiPriority w:val="99"/>
    <w:rsid w:val="00FC50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5056"/>
    <w:rPr>
      <w:b/>
      <w:bCs/>
    </w:rPr>
  </w:style>
  <w:style w:type="character" w:customStyle="1" w:styleId="CommentSubjectChar">
    <w:name w:val="Comment Subject Char"/>
    <w:basedOn w:val="CommentTextChar"/>
    <w:link w:val="CommentSubject"/>
    <w:uiPriority w:val="99"/>
    <w:semiHidden/>
    <w:rsid w:val="00FC5056"/>
    <w:rPr>
      <w:rFonts w:ascii="Times New Roman" w:eastAsia="Times New Roman" w:hAnsi="Times New Roman" w:cs="Times New Roman"/>
      <w:b/>
      <w:bCs/>
      <w:sz w:val="20"/>
      <w:szCs w:val="20"/>
    </w:rPr>
  </w:style>
  <w:style w:type="paragraph" w:styleId="NoSpacing">
    <w:name w:val="No Spacing"/>
    <w:link w:val="NoSpacingChar"/>
    <w:uiPriority w:val="1"/>
    <w:qFormat/>
    <w:rsid w:val="00460BF5"/>
    <w:pPr>
      <w:widowControl/>
      <w:autoSpaceDE/>
      <w:autoSpaceDN/>
    </w:pPr>
    <w:rPr>
      <w:rFonts w:eastAsiaTheme="minorEastAsia"/>
    </w:rPr>
  </w:style>
  <w:style w:type="character" w:customStyle="1" w:styleId="NoSpacingChar">
    <w:name w:val="No Spacing Char"/>
    <w:basedOn w:val="DefaultParagraphFont"/>
    <w:link w:val="NoSpacing"/>
    <w:uiPriority w:val="1"/>
    <w:rsid w:val="00460BF5"/>
    <w:rPr>
      <w:rFonts w:eastAsiaTheme="minorEastAsia"/>
    </w:rPr>
  </w:style>
  <w:style w:type="character" w:styleId="Emphasis">
    <w:name w:val="Emphasis"/>
    <w:basedOn w:val="DefaultParagraphFont"/>
    <w:uiPriority w:val="20"/>
    <w:qFormat/>
    <w:rsid w:val="00BC445C"/>
    <w:rPr>
      <w:i/>
      <w:iCs/>
    </w:rPr>
  </w:style>
  <w:style w:type="paragraph" w:customStyle="1" w:styleId="Default">
    <w:name w:val="Default"/>
    <w:rsid w:val="00653313"/>
    <w:pPr>
      <w:widowControl/>
      <w:adjustRightInd w:val="0"/>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24317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243179"/>
    <w:pPr>
      <w:spacing w:after="10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35">
      <w:bodyDiv w:val="1"/>
      <w:marLeft w:val="0"/>
      <w:marRight w:val="0"/>
      <w:marTop w:val="0"/>
      <w:marBottom w:val="0"/>
      <w:divBdr>
        <w:top w:val="none" w:sz="0" w:space="0" w:color="auto"/>
        <w:left w:val="none" w:sz="0" w:space="0" w:color="auto"/>
        <w:bottom w:val="none" w:sz="0" w:space="0" w:color="auto"/>
        <w:right w:val="none" w:sz="0" w:space="0" w:color="auto"/>
      </w:divBdr>
    </w:div>
    <w:div w:id="38364541">
      <w:bodyDiv w:val="1"/>
      <w:marLeft w:val="0"/>
      <w:marRight w:val="0"/>
      <w:marTop w:val="0"/>
      <w:marBottom w:val="0"/>
      <w:divBdr>
        <w:top w:val="none" w:sz="0" w:space="0" w:color="auto"/>
        <w:left w:val="none" w:sz="0" w:space="0" w:color="auto"/>
        <w:bottom w:val="none" w:sz="0" w:space="0" w:color="auto"/>
        <w:right w:val="none" w:sz="0" w:space="0" w:color="auto"/>
      </w:divBdr>
    </w:div>
    <w:div w:id="63845449">
      <w:bodyDiv w:val="1"/>
      <w:marLeft w:val="0"/>
      <w:marRight w:val="0"/>
      <w:marTop w:val="0"/>
      <w:marBottom w:val="0"/>
      <w:divBdr>
        <w:top w:val="none" w:sz="0" w:space="0" w:color="auto"/>
        <w:left w:val="none" w:sz="0" w:space="0" w:color="auto"/>
        <w:bottom w:val="none" w:sz="0" w:space="0" w:color="auto"/>
        <w:right w:val="none" w:sz="0" w:space="0" w:color="auto"/>
      </w:divBdr>
    </w:div>
    <w:div w:id="122894359">
      <w:bodyDiv w:val="1"/>
      <w:marLeft w:val="0"/>
      <w:marRight w:val="0"/>
      <w:marTop w:val="0"/>
      <w:marBottom w:val="0"/>
      <w:divBdr>
        <w:top w:val="none" w:sz="0" w:space="0" w:color="auto"/>
        <w:left w:val="none" w:sz="0" w:space="0" w:color="auto"/>
        <w:bottom w:val="none" w:sz="0" w:space="0" w:color="auto"/>
        <w:right w:val="none" w:sz="0" w:space="0" w:color="auto"/>
      </w:divBdr>
    </w:div>
    <w:div w:id="220100351">
      <w:bodyDiv w:val="1"/>
      <w:marLeft w:val="0"/>
      <w:marRight w:val="0"/>
      <w:marTop w:val="0"/>
      <w:marBottom w:val="0"/>
      <w:divBdr>
        <w:top w:val="none" w:sz="0" w:space="0" w:color="auto"/>
        <w:left w:val="none" w:sz="0" w:space="0" w:color="auto"/>
        <w:bottom w:val="none" w:sz="0" w:space="0" w:color="auto"/>
        <w:right w:val="none" w:sz="0" w:space="0" w:color="auto"/>
      </w:divBdr>
    </w:div>
    <w:div w:id="278488070">
      <w:bodyDiv w:val="1"/>
      <w:marLeft w:val="0"/>
      <w:marRight w:val="0"/>
      <w:marTop w:val="0"/>
      <w:marBottom w:val="0"/>
      <w:divBdr>
        <w:top w:val="none" w:sz="0" w:space="0" w:color="auto"/>
        <w:left w:val="none" w:sz="0" w:space="0" w:color="auto"/>
        <w:bottom w:val="none" w:sz="0" w:space="0" w:color="auto"/>
        <w:right w:val="none" w:sz="0" w:space="0" w:color="auto"/>
      </w:divBdr>
    </w:div>
    <w:div w:id="337385416">
      <w:bodyDiv w:val="1"/>
      <w:marLeft w:val="0"/>
      <w:marRight w:val="0"/>
      <w:marTop w:val="0"/>
      <w:marBottom w:val="0"/>
      <w:divBdr>
        <w:top w:val="none" w:sz="0" w:space="0" w:color="auto"/>
        <w:left w:val="none" w:sz="0" w:space="0" w:color="auto"/>
        <w:bottom w:val="none" w:sz="0" w:space="0" w:color="auto"/>
        <w:right w:val="none" w:sz="0" w:space="0" w:color="auto"/>
      </w:divBdr>
    </w:div>
    <w:div w:id="361588305">
      <w:bodyDiv w:val="1"/>
      <w:marLeft w:val="0"/>
      <w:marRight w:val="0"/>
      <w:marTop w:val="0"/>
      <w:marBottom w:val="0"/>
      <w:divBdr>
        <w:top w:val="none" w:sz="0" w:space="0" w:color="auto"/>
        <w:left w:val="none" w:sz="0" w:space="0" w:color="auto"/>
        <w:bottom w:val="none" w:sz="0" w:space="0" w:color="auto"/>
        <w:right w:val="none" w:sz="0" w:space="0" w:color="auto"/>
      </w:divBdr>
    </w:div>
    <w:div w:id="472409425">
      <w:bodyDiv w:val="1"/>
      <w:marLeft w:val="0"/>
      <w:marRight w:val="0"/>
      <w:marTop w:val="0"/>
      <w:marBottom w:val="0"/>
      <w:divBdr>
        <w:top w:val="none" w:sz="0" w:space="0" w:color="auto"/>
        <w:left w:val="none" w:sz="0" w:space="0" w:color="auto"/>
        <w:bottom w:val="none" w:sz="0" w:space="0" w:color="auto"/>
        <w:right w:val="none" w:sz="0" w:space="0" w:color="auto"/>
      </w:divBdr>
    </w:div>
    <w:div w:id="500198860">
      <w:bodyDiv w:val="1"/>
      <w:marLeft w:val="0"/>
      <w:marRight w:val="0"/>
      <w:marTop w:val="0"/>
      <w:marBottom w:val="0"/>
      <w:divBdr>
        <w:top w:val="none" w:sz="0" w:space="0" w:color="auto"/>
        <w:left w:val="none" w:sz="0" w:space="0" w:color="auto"/>
        <w:bottom w:val="none" w:sz="0" w:space="0" w:color="auto"/>
        <w:right w:val="none" w:sz="0" w:space="0" w:color="auto"/>
      </w:divBdr>
    </w:div>
    <w:div w:id="514078180">
      <w:bodyDiv w:val="1"/>
      <w:marLeft w:val="0"/>
      <w:marRight w:val="0"/>
      <w:marTop w:val="0"/>
      <w:marBottom w:val="0"/>
      <w:divBdr>
        <w:top w:val="none" w:sz="0" w:space="0" w:color="auto"/>
        <w:left w:val="none" w:sz="0" w:space="0" w:color="auto"/>
        <w:bottom w:val="none" w:sz="0" w:space="0" w:color="auto"/>
        <w:right w:val="none" w:sz="0" w:space="0" w:color="auto"/>
      </w:divBdr>
    </w:div>
    <w:div w:id="523633582">
      <w:bodyDiv w:val="1"/>
      <w:marLeft w:val="0"/>
      <w:marRight w:val="0"/>
      <w:marTop w:val="0"/>
      <w:marBottom w:val="0"/>
      <w:divBdr>
        <w:top w:val="none" w:sz="0" w:space="0" w:color="auto"/>
        <w:left w:val="none" w:sz="0" w:space="0" w:color="auto"/>
        <w:bottom w:val="none" w:sz="0" w:space="0" w:color="auto"/>
        <w:right w:val="none" w:sz="0" w:space="0" w:color="auto"/>
      </w:divBdr>
    </w:div>
    <w:div w:id="605771687">
      <w:bodyDiv w:val="1"/>
      <w:marLeft w:val="0"/>
      <w:marRight w:val="0"/>
      <w:marTop w:val="0"/>
      <w:marBottom w:val="0"/>
      <w:divBdr>
        <w:top w:val="none" w:sz="0" w:space="0" w:color="auto"/>
        <w:left w:val="none" w:sz="0" w:space="0" w:color="auto"/>
        <w:bottom w:val="none" w:sz="0" w:space="0" w:color="auto"/>
        <w:right w:val="none" w:sz="0" w:space="0" w:color="auto"/>
      </w:divBdr>
    </w:div>
    <w:div w:id="627248962">
      <w:bodyDiv w:val="1"/>
      <w:marLeft w:val="0"/>
      <w:marRight w:val="0"/>
      <w:marTop w:val="0"/>
      <w:marBottom w:val="0"/>
      <w:divBdr>
        <w:top w:val="none" w:sz="0" w:space="0" w:color="auto"/>
        <w:left w:val="none" w:sz="0" w:space="0" w:color="auto"/>
        <w:bottom w:val="none" w:sz="0" w:space="0" w:color="auto"/>
        <w:right w:val="none" w:sz="0" w:space="0" w:color="auto"/>
      </w:divBdr>
      <w:divsChild>
        <w:div w:id="292759405">
          <w:marLeft w:val="0"/>
          <w:marRight w:val="0"/>
          <w:marTop w:val="0"/>
          <w:marBottom w:val="0"/>
          <w:divBdr>
            <w:top w:val="none" w:sz="0" w:space="0" w:color="auto"/>
            <w:left w:val="none" w:sz="0" w:space="0" w:color="auto"/>
            <w:bottom w:val="none" w:sz="0" w:space="0" w:color="auto"/>
            <w:right w:val="none" w:sz="0" w:space="0" w:color="auto"/>
          </w:divBdr>
        </w:div>
      </w:divsChild>
    </w:div>
    <w:div w:id="701518241">
      <w:bodyDiv w:val="1"/>
      <w:marLeft w:val="0"/>
      <w:marRight w:val="0"/>
      <w:marTop w:val="0"/>
      <w:marBottom w:val="0"/>
      <w:divBdr>
        <w:top w:val="none" w:sz="0" w:space="0" w:color="auto"/>
        <w:left w:val="none" w:sz="0" w:space="0" w:color="auto"/>
        <w:bottom w:val="none" w:sz="0" w:space="0" w:color="auto"/>
        <w:right w:val="none" w:sz="0" w:space="0" w:color="auto"/>
      </w:divBdr>
      <w:divsChild>
        <w:div w:id="1614358478">
          <w:marLeft w:val="0"/>
          <w:marRight w:val="0"/>
          <w:marTop w:val="0"/>
          <w:marBottom w:val="0"/>
          <w:divBdr>
            <w:top w:val="none" w:sz="0" w:space="0" w:color="auto"/>
            <w:left w:val="none" w:sz="0" w:space="0" w:color="auto"/>
            <w:bottom w:val="none" w:sz="0" w:space="0" w:color="auto"/>
            <w:right w:val="none" w:sz="0" w:space="0" w:color="auto"/>
          </w:divBdr>
        </w:div>
      </w:divsChild>
    </w:div>
    <w:div w:id="729426836">
      <w:bodyDiv w:val="1"/>
      <w:marLeft w:val="0"/>
      <w:marRight w:val="0"/>
      <w:marTop w:val="0"/>
      <w:marBottom w:val="0"/>
      <w:divBdr>
        <w:top w:val="none" w:sz="0" w:space="0" w:color="auto"/>
        <w:left w:val="none" w:sz="0" w:space="0" w:color="auto"/>
        <w:bottom w:val="none" w:sz="0" w:space="0" w:color="auto"/>
        <w:right w:val="none" w:sz="0" w:space="0" w:color="auto"/>
      </w:divBdr>
    </w:div>
    <w:div w:id="752553832">
      <w:bodyDiv w:val="1"/>
      <w:marLeft w:val="0"/>
      <w:marRight w:val="0"/>
      <w:marTop w:val="0"/>
      <w:marBottom w:val="0"/>
      <w:divBdr>
        <w:top w:val="none" w:sz="0" w:space="0" w:color="auto"/>
        <w:left w:val="none" w:sz="0" w:space="0" w:color="auto"/>
        <w:bottom w:val="none" w:sz="0" w:space="0" w:color="auto"/>
        <w:right w:val="none" w:sz="0" w:space="0" w:color="auto"/>
      </w:divBdr>
    </w:div>
    <w:div w:id="752698934">
      <w:bodyDiv w:val="1"/>
      <w:marLeft w:val="0"/>
      <w:marRight w:val="0"/>
      <w:marTop w:val="0"/>
      <w:marBottom w:val="0"/>
      <w:divBdr>
        <w:top w:val="none" w:sz="0" w:space="0" w:color="auto"/>
        <w:left w:val="none" w:sz="0" w:space="0" w:color="auto"/>
        <w:bottom w:val="none" w:sz="0" w:space="0" w:color="auto"/>
        <w:right w:val="none" w:sz="0" w:space="0" w:color="auto"/>
      </w:divBdr>
    </w:div>
    <w:div w:id="841703119">
      <w:bodyDiv w:val="1"/>
      <w:marLeft w:val="0"/>
      <w:marRight w:val="0"/>
      <w:marTop w:val="0"/>
      <w:marBottom w:val="0"/>
      <w:divBdr>
        <w:top w:val="none" w:sz="0" w:space="0" w:color="auto"/>
        <w:left w:val="none" w:sz="0" w:space="0" w:color="auto"/>
        <w:bottom w:val="none" w:sz="0" w:space="0" w:color="auto"/>
        <w:right w:val="none" w:sz="0" w:space="0" w:color="auto"/>
      </w:divBdr>
    </w:div>
    <w:div w:id="985165670">
      <w:bodyDiv w:val="1"/>
      <w:marLeft w:val="0"/>
      <w:marRight w:val="0"/>
      <w:marTop w:val="0"/>
      <w:marBottom w:val="0"/>
      <w:divBdr>
        <w:top w:val="none" w:sz="0" w:space="0" w:color="auto"/>
        <w:left w:val="none" w:sz="0" w:space="0" w:color="auto"/>
        <w:bottom w:val="none" w:sz="0" w:space="0" w:color="auto"/>
        <w:right w:val="none" w:sz="0" w:space="0" w:color="auto"/>
      </w:divBdr>
    </w:div>
    <w:div w:id="1078481835">
      <w:bodyDiv w:val="1"/>
      <w:marLeft w:val="0"/>
      <w:marRight w:val="0"/>
      <w:marTop w:val="0"/>
      <w:marBottom w:val="0"/>
      <w:divBdr>
        <w:top w:val="none" w:sz="0" w:space="0" w:color="auto"/>
        <w:left w:val="none" w:sz="0" w:space="0" w:color="auto"/>
        <w:bottom w:val="none" w:sz="0" w:space="0" w:color="auto"/>
        <w:right w:val="none" w:sz="0" w:space="0" w:color="auto"/>
      </w:divBdr>
    </w:div>
    <w:div w:id="1089693516">
      <w:bodyDiv w:val="1"/>
      <w:marLeft w:val="0"/>
      <w:marRight w:val="0"/>
      <w:marTop w:val="0"/>
      <w:marBottom w:val="0"/>
      <w:divBdr>
        <w:top w:val="none" w:sz="0" w:space="0" w:color="auto"/>
        <w:left w:val="none" w:sz="0" w:space="0" w:color="auto"/>
        <w:bottom w:val="none" w:sz="0" w:space="0" w:color="auto"/>
        <w:right w:val="none" w:sz="0" w:space="0" w:color="auto"/>
      </w:divBdr>
    </w:div>
    <w:div w:id="1141190485">
      <w:bodyDiv w:val="1"/>
      <w:marLeft w:val="0"/>
      <w:marRight w:val="0"/>
      <w:marTop w:val="0"/>
      <w:marBottom w:val="0"/>
      <w:divBdr>
        <w:top w:val="none" w:sz="0" w:space="0" w:color="auto"/>
        <w:left w:val="none" w:sz="0" w:space="0" w:color="auto"/>
        <w:bottom w:val="none" w:sz="0" w:space="0" w:color="auto"/>
        <w:right w:val="none" w:sz="0" w:space="0" w:color="auto"/>
      </w:divBdr>
      <w:divsChild>
        <w:div w:id="676424500">
          <w:marLeft w:val="0"/>
          <w:marRight w:val="0"/>
          <w:marTop w:val="0"/>
          <w:marBottom w:val="0"/>
          <w:divBdr>
            <w:top w:val="none" w:sz="0" w:space="0" w:color="auto"/>
            <w:left w:val="none" w:sz="0" w:space="0" w:color="auto"/>
            <w:bottom w:val="none" w:sz="0" w:space="0" w:color="auto"/>
            <w:right w:val="none" w:sz="0" w:space="0" w:color="auto"/>
          </w:divBdr>
        </w:div>
      </w:divsChild>
    </w:div>
    <w:div w:id="1199244956">
      <w:bodyDiv w:val="1"/>
      <w:marLeft w:val="0"/>
      <w:marRight w:val="0"/>
      <w:marTop w:val="0"/>
      <w:marBottom w:val="0"/>
      <w:divBdr>
        <w:top w:val="none" w:sz="0" w:space="0" w:color="auto"/>
        <w:left w:val="none" w:sz="0" w:space="0" w:color="auto"/>
        <w:bottom w:val="none" w:sz="0" w:space="0" w:color="auto"/>
        <w:right w:val="none" w:sz="0" w:space="0" w:color="auto"/>
      </w:divBdr>
    </w:div>
    <w:div w:id="1279948569">
      <w:bodyDiv w:val="1"/>
      <w:marLeft w:val="0"/>
      <w:marRight w:val="0"/>
      <w:marTop w:val="0"/>
      <w:marBottom w:val="0"/>
      <w:divBdr>
        <w:top w:val="none" w:sz="0" w:space="0" w:color="auto"/>
        <w:left w:val="none" w:sz="0" w:space="0" w:color="auto"/>
        <w:bottom w:val="none" w:sz="0" w:space="0" w:color="auto"/>
        <w:right w:val="none" w:sz="0" w:space="0" w:color="auto"/>
      </w:divBdr>
    </w:div>
    <w:div w:id="1346323923">
      <w:bodyDiv w:val="1"/>
      <w:marLeft w:val="0"/>
      <w:marRight w:val="0"/>
      <w:marTop w:val="0"/>
      <w:marBottom w:val="0"/>
      <w:divBdr>
        <w:top w:val="none" w:sz="0" w:space="0" w:color="auto"/>
        <w:left w:val="none" w:sz="0" w:space="0" w:color="auto"/>
        <w:bottom w:val="none" w:sz="0" w:space="0" w:color="auto"/>
        <w:right w:val="none" w:sz="0" w:space="0" w:color="auto"/>
      </w:divBdr>
    </w:div>
    <w:div w:id="1438871780">
      <w:bodyDiv w:val="1"/>
      <w:marLeft w:val="0"/>
      <w:marRight w:val="0"/>
      <w:marTop w:val="0"/>
      <w:marBottom w:val="0"/>
      <w:divBdr>
        <w:top w:val="none" w:sz="0" w:space="0" w:color="auto"/>
        <w:left w:val="none" w:sz="0" w:space="0" w:color="auto"/>
        <w:bottom w:val="none" w:sz="0" w:space="0" w:color="auto"/>
        <w:right w:val="none" w:sz="0" w:space="0" w:color="auto"/>
      </w:divBdr>
      <w:divsChild>
        <w:div w:id="1494176963">
          <w:marLeft w:val="0"/>
          <w:marRight w:val="0"/>
          <w:marTop w:val="0"/>
          <w:marBottom w:val="0"/>
          <w:divBdr>
            <w:top w:val="none" w:sz="0" w:space="0" w:color="auto"/>
            <w:left w:val="none" w:sz="0" w:space="0" w:color="auto"/>
            <w:bottom w:val="none" w:sz="0" w:space="0" w:color="auto"/>
            <w:right w:val="none" w:sz="0" w:space="0" w:color="auto"/>
          </w:divBdr>
        </w:div>
      </w:divsChild>
    </w:div>
    <w:div w:id="1470705596">
      <w:bodyDiv w:val="1"/>
      <w:marLeft w:val="0"/>
      <w:marRight w:val="0"/>
      <w:marTop w:val="0"/>
      <w:marBottom w:val="0"/>
      <w:divBdr>
        <w:top w:val="none" w:sz="0" w:space="0" w:color="auto"/>
        <w:left w:val="none" w:sz="0" w:space="0" w:color="auto"/>
        <w:bottom w:val="none" w:sz="0" w:space="0" w:color="auto"/>
        <w:right w:val="none" w:sz="0" w:space="0" w:color="auto"/>
      </w:divBdr>
      <w:divsChild>
        <w:div w:id="448545202">
          <w:marLeft w:val="0"/>
          <w:marRight w:val="0"/>
          <w:marTop w:val="0"/>
          <w:marBottom w:val="0"/>
          <w:divBdr>
            <w:top w:val="none" w:sz="0" w:space="0" w:color="auto"/>
            <w:left w:val="none" w:sz="0" w:space="0" w:color="auto"/>
            <w:bottom w:val="none" w:sz="0" w:space="0" w:color="auto"/>
            <w:right w:val="none" w:sz="0" w:space="0" w:color="auto"/>
          </w:divBdr>
        </w:div>
      </w:divsChild>
    </w:div>
    <w:div w:id="1491141172">
      <w:bodyDiv w:val="1"/>
      <w:marLeft w:val="0"/>
      <w:marRight w:val="0"/>
      <w:marTop w:val="0"/>
      <w:marBottom w:val="0"/>
      <w:divBdr>
        <w:top w:val="none" w:sz="0" w:space="0" w:color="auto"/>
        <w:left w:val="none" w:sz="0" w:space="0" w:color="auto"/>
        <w:bottom w:val="none" w:sz="0" w:space="0" w:color="auto"/>
        <w:right w:val="none" w:sz="0" w:space="0" w:color="auto"/>
      </w:divBdr>
    </w:div>
    <w:div w:id="1592159463">
      <w:bodyDiv w:val="1"/>
      <w:marLeft w:val="0"/>
      <w:marRight w:val="0"/>
      <w:marTop w:val="0"/>
      <w:marBottom w:val="0"/>
      <w:divBdr>
        <w:top w:val="none" w:sz="0" w:space="0" w:color="auto"/>
        <w:left w:val="none" w:sz="0" w:space="0" w:color="auto"/>
        <w:bottom w:val="none" w:sz="0" w:space="0" w:color="auto"/>
        <w:right w:val="none" w:sz="0" w:space="0" w:color="auto"/>
      </w:divBdr>
    </w:div>
    <w:div w:id="1644306338">
      <w:bodyDiv w:val="1"/>
      <w:marLeft w:val="0"/>
      <w:marRight w:val="0"/>
      <w:marTop w:val="0"/>
      <w:marBottom w:val="0"/>
      <w:divBdr>
        <w:top w:val="none" w:sz="0" w:space="0" w:color="auto"/>
        <w:left w:val="none" w:sz="0" w:space="0" w:color="auto"/>
        <w:bottom w:val="none" w:sz="0" w:space="0" w:color="auto"/>
        <w:right w:val="none" w:sz="0" w:space="0" w:color="auto"/>
      </w:divBdr>
      <w:divsChild>
        <w:div w:id="774397801">
          <w:marLeft w:val="0"/>
          <w:marRight w:val="0"/>
          <w:marTop w:val="0"/>
          <w:marBottom w:val="0"/>
          <w:divBdr>
            <w:top w:val="none" w:sz="0" w:space="0" w:color="auto"/>
            <w:left w:val="none" w:sz="0" w:space="0" w:color="auto"/>
            <w:bottom w:val="none" w:sz="0" w:space="0" w:color="auto"/>
            <w:right w:val="none" w:sz="0" w:space="0" w:color="auto"/>
          </w:divBdr>
        </w:div>
      </w:divsChild>
    </w:div>
    <w:div w:id="1684430122">
      <w:bodyDiv w:val="1"/>
      <w:marLeft w:val="0"/>
      <w:marRight w:val="0"/>
      <w:marTop w:val="0"/>
      <w:marBottom w:val="0"/>
      <w:divBdr>
        <w:top w:val="none" w:sz="0" w:space="0" w:color="auto"/>
        <w:left w:val="none" w:sz="0" w:space="0" w:color="auto"/>
        <w:bottom w:val="none" w:sz="0" w:space="0" w:color="auto"/>
        <w:right w:val="none" w:sz="0" w:space="0" w:color="auto"/>
      </w:divBdr>
      <w:divsChild>
        <w:div w:id="1948810745">
          <w:marLeft w:val="0"/>
          <w:marRight w:val="0"/>
          <w:marTop w:val="0"/>
          <w:marBottom w:val="0"/>
          <w:divBdr>
            <w:top w:val="none" w:sz="0" w:space="0" w:color="auto"/>
            <w:left w:val="none" w:sz="0" w:space="0" w:color="auto"/>
            <w:bottom w:val="none" w:sz="0" w:space="0" w:color="auto"/>
            <w:right w:val="none" w:sz="0" w:space="0" w:color="auto"/>
          </w:divBdr>
        </w:div>
      </w:divsChild>
    </w:div>
    <w:div w:id="1717048521">
      <w:bodyDiv w:val="1"/>
      <w:marLeft w:val="0"/>
      <w:marRight w:val="0"/>
      <w:marTop w:val="0"/>
      <w:marBottom w:val="0"/>
      <w:divBdr>
        <w:top w:val="none" w:sz="0" w:space="0" w:color="auto"/>
        <w:left w:val="none" w:sz="0" w:space="0" w:color="auto"/>
        <w:bottom w:val="none" w:sz="0" w:space="0" w:color="auto"/>
        <w:right w:val="none" w:sz="0" w:space="0" w:color="auto"/>
      </w:divBdr>
    </w:div>
    <w:div w:id="1912080834">
      <w:bodyDiv w:val="1"/>
      <w:marLeft w:val="0"/>
      <w:marRight w:val="0"/>
      <w:marTop w:val="0"/>
      <w:marBottom w:val="0"/>
      <w:divBdr>
        <w:top w:val="none" w:sz="0" w:space="0" w:color="auto"/>
        <w:left w:val="none" w:sz="0" w:space="0" w:color="auto"/>
        <w:bottom w:val="none" w:sz="0" w:space="0" w:color="auto"/>
        <w:right w:val="none" w:sz="0" w:space="0" w:color="auto"/>
      </w:divBdr>
      <w:divsChild>
        <w:div w:id="1647315461">
          <w:marLeft w:val="0"/>
          <w:marRight w:val="0"/>
          <w:marTop w:val="0"/>
          <w:marBottom w:val="0"/>
          <w:divBdr>
            <w:top w:val="none" w:sz="0" w:space="0" w:color="auto"/>
            <w:left w:val="none" w:sz="0" w:space="0" w:color="auto"/>
            <w:bottom w:val="none" w:sz="0" w:space="0" w:color="auto"/>
            <w:right w:val="none" w:sz="0" w:space="0" w:color="auto"/>
          </w:divBdr>
        </w:div>
      </w:divsChild>
    </w:div>
    <w:div w:id="1934320440">
      <w:bodyDiv w:val="1"/>
      <w:marLeft w:val="0"/>
      <w:marRight w:val="0"/>
      <w:marTop w:val="0"/>
      <w:marBottom w:val="0"/>
      <w:divBdr>
        <w:top w:val="none" w:sz="0" w:space="0" w:color="auto"/>
        <w:left w:val="none" w:sz="0" w:space="0" w:color="auto"/>
        <w:bottom w:val="none" w:sz="0" w:space="0" w:color="auto"/>
        <w:right w:val="none" w:sz="0" w:space="0" w:color="auto"/>
      </w:divBdr>
    </w:div>
    <w:div w:id="2042511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footnotes.xml.rels><?xml version="1.0" encoding="UTF-8" standalone="yes"?>
<Relationships xmlns="http://schemas.openxmlformats.org/package/2006/relationships"><Relationship Id="rId8" Type="http://schemas.openxmlformats.org/officeDocument/2006/relationships/hyperlink" Target="https://www.dekamer.be/FLWB/PDF/54/1451/54K1451001.pdf" TargetMode="External"/><Relationship Id="rId13" Type="http://schemas.openxmlformats.org/officeDocument/2006/relationships/hyperlink" Target="https://www.dekamer.be/FLWB/PDF/54/2885/54K2885001.pdf" TargetMode="External"/><Relationship Id="rId18" Type="http://schemas.openxmlformats.org/officeDocument/2006/relationships/hyperlink" Target="https://juportal.be/content/ECLI:BE:CASS:2000:ARR.20000107.9" TargetMode="External"/><Relationship Id="rId3" Type="http://schemas.openxmlformats.org/officeDocument/2006/relationships/hyperlink" Target="https://www.dekamer.be/FLWB/PDF/54/1451/54K1451003.pdf" TargetMode="External"/><Relationship Id="rId7" Type="http://schemas.openxmlformats.org/officeDocument/2006/relationships/hyperlink" Target="https://www.dekamer.be/FLWB/PDF/54/1451/54K1451001.pdf" TargetMode="External"/><Relationship Id="rId12" Type="http://schemas.openxmlformats.org/officeDocument/2006/relationships/hyperlink" Target="https://www.dekamer.be/FLWB/PDF/54/1451/54K1451001.pdf" TargetMode="External"/><Relationship Id="rId17" Type="http://schemas.openxmlformats.org/officeDocument/2006/relationships/hyperlink" Target="https://juportal.be/content/ECLI:BE:CASS:2000:ARR.20000107.9" TargetMode="External"/><Relationship Id="rId2" Type="http://schemas.openxmlformats.org/officeDocument/2006/relationships/hyperlink" Target="https://www.dekamer.be/FLWB/PDF/54/1451/54K1451003.pdf" TargetMode="External"/><Relationship Id="rId16" Type="http://schemas.openxmlformats.org/officeDocument/2006/relationships/hyperlink" Target="https://juportal.be/content/ECLI:BE:CASS:2000:ARR.20000107.9" TargetMode="External"/><Relationship Id="rId1" Type="http://schemas.openxmlformats.org/officeDocument/2006/relationships/hyperlink" Target="https://www.dekamer.be/FLWB/PDF/54/1451/54K1451001.pdf" TargetMode="External"/><Relationship Id="rId6" Type="http://schemas.openxmlformats.org/officeDocument/2006/relationships/hyperlink" Target="https://www.dekamer.be/FLWB/PDF/54/1451/54K1451001.pdf" TargetMode="External"/><Relationship Id="rId11" Type="http://schemas.openxmlformats.org/officeDocument/2006/relationships/hyperlink" Target="https://www.dekamer.be/FLWB/PDF/54/1451/54K1451001.pdf" TargetMode="External"/><Relationship Id="rId5" Type="http://schemas.openxmlformats.org/officeDocument/2006/relationships/hyperlink" Target="https://www.dekamer.be/FLWB/PDF/54/1451/54K1451001.pdf" TargetMode="External"/><Relationship Id="rId15" Type="http://schemas.openxmlformats.org/officeDocument/2006/relationships/hyperlink" Target="https://www.bma-abc.be/sites/default/files/content/download/files/20231128_Persbericht_57_BMA.pdf" TargetMode="External"/><Relationship Id="rId10" Type="http://schemas.openxmlformats.org/officeDocument/2006/relationships/hyperlink" Target="https://www.dekamer.be/FLWB/PDF/54/1451/54K1451001.pdf" TargetMode="External"/><Relationship Id="rId4" Type="http://schemas.openxmlformats.org/officeDocument/2006/relationships/hyperlink" Target="https://www.dekamer.be/FLWB/PDF/54/1451/54K1451003.pdf" TargetMode="External"/><Relationship Id="rId9" Type="http://schemas.openxmlformats.org/officeDocument/2006/relationships/hyperlink" Target="https://www.dekamer.be/FLWB/PDF/54/1451/54K1451001.pdf" TargetMode="External"/><Relationship Id="rId14" Type="http://schemas.openxmlformats.org/officeDocument/2006/relationships/hyperlink" Target="https://www.bma-abc.be/sites/default/files/content/download/files/2022%2001%2025%20-%20ABC%20AMICUS%20CURIA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LLE!3214406634.1</documentid>
  <senderid>BO.DECLERCQ@LINKLATERS.COM</senderid>
  <senderemail>BO.DECLERCQ@LINKLATERS.COM</senderemail>
  <lastmodified>2025-09-30T15:04:00.0000000+02:00</lastmodified>
  <database>LLE</database>
</properties>
</file>

<file path=customXML/itemProps2.xml><?xml version="1.0" encoding="utf-8"?>
<ds:datastoreItem xmlns:ds="http://schemas.openxmlformats.org/officeDocument/2006/customXml" ds:itemID="{DCBE61E8-E829-4660-8406-4750BF1094EA}">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7C535-382D-4A4C-AE53-8490D4902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7203</Words>
  <Characters>42993</Characters>
  <Application>Microsoft Office Word</Application>
  <DocSecurity>0</DocSecurity>
  <Lines>977</Lines>
  <Paragraphs>374</Paragraphs>
  <ScaleCrop>false</ScaleCrop>
  <HeadingPairs>
    <vt:vector size="2" baseType="variant">
      <vt:variant>
        <vt:lpstr>Title</vt:lpstr>
      </vt:variant>
      <vt:variant>
        <vt:i4>1</vt:i4>
      </vt:variant>
    </vt:vector>
  </HeadingPairs>
  <TitlesOfParts>
    <vt:vector size="1" baseType="lpstr">
      <vt:lpstr>2025 LIDC Questionnaire QA relative market power VFinal</vt:lpstr>
    </vt:vector>
  </TitlesOfParts>
  <Company/>
  <LinksUpToDate>false</LinksUpToDate>
  <CharactersWithSpaces>49822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LIDC Questionnaire QA relative market power VFinal</dc:title>
  <dc:subject/>
  <dc:creator>Murielle Chagny</dc:creator>
  <cp:keywords/>
  <dc:description/>
  <cp:lastModifiedBy>Any Authorised User</cp:lastModifiedBy>
  <cp:revision>26</cp:revision>
  <cp:lastPrinted>2025-09-22T13:46:00Z</cp:lastPrinted>
  <dcterms:created xsi:type="dcterms:W3CDTF">2025-09-08T11:26:00Z</dcterms:created>
  <dcterms:modified xsi:type="dcterms:W3CDTF">2025-09-30T13:04:00Z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2025-01-29T23:59:59Z</vt:filetime>
  </property>
  <property fmtid="{D5CDD505-2E9C-101B-9397-08002B2CF9AE}" pid="3" name="Creator">
    <vt:lpwstr>Word</vt:lpwstr>
  </property>
  <property fmtid="{D5CDD505-2E9C-101B-9397-08002B2CF9AE}" pid="4" name="LastSaved">
    <vt:filetime>2025-08-04T00:00:00Z</vt:filetime>
  </property>
  <property fmtid="{D5CDD505-2E9C-101B-9397-08002B2CF9AE}" pid="5" name="Producer">
    <vt:lpwstr>macOS Version 15.1 (assemblage 24B83) Quartz PDFContext</vt:lpwstr>
  </property>
  <property fmtid="{D5CDD505-2E9C-101B-9397-08002B2CF9AE}" pid="6" name="Client Code">
    <vt:lpwstr>DR</vt:lpwstr>
  </property>
  <property fmtid="{D5CDD505-2E9C-101B-9397-08002B2CF9AE}" pid="7" name="Matter Number">
    <vt:lpwstr>GEN-1010329</vt:lpwstr>
  </property>
  <property fmtid="{D5CDD505-2E9C-101B-9397-08002B2CF9AE}" pid="8" name="Document Number">
    <vt:lpwstr>3214406634</vt:lpwstr>
  </property>
  <property fmtid="{D5CDD505-2E9C-101B-9397-08002B2CF9AE}" pid="9" name="Version">
    <vt:lpwstr>1</vt:lpwstr>
  </property>
  <property fmtid="{D5CDD505-2E9C-101B-9397-08002B2CF9AE}" pid="10" name="Last Modified">
    <vt:lpwstr>30 Sep 2025</vt:lpwstr>
  </property>
</Properties>
</file>