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3D14" w14:textId="4AB1CCE5" w:rsidR="00A2705C" w:rsidRPr="00FA54ED" w:rsidRDefault="00D45CB9" w:rsidP="00D45CB9">
      <w:pPr>
        <w:pStyle w:val="Stext"/>
        <w:jc w:val="center"/>
        <w:rPr>
          <w:rFonts w:ascii="Times New Roman" w:hAnsi="Times New Roman" w:cs="Times New Roman"/>
          <w:b/>
          <w:bCs/>
          <w:lang w:val="en-GB"/>
        </w:rPr>
      </w:pPr>
      <w:r w:rsidRPr="00FA54ED">
        <w:rPr>
          <w:rFonts w:ascii="Times New Roman" w:hAnsi="Times New Roman" w:cs="Times New Roman"/>
          <w:b/>
          <w:bCs/>
          <w:lang w:val="en-GB"/>
        </w:rPr>
        <w:t>LIDC Congress 2025</w:t>
      </w:r>
    </w:p>
    <w:p w14:paraId="18B0D09E" w14:textId="6E82323E" w:rsidR="00D45CB9" w:rsidRPr="00FA54ED" w:rsidRDefault="00D45CB9" w:rsidP="00D45CB9">
      <w:pPr>
        <w:pStyle w:val="Stext"/>
        <w:jc w:val="center"/>
        <w:rPr>
          <w:rFonts w:ascii="Times New Roman" w:hAnsi="Times New Roman" w:cs="Times New Roman"/>
          <w:b/>
          <w:bCs/>
          <w:lang w:val="en-GB"/>
        </w:rPr>
      </w:pPr>
      <w:r w:rsidRPr="00FA54ED">
        <w:rPr>
          <w:rFonts w:ascii="Times New Roman" w:hAnsi="Times New Roman" w:cs="Times New Roman"/>
          <w:b/>
          <w:bCs/>
          <w:lang w:val="en-GB"/>
        </w:rPr>
        <w:t>Austrian Country Report on Question A</w:t>
      </w:r>
    </w:p>
    <w:p w14:paraId="19CDCE59" w14:textId="3554F874" w:rsidR="00D05A59" w:rsidRPr="00FA54ED" w:rsidRDefault="00D05A59" w:rsidP="00D45CB9">
      <w:pPr>
        <w:pStyle w:val="Stext"/>
        <w:jc w:val="center"/>
        <w:rPr>
          <w:rFonts w:ascii="Times New Roman" w:hAnsi="Times New Roman" w:cs="Times New Roman"/>
          <w:i/>
          <w:iCs/>
          <w:lang w:val="en-GB"/>
        </w:rPr>
      </w:pPr>
      <w:r w:rsidRPr="00FA54ED">
        <w:rPr>
          <w:rFonts w:ascii="Times New Roman" w:hAnsi="Times New Roman" w:cs="Times New Roman"/>
          <w:i/>
          <w:iCs/>
          <w:lang w:val="en-GB"/>
        </w:rPr>
        <w:t>Reporters: Nora Schindler</w:t>
      </w:r>
      <w:r w:rsidR="006A4193" w:rsidRPr="00FA54ED">
        <w:rPr>
          <w:rFonts w:ascii="Times New Roman" w:hAnsi="Times New Roman" w:cs="Times New Roman"/>
          <w:i/>
          <w:iCs/>
          <w:lang w:val="en-GB"/>
        </w:rPr>
        <w:t xml:space="preserve"> </w:t>
      </w:r>
      <w:r w:rsidRPr="00FA54ED">
        <w:rPr>
          <w:rFonts w:ascii="Times New Roman" w:hAnsi="Times New Roman" w:cs="Times New Roman"/>
          <w:i/>
          <w:iCs/>
          <w:lang w:val="en-GB"/>
        </w:rPr>
        <w:t>and Hanno Wollmann</w:t>
      </w:r>
    </w:p>
    <w:tbl>
      <w:tblPr>
        <w:tblStyle w:val="TableGrid"/>
        <w:tblpPr w:leftFromText="141" w:rightFromText="141" w:vertAnchor="text" w:horzAnchor="margin" w:tblpXSpec="center" w:tblpY="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2"/>
        <w:gridCol w:w="3543"/>
      </w:tblGrid>
      <w:tr w:rsidR="00293950" w:rsidRPr="00FA54ED" w14:paraId="190BA698" w14:textId="77777777" w:rsidTr="00293950">
        <w:trPr>
          <w:trHeight w:val="170"/>
        </w:trPr>
        <w:tc>
          <w:tcPr>
            <w:tcW w:w="3542" w:type="dxa"/>
            <w:vAlign w:val="center"/>
          </w:tcPr>
          <w:p w14:paraId="3EB8FB77" w14:textId="114060ED" w:rsidR="00293950" w:rsidRPr="00FA54ED" w:rsidRDefault="00293950" w:rsidP="00293950">
            <w:pPr>
              <w:pStyle w:val="Stext"/>
              <w:spacing w:before="0"/>
              <w:jc w:val="center"/>
              <w:rPr>
                <w:rFonts w:ascii="Times New Roman" w:hAnsi="Times New Roman" w:cs="Times New Roman"/>
                <w:iCs/>
                <w:lang w:val="en-GB"/>
              </w:rPr>
            </w:pPr>
            <w:r w:rsidRPr="00FA54ED">
              <w:rPr>
                <w:rFonts w:ascii="Times New Roman" w:hAnsi="Times New Roman" w:cs="Times New Roman"/>
                <w:iCs/>
                <w:lang w:val="en-GB"/>
              </w:rPr>
              <w:t>Nora Schindler</w:t>
            </w:r>
            <w:r w:rsidR="006A4193" w:rsidRPr="00FA54ED">
              <w:rPr>
                <w:rStyle w:val="FootnoteReference"/>
                <w:rFonts w:ascii="Times New Roman" w:hAnsi="Times New Roman" w:cs="Times New Roman"/>
                <w:iCs/>
                <w:lang w:val="en-GB"/>
              </w:rPr>
              <w:footnoteReference w:id="2"/>
            </w:r>
          </w:p>
        </w:tc>
        <w:tc>
          <w:tcPr>
            <w:tcW w:w="3543" w:type="dxa"/>
            <w:vAlign w:val="center"/>
          </w:tcPr>
          <w:p w14:paraId="5993E02B" w14:textId="77777777" w:rsidR="00293950" w:rsidRPr="00FA54ED" w:rsidRDefault="00293950" w:rsidP="00293950">
            <w:pPr>
              <w:pStyle w:val="Stext"/>
              <w:spacing w:before="0"/>
              <w:jc w:val="center"/>
              <w:rPr>
                <w:rFonts w:ascii="Times New Roman" w:hAnsi="Times New Roman" w:cs="Times New Roman"/>
                <w:iCs/>
                <w:lang w:val="en-GB"/>
              </w:rPr>
            </w:pPr>
            <w:r w:rsidRPr="00FA54ED">
              <w:rPr>
                <w:rFonts w:ascii="Times New Roman" w:hAnsi="Times New Roman" w:cs="Times New Roman"/>
                <w:iCs/>
                <w:lang w:val="en-GB"/>
              </w:rPr>
              <w:t>Hanno Wollmann</w:t>
            </w:r>
          </w:p>
        </w:tc>
      </w:tr>
      <w:tr w:rsidR="00293950" w:rsidRPr="00FA54ED" w14:paraId="753D67B9" w14:textId="77777777" w:rsidTr="00293950">
        <w:trPr>
          <w:trHeight w:val="170"/>
        </w:trPr>
        <w:tc>
          <w:tcPr>
            <w:tcW w:w="3542" w:type="dxa"/>
            <w:vAlign w:val="center"/>
          </w:tcPr>
          <w:p w14:paraId="6F02C7F1" w14:textId="77777777" w:rsidR="00293950" w:rsidRPr="00FA54ED" w:rsidRDefault="00293950" w:rsidP="00293950">
            <w:pPr>
              <w:pStyle w:val="Stext"/>
              <w:spacing w:before="0"/>
              <w:jc w:val="center"/>
              <w:rPr>
                <w:rFonts w:ascii="Times New Roman" w:hAnsi="Times New Roman" w:cs="Times New Roman"/>
                <w:iCs/>
                <w:lang w:val="en-GB"/>
              </w:rPr>
            </w:pPr>
            <w:r w:rsidRPr="00FA54ED">
              <w:rPr>
                <w:rFonts w:ascii="Times New Roman" w:hAnsi="Times New Roman" w:cs="Times New Roman"/>
                <w:iCs/>
                <w:lang w:val="en-GB"/>
              </w:rPr>
              <w:t>Austrian Federal Competition Authority</w:t>
            </w:r>
          </w:p>
        </w:tc>
        <w:tc>
          <w:tcPr>
            <w:tcW w:w="3543" w:type="dxa"/>
            <w:vAlign w:val="center"/>
          </w:tcPr>
          <w:p w14:paraId="58BD67A1" w14:textId="77777777" w:rsidR="00293950" w:rsidRPr="00FA54ED" w:rsidRDefault="00293950" w:rsidP="00293950">
            <w:pPr>
              <w:pStyle w:val="Stext"/>
              <w:spacing w:before="0"/>
              <w:jc w:val="center"/>
              <w:rPr>
                <w:rFonts w:ascii="Times New Roman" w:hAnsi="Times New Roman" w:cs="Times New Roman"/>
                <w:iCs/>
                <w:lang w:val="en-GB"/>
              </w:rPr>
            </w:pPr>
            <w:r w:rsidRPr="00FA54ED">
              <w:rPr>
                <w:rFonts w:ascii="Times New Roman" w:hAnsi="Times New Roman" w:cs="Times New Roman"/>
                <w:iCs/>
                <w:lang w:val="en-GB"/>
              </w:rPr>
              <w:t>Schoenherr Attorneys at Law</w:t>
            </w:r>
          </w:p>
        </w:tc>
      </w:tr>
      <w:tr w:rsidR="00293950" w:rsidRPr="00FA54ED" w14:paraId="75559C78" w14:textId="77777777" w:rsidTr="00293950">
        <w:trPr>
          <w:trHeight w:val="170"/>
        </w:trPr>
        <w:tc>
          <w:tcPr>
            <w:tcW w:w="3542" w:type="dxa"/>
            <w:vAlign w:val="center"/>
          </w:tcPr>
          <w:p w14:paraId="4FC1150C" w14:textId="77777777" w:rsidR="00293950" w:rsidRPr="00FA54ED" w:rsidRDefault="00293950" w:rsidP="00293950">
            <w:pPr>
              <w:pStyle w:val="Stext"/>
              <w:spacing w:before="0"/>
              <w:jc w:val="center"/>
              <w:rPr>
                <w:rFonts w:ascii="Times New Roman" w:hAnsi="Times New Roman" w:cs="Times New Roman"/>
                <w:iCs/>
                <w:lang w:val="en-GB"/>
              </w:rPr>
            </w:pPr>
            <w:r w:rsidRPr="00FA54ED">
              <w:rPr>
                <w:rFonts w:ascii="Times New Roman" w:hAnsi="Times New Roman" w:cs="Times New Roman"/>
                <w:iCs/>
                <w:lang w:val="en-GB"/>
              </w:rPr>
              <w:t>Email: Nora.Schindler@bwb.gv.at</w:t>
            </w:r>
          </w:p>
        </w:tc>
        <w:tc>
          <w:tcPr>
            <w:tcW w:w="3543" w:type="dxa"/>
            <w:vAlign w:val="center"/>
          </w:tcPr>
          <w:p w14:paraId="3D515C7B" w14:textId="77777777" w:rsidR="00293950" w:rsidRPr="00FA54ED" w:rsidRDefault="00293950" w:rsidP="00293950">
            <w:pPr>
              <w:pStyle w:val="Stext"/>
              <w:spacing w:before="0"/>
              <w:jc w:val="center"/>
              <w:rPr>
                <w:rFonts w:ascii="Times New Roman" w:hAnsi="Times New Roman" w:cs="Times New Roman"/>
                <w:iCs/>
                <w:lang w:val="en-GB"/>
              </w:rPr>
            </w:pPr>
            <w:r w:rsidRPr="00FA54ED">
              <w:rPr>
                <w:rFonts w:ascii="Times New Roman" w:hAnsi="Times New Roman" w:cs="Times New Roman"/>
                <w:iCs/>
                <w:lang w:val="en-GB"/>
              </w:rPr>
              <w:t>h.wollmann@schoenherr.eu</w:t>
            </w:r>
          </w:p>
        </w:tc>
      </w:tr>
    </w:tbl>
    <w:p w14:paraId="42C05700" w14:textId="77777777" w:rsidR="00146ED2" w:rsidRPr="00FA54ED" w:rsidRDefault="00146ED2" w:rsidP="00D45CB9">
      <w:pPr>
        <w:pStyle w:val="Stext"/>
        <w:jc w:val="center"/>
        <w:rPr>
          <w:rFonts w:ascii="Times New Roman" w:hAnsi="Times New Roman" w:cs="Times New Roman"/>
          <w:i/>
          <w:iCs/>
          <w:lang w:val="en-GB"/>
        </w:rPr>
      </w:pPr>
    </w:p>
    <w:p w14:paraId="6AB500DB" w14:textId="77777777" w:rsidR="00146ED2" w:rsidRPr="00FA54ED" w:rsidRDefault="00146ED2" w:rsidP="00D45CB9">
      <w:pPr>
        <w:pStyle w:val="Stext"/>
        <w:jc w:val="center"/>
        <w:rPr>
          <w:rFonts w:ascii="Times New Roman" w:hAnsi="Times New Roman" w:cs="Times New Roman"/>
          <w:i/>
          <w:iCs/>
          <w:lang w:val="en-GB"/>
        </w:rPr>
      </w:pPr>
    </w:p>
    <w:p w14:paraId="651F3578" w14:textId="77777777" w:rsidR="00293950" w:rsidRPr="00FA54ED" w:rsidRDefault="00293950" w:rsidP="00D45CB9">
      <w:pPr>
        <w:pStyle w:val="Stext"/>
        <w:jc w:val="center"/>
        <w:rPr>
          <w:rFonts w:ascii="Times New Roman" w:hAnsi="Times New Roman" w:cs="Times New Roman"/>
          <w:b/>
          <w:bCs/>
          <w:lang w:val="en-GB"/>
        </w:rPr>
      </w:pPr>
    </w:p>
    <w:p w14:paraId="6F1F3AD2" w14:textId="751942A9" w:rsidR="00D45CB9" w:rsidRPr="00FA54ED" w:rsidRDefault="00D45CB9" w:rsidP="00D45CB9">
      <w:pPr>
        <w:pStyle w:val="Stext"/>
        <w:jc w:val="center"/>
        <w:rPr>
          <w:rFonts w:ascii="Times New Roman" w:hAnsi="Times New Roman" w:cs="Times New Roman"/>
          <w:b/>
          <w:bCs/>
          <w:lang w:val="en-GB"/>
        </w:rPr>
      </w:pPr>
      <w:r w:rsidRPr="00FA54ED">
        <w:rPr>
          <w:rFonts w:ascii="Times New Roman" w:hAnsi="Times New Roman" w:cs="Times New Roman"/>
          <w:b/>
          <w:bCs/>
          <w:lang w:val="en-GB"/>
        </w:rPr>
        <w:t>Is the concept of the abuse of relative market power beyond market dominance necessary to ensure a functioning competition, and what criteria should be used to assess it?</w:t>
      </w:r>
    </w:p>
    <w:p w14:paraId="3E58C8EE" w14:textId="49CA257F" w:rsidR="00D45CB9" w:rsidRPr="00FA54ED" w:rsidRDefault="00D45CB9" w:rsidP="000D09DB">
      <w:pPr>
        <w:pStyle w:val="Stext"/>
        <w:spacing w:before="360"/>
        <w:ind w:left="567" w:hanging="567"/>
        <w:rPr>
          <w:rFonts w:ascii="Times New Roman" w:hAnsi="Times New Roman" w:cs="Times New Roman"/>
          <w:b/>
          <w:bCs/>
          <w:lang w:val="en-GB"/>
        </w:rPr>
      </w:pPr>
      <w:r w:rsidRPr="00FA54ED">
        <w:rPr>
          <w:rFonts w:ascii="Times New Roman" w:hAnsi="Times New Roman" w:cs="Times New Roman"/>
          <w:b/>
          <w:bCs/>
          <w:lang w:val="en-GB"/>
        </w:rPr>
        <w:t>1.</w:t>
      </w:r>
      <w:r w:rsidRPr="00FA54ED">
        <w:rPr>
          <w:rFonts w:ascii="Times New Roman" w:hAnsi="Times New Roman" w:cs="Times New Roman"/>
          <w:b/>
          <w:bCs/>
          <w:lang w:val="en-GB"/>
        </w:rPr>
        <w:tab/>
        <w:t>Introduction</w:t>
      </w:r>
    </w:p>
    <w:p w14:paraId="4804C618" w14:textId="563B0AAA" w:rsidR="00A91573" w:rsidRPr="00FA54ED" w:rsidRDefault="00D45CB9" w:rsidP="009A2A10">
      <w:pPr>
        <w:pStyle w:val="Stext"/>
        <w:rPr>
          <w:rFonts w:ascii="Times New Roman" w:hAnsi="Times New Roman" w:cs="Times New Roman"/>
          <w:lang w:val="en-GB"/>
        </w:rPr>
      </w:pPr>
      <w:r w:rsidRPr="00FA54ED">
        <w:rPr>
          <w:rFonts w:ascii="Times New Roman" w:hAnsi="Times New Roman" w:cs="Times New Roman"/>
          <w:lang w:val="en-GB"/>
        </w:rPr>
        <w:t>Specific rules dealing with relative market power have been introduce</w:t>
      </w:r>
      <w:r w:rsidR="000D09DB" w:rsidRPr="00FA54ED">
        <w:rPr>
          <w:rFonts w:ascii="Times New Roman" w:hAnsi="Times New Roman" w:cs="Times New Roman"/>
          <w:lang w:val="en-GB"/>
        </w:rPr>
        <w:t>d</w:t>
      </w:r>
      <w:r w:rsidRPr="00FA54ED">
        <w:rPr>
          <w:rFonts w:ascii="Times New Roman" w:hAnsi="Times New Roman" w:cs="Times New Roman"/>
          <w:lang w:val="en-GB"/>
        </w:rPr>
        <w:t xml:space="preserve"> into Austrian law with the </w:t>
      </w:r>
      <w:r w:rsidRPr="00FA54ED">
        <w:rPr>
          <w:rFonts w:ascii="Times New Roman" w:hAnsi="Times New Roman" w:cs="Times New Roman"/>
          <w:bCs/>
          <w:i/>
          <w:lang w:val="en-GB"/>
        </w:rPr>
        <w:t>1988 amendment to the Austrian Cartel Act</w:t>
      </w:r>
      <w:r w:rsidRPr="00FA54ED">
        <w:rPr>
          <w:rFonts w:ascii="Times New Roman" w:hAnsi="Times New Roman" w:cs="Times New Roman"/>
          <w:lang w:val="en-GB"/>
        </w:rPr>
        <w:t xml:space="preserve">. Prior to this amendment, </w:t>
      </w:r>
      <w:r w:rsidR="00FD3B28" w:rsidRPr="00FA54ED">
        <w:rPr>
          <w:rFonts w:ascii="Times New Roman" w:hAnsi="Times New Roman" w:cs="Times New Roman"/>
          <w:lang w:val="en-GB"/>
        </w:rPr>
        <w:t xml:space="preserve">undertakings </w:t>
      </w:r>
      <w:r w:rsidRPr="00FA54ED">
        <w:rPr>
          <w:rFonts w:ascii="Times New Roman" w:hAnsi="Times New Roman" w:cs="Times New Roman"/>
          <w:lang w:val="en-GB"/>
        </w:rPr>
        <w:t xml:space="preserve">were obliged to register with the </w:t>
      </w:r>
      <w:r w:rsidR="000D09DB" w:rsidRPr="00FA54ED">
        <w:rPr>
          <w:rFonts w:ascii="Times New Roman" w:hAnsi="Times New Roman" w:cs="Times New Roman"/>
          <w:lang w:val="en-GB"/>
        </w:rPr>
        <w:t>C</w:t>
      </w:r>
      <w:r w:rsidRPr="00FA54ED">
        <w:rPr>
          <w:rFonts w:ascii="Times New Roman" w:hAnsi="Times New Roman" w:cs="Times New Roman"/>
          <w:lang w:val="en-GB"/>
        </w:rPr>
        <w:t xml:space="preserve">artel </w:t>
      </w:r>
      <w:r w:rsidR="000D09DB" w:rsidRPr="00FA54ED">
        <w:rPr>
          <w:rFonts w:ascii="Times New Roman" w:hAnsi="Times New Roman" w:cs="Times New Roman"/>
          <w:lang w:val="en-GB"/>
        </w:rPr>
        <w:t>C</w:t>
      </w:r>
      <w:r w:rsidRPr="00FA54ED">
        <w:rPr>
          <w:rFonts w:ascii="Times New Roman" w:hAnsi="Times New Roman" w:cs="Times New Roman"/>
          <w:lang w:val="en-GB"/>
        </w:rPr>
        <w:t>ourt</w:t>
      </w:r>
      <w:r w:rsidR="000D09DB" w:rsidRPr="00FA54ED">
        <w:rPr>
          <w:rFonts w:ascii="Times New Roman" w:hAnsi="Times New Roman" w:cs="Times New Roman"/>
          <w:lang w:val="en-GB"/>
        </w:rPr>
        <w:t xml:space="preserve"> if they met certain quantitative criteria</w:t>
      </w:r>
      <w:r w:rsidR="00FD3B28" w:rsidRPr="00FA54ED">
        <w:rPr>
          <w:rFonts w:ascii="Times New Roman" w:hAnsi="Times New Roman" w:cs="Times New Roman"/>
          <w:lang w:val="en-GB"/>
        </w:rPr>
        <w:t xml:space="preserve"> </w:t>
      </w:r>
      <w:r w:rsidR="00A845CC" w:rsidRPr="00FA54ED">
        <w:rPr>
          <w:rFonts w:ascii="Times New Roman" w:hAnsi="Times New Roman" w:cs="Times New Roman"/>
          <w:lang w:val="en-GB"/>
        </w:rPr>
        <w:t xml:space="preserve">(mostly market shares) </w:t>
      </w:r>
      <w:r w:rsidR="00FD3B28" w:rsidRPr="00FA54ED">
        <w:rPr>
          <w:rFonts w:ascii="Times New Roman" w:hAnsi="Times New Roman" w:cs="Times New Roman"/>
          <w:lang w:val="en-GB"/>
        </w:rPr>
        <w:t xml:space="preserve">indicating </w:t>
      </w:r>
      <w:r w:rsidR="00A63574" w:rsidRPr="00FA54ED">
        <w:rPr>
          <w:rFonts w:ascii="Times New Roman" w:hAnsi="Times New Roman" w:cs="Times New Roman"/>
          <w:lang w:val="en-GB"/>
        </w:rPr>
        <w:t xml:space="preserve">absolute </w:t>
      </w:r>
      <w:r w:rsidR="00FD3B28" w:rsidRPr="00FA54ED">
        <w:rPr>
          <w:rFonts w:ascii="Times New Roman" w:hAnsi="Times New Roman" w:cs="Times New Roman"/>
          <w:lang w:val="en-GB"/>
        </w:rPr>
        <w:t>market power</w:t>
      </w:r>
      <w:r w:rsidRPr="00FA54ED">
        <w:rPr>
          <w:rFonts w:ascii="Times New Roman" w:hAnsi="Times New Roman" w:cs="Times New Roman"/>
          <w:lang w:val="en-GB"/>
        </w:rPr>
        <w:t xml:space="preserve">. </w:t>
      </w:r>
      <w:r w:rsidR="000C7E2D" w:rsidRPr="00FA54ED">
        <w:rPr>
          <w:rFonts w:ascii="Times New Roman" w:hAnsi="Times New Roman" w:cs="Times New Roman"/>
          <w:lang w:val="en-GB"/>
        </w:rPr>
        <w:t>However, e</w:t>
      </w:r>
      <w:r w:rsidR="00A63574" w:rsidRPr="00FA54ED">
        <w:rPr>
          <w:rFonts w:ascii="Times New Roman" w:hAnsi="Times New Roman" w:cs="Times New Roman"/>
          <w:lang w:val="en-GB"/>
        </w:rPr>
        <w:t xml:space="preserve">ven in </w:t>
      </w:r>
      <w:r w:rsidR="000C7E2D" w:rsidRPr="00FA54ED">
        <w:rPr>
          <w:rFonts w:ascii="Times New Roman" w:hAnsi="Times New Roman" w:cs="Times New Roman"/>
          <w:lang w:val="en-GB"/>
        </w:rPr>
        <w:t xml:space="preserve">situations of absolute market power, </w:t>
      </w:r>
      <w:r w:rsidR="00A63574" w:rsidRPr="00FA54ED">
        <w:rPr>
          <w:rFonts w:ascii="Times New Roman" w:hAnsi="Times New Roman" w:cs="Times New Roman"/>
          <w:lang w:val="en-GB"/>
        </w:rPr>
        <w:t>there were hardly any enforcement activities, as t</w:t>
      </w:r>
      <w:r w:rsidR="00FD3B28" w:rsidRPr="00FA54ED">
        <w:rPr>
          <w:rFonts w:ascii="Times New Roman" w:hAnsi="Times New Roman" w:cs="Times New Roman"/>
          <w:lang w:val="en-GB"/>
        </w:rPr>
        <w:t>he abuse of dominance was not prohibited</w:t>
      </w:r>
      <w:r w:rsidR="00A63574" w:rsidRPr="00FA54ED">
        <w:rPr>
          <w:rFonts w:ascii="Times New Roman" w:hAnsi="Times New Roman" w:cs="Times New Roman"/>
          <w:lang w:val="en-GB"/>
        </w:rPr>
        <w:t xml:space="preserve"> </w:t>
      </w:r>
      <w:r w:rsidR="000C7E2D" w:rsidRPr="00FA54ED">
        <w:rPr>
          <w:rFonts w:ascii="Times New Roman" w:hAnsi="Times New Roman" w:cs="Times New Roman"/>
          <w:lang w:val="en-GB"/>
        </w:rPr>
        <w:t xml:space="preserve">per se </w:t>
      </w:r>
      <w:r w:rsidR="00A63574" w:rsidRPr="00FA54ED">
        <w:rPr>
          <w:rFonts w:ascii="Times New Roman" w:hAnsi="Times New Roman" w:cs="Times New Roman"/>
          <w:lang w:val="en-GB"/>
        </w:rPr>
        <w:t>at that time</w:t>
      </w:r>
      <w:r w:rsidR="00FD3B28" w:rsidRPr="00FA54ED">
        <w:rPr>
          <w:rFonts w:ascii="Times New Roman" w:hAnsi="Times New Roman" w:cs="Times New Roman"/>
          <w:lang w:val="en-GB"/>
        </w:rPr>
        <w:t xml:space="preserve">. Rather, only </w:t>
      </w:r>
      <w:r w:rsidRPr="00FA54ED">
        <w:rPr>
          <w:rFonts w:ascii="Times New Roman" w:hAnsi="Times New Roman" w:cs="Times New Roman"/>
          <w:lang w:val="en-GB"/>
        </w:rPr>
        <w:t xml:space="preserve">upon application of certain </w:t>
      </w:r>
      <w:r w:rsidR="00A63574" w:rsidRPr="00FA54ED">
        <w:rPr>
          <w:rFonts w:ascii="Times New Roman" w:hAnsi="Times New Roman" w:cs="Times New Roman"/>
          <w:lang w:val="en-GB"/>
        </w:rPr>
        <w:t xml:space="preserve">privileged </w:t>
      </w:r>
      <w:r w:rsidRPr="00FA54ED">
        <w:rPr>
          <w:rFonts w:ascii="Times New Roman" w:hAnsi="Times New Roman" w:cs="Times New Roman"/>
          <w:lang w:val="en-GB"/>
        </w:rPr>
        <w:t xml:space="preserve">institutions (primarily employer and employee associations), the </w:t>
      </w:r>
      <w:r w:rsidR="00FD3B28" w:rsidRPr="00FA54ED">
        <w:rPr>
          <w:rFonts w:ascii="Times New Roman" w:hAnsi="Times New Roman" w:cs="Times New Roman"/>
          <w:lang w:val="en-GB"/>
        </w:rPr>
        <w:t>Cartel C</w:t>
      </w:r>
      <w:r w:rsidRPr="00FA54ED">
        <w:rPr>
          <w:rFonts w:ascii="Times New Roman" w:hAnsi="Times New Roman" w:cs="Times New Roman"/>
          <w:lang w:val="en-GB"/>
        </w:rPr>
        <w:t xml:space="preserve">ourt was </w:t>
      </w:r>
      <w:r w:rsidR="00A63574" w:rsidRPr="00FA54ED">
        <w:rPr>
          <w:rFonts w:ascii="Times New Roman" w:hAnsi="Times New Roman" w:cs="Times New Roman"/>
          <w:lang w:val="en-GB"/>
        </w:rPr>
        <w:t xml:space="preserve">able </w:t>
      </w:r>
      <w:r w:rsidRPr="00FA54ED">
        <w:rPr>
          <w:rFonts w:ascii="Times New Roman" w:hAnsi="Times New Roman" w:cs="Times New Roman"/>
          <w:lang w:val="en-GB"/>
        </w:rPr>
        <w:t xml:space="preserve">to intervene against </w:t>
      </w:r>
      <w:r w:rsidR="00C756D1" w:rsidRPr="00FA54ED">
        <w:rPr>
          <w:rFonts w:ascii="Times New Roman" w:hAnsi="Times New Roman" w:cs="Times New Roman"/>
          <w:lang w:val="en-GB"/>
        </w:rPr>
        <w:t>abusive behavio</w:t>
      </w:r>
      <w:r w:rsidR="00FA54ED">
        <w:rPr>
          <w:rFonts w:ascii="Times New Roman" w:hAnsi="Times New Roman" w:cs="Times New Roman"/>
          <w:lang w:val="en-GB"/>
        </w:rPr>
        <w:t>u</w:t>
      </w:r>
      <w:r w:rsidR="00C756D1" w:rsidRPr="00FA54ED">
        <w:rPr>
          <w:rFonts w:ascii="Times New Roman" w:hAnsi="Times New Roman" w:cs="Times New Roman"/>
          <w:lang w:val="en-GB"/>
        </w:rPr>
        <w:t xml:space="preserve">r. </w:t>
      </w:r>
    </w:p>
    <w:p w14:paraId="7A09C8EB" w14:textId="7F21A004" w:rsidR="00D45CB9" w:rsidRPr="00FA54ED" w:rsidRDefault="00C756D1" w:rsidP="009A2A10">
      <w:pPr>
        <w:pStyle w:val="Stext"/>
        <w:rPr>
          <w:rFonts w:ascii="Times New Roman" w:hAnsi="Times New Roman" w:cs="Times New Roman"/>
          <w:lang w:val="en-GB"/>
        </w:rPr>
      </w:pPr>
      <w:r w:rsidRPr="00FA54ED">
        <w:rPr>
          <w:rFonts w:ascii="Times New Roman" w:hAnsi="Times New Roman" w:cs="Times New Roman"/>
          <w:lang w:val="en-GB"/>
        </w:rPr>
        <w:t xml:space="preserve">In 1988, the legislator expanded the concept of "market dominance" with regard to relative market power in two ways: </w:t>
      </w:r>
    </w:p>
    <w:p w14:paraId="07097E5D" w14:textId="6CAD87AF" w:rsidR="00C756D1" w:rsidRPr="00FA54ED" w:rsidRDefault="00C756D1" w:rsidP="009A2A10">
      <w:pPr>
        <w:pStyle w:val="Stext"/>
        <w:rPr>
          <w:rFonts w:ascii="Times New Roman" w:hAnsi="Times New Roman" w:cs="Times New Roman"/>
          <w:lang w:val="en-GB"/>
        </w:rPr>
      </w:pPr>
      <w:r w:rsidRPr="00FA54ED">
        <w:rPr>
          <w:rFonts w:ascii="Times New Roman" w:hAnsi="Times New Roman" w:cs="Times New Roman"/>
          <w:lang w:val="en-GB"/>
        </w:rPr>
        <w:t>Firstly,</w:t>
      </w:r>
      <w:r w:rsidR="005D693E" w:rsidRPr="00FA54ED">
        <w:rPr>
          <w:rFonts w:ascii="Times New Roman" w:hAnsi="Times New Roman" w:cs="Times New Roman"/>
          <w:lang w:val="en-GB"/>
        </w:rPr>
        <w:t xml:space="preserve"> the</w:t>
      </w:r>
      <w:r w:rsidRPr="00FA54ED">
        <w:rPr>
          <w:rFonts w:ascii="Times New Roman" w:hAnsi="Times New Roman" w:cs="Times New Roman"/>
          <w:lang w:val="en-GB"/>
        </w:rPr>
        <w:t xml:space="preserve"> </w:t>
      </w:r>
      <w:r w:rsidR="00FD3B28" w:rsidRPr="00FA54ED">
        <w:rPr>
          <w:rFonts w:ascii="Times New Roman" w:hAnsi="Times New Roman" w:cs="Times New Roman"/>
          <w:lang w:val="en-GB"/>
        </w:rPr>
        <w:t>Austrian parliament added qualitative criteria to the definition of market dominance. § </w:t>
      </w:r>
      <w:r w:rsidR="00456FB0" w:rsidRPr="00FA54ED">
        <w:rPr>
          <w:rFonts w:ascii="Times New Roman" w:hAnsi="Times New Roman" w:cs="Times New Roman"/>
          <w:lang w:val="en-GB"/>
        </w:rPr>
        <w:t>34(1)(4) Cartel Act (</w:t>
      </w:r>
      <w:r w:rsidRPr="00FA54ED">
        <w:rPr>
          <w:rFonts w:ascii="Times New Roman" w:hAnsi="Times New Roman" w:cs="Times New Roman"/>
          <w:lang w:val="en-GB"/>
        </w:rPr>
        <w:t>now §</w:t>
      </w:r>
      <w:r w:rsidR="00FD3B28" w:rsidRPr="00FA54ED">
        <w:rPr>
          <w:rFonts w:ascii="Times New Roman" w:hAnsi="Times New Roman" w:cs="Times New Roman"/>
          <w:lang w:val="en-GB"/>
        </w:rPr>
        <w:t> </w:t>
      </w:r>
      <w:r w:rsidRPr="00FA54ED">
        <w:rPr>
          <w:rFonts w:ascii="Times New Roman" w:hAnsi="Times New Roman" w:cs="Times New Roman"/>
          <w:lang w:val="en-GB"/>
        </w:rPr>
        <w:t>4(1)(2) Cartel Act</w:t>
      </w:r>
      <w:r w:rsidR="00456FB0" w:rsidRPr="00FA54ED">
        <w:rPr>
          <w:rFonts w:ascii="Times New Roman" w:hAnsi="Times New Roman" w:cs="Times New Roman"/>
          <w:lang w:val="en-GB"/>
        </w:rPr>
        <w:t>)</w:t>
      </w:r>
      <w:r w:rsidRPr="00FA54ED">
        <w:rPr>
          <w:rFonts w:ascii="Times New Roman" w:hAnsi="Times New Roman" w:cs="Times New Roman"/>
          <w:lang w:val="en-GB"/>
        </w:rPr>
        <w:t xml:space="preserve"> provides that an undertaking is dominant if it has a market position that is superior to that of other competitors. In this context, in particular financial strength, relationships with other undertakings</w:t>
      </w:r>
      <w:r w:rsidR="00456FB0" w:rsidRPr="00FA54ED">
        <w:rPr>
          <w:rFonts w:ascii="Times New Roman" w:hAnsi="Times New Roman" w:cs="Times New Roman"/>
          <w:lang w:val="en-GB"/>
        </w:rPr>
        <w:t>,</w:t>
      </w:r>
      <w:r w:rsidRPr="00FA54ED">
        <w:rPr>
          <w:rFonts w:ascii="Times New Roman" w:hAnsi="Times New Roman" w:cs="Times New Roman"/>
          <w:lang w:val="en-GB"/>
        </w:rPr>
        <w:t xml:space="preserve"> access to procurement </w:t>
      </w:r>
      <w:r w:rsidR="00456FB0" w:rsidRPr="00FA54ED">
        <w:rPr>
          <w:rFonts w:ascii="Times New Roman" w:hAnsi="Times New Roman" w:cs="Times New Roman"/>
          <w:lang w:val="en-GB"/>
        </w:rPr>
        <w:t xml:space="preserve">and </w:t>
      </w:r>
      <w:r w:rsidRPr="00FA54ED">
        <w:rPr>
          <w:rFonts w:ascii="Times New Roman" w:hAnsi="Times New Roman" w:cs="Times New Roman"/>
          <w:lang w:val="en-GB"/>
        </w:rPr>
        <w:t>sales markets</w:t>
      </w:r>
      <w:r w:rsidR="00456FB0" w:rsidRPr="00FA54ED">
        <w:rPr>
          <w:rFonts w:ascii="Times New Roman" w:hAnsi="Times New Roman" w:cs="Times New Roman"/>
          <w:lang w:val="en-GB"/>
        </w:rPr>
        <w:t xml:space="preserve">, as well as circumstances that restrict market access for other suppliers </w:t>
      </w:r>
      <w:r w:rsidRPr="00FA54ED">
        <w:rPr>
          <w:rFonts w:ascii="Times New Roman" w:hAnsi="Times New Roman" w:cs="Times New Roman"/>
          <w:lang w:val="en-GB"/>
        </w:rPr>
        <w:t xml:space="preserve">shall be </w:t>
      </w:r>
      <w:proofErr w:type="gramStart"/>
      <w:r w:rsidRPr="00FA54ED">
        <w:rPr>
          <w:rFonts w:ascii="Times New Roman" w:hAnsi="Times New Roman" w:cs="Times New Roman"/>
          <w:lang w:val="en-GB"/>
        </w:rPr>
        <w:t>taken into account</w:t>
      </w:r>
      <w:proofErr w:type="gramEnd"/>
      <w:r w:rsidRPr="00FA54ED">
        <w:rPr>
          <w:rFonts w:ascii="Times New Roman" w:hAnsi="Times New Roman" w:cs="Times New Roman"/>
          <w:lang w:val="en-GB"/>
        </w:rPr>
        <w:t xml:space="preserve">. </w:t>
      </w:r>
      <w:r w:rsidR="00456FB0" w:rsidRPr="00FA54ED">
        <w:rPr>
          <w:rFonts w:ascii="Times New Roman" w:hAnsi="Times New Roman" w:cs="Times New Roman"/>
          <w:lang w:val="en-GB"/>
        </w:rPr>
        <w:t xml:space="preserve">In the preparatory materials to the 1988 amendment, the legislator explained that this definition serves to capture </w:t>
      </w:r>
      <w:r w:rsidR="00456FB0" w:rsidRPr="00FA54ED">
        <w:rPr>
          <w:rFonts w:ascii="Times New Roman" w:hAnsi="Times New Roman" w:cs="Times New Roman"/>
          <w:bCs/>
          <w:i/>
          <w:lang w:val="en-GB"/>
        </w:rPr>
        <w:t>relative market power on a horizontal level</w:t>
      </w:r>
      <w:r w:rsidR="00456FB0" w:rsidRPr="00FA54ED">
        <w:rPr>
          <w:rFonts w:ascii="Times New Roman" w:hAnsi="Times New Roman" w:cs="Times New Roman"/>
          <w:lang w:val="en-GB"/>
        </w:rPr>
        <w:t>, i.e</w:t>
      </w:r>
      <w:r w:rsidR="005D693E" w:rsidRPr="00FA54ED">
        <w:rPr>
          <w:rFonts w:ascii="Times New Roman" w:hAnsi="Times New Roman" w:cs="Times New Roman"/>
          <w:lang w:val="en-GB"/>
        </w:rPr>
        <w:t>.</w:t>
      </w:r>
      <w:r w:rsidR="00456FB0" w:rsidRPr="00FA54ED">
        <w:rPr>
          <w:rFonts w:ascii="Times New Roman" w:hAnsi="Times New Roman" w:cs="Times New Roman"/>
          <w:lang w:val="en-GB"/>
        </w:rPr>
        <w:t xml:space="preserve"> in relation to specific other supplier</w:t>
      </w:r>
      <w:r w:rsidR="00A7646A" w:rsidRPr="00FA54ED">
        <w:rPr>
          <w:rFonts w:ascii="Times New Roman" w:hAnsi="Times New Roman" w:cs="Times New Roman"/>
          <w:lang w:val="en-GB"/>
        </w:rPr>
        <w:t>s</w:t>
      </w:r>
      <w:r w:rsidR="00456FB0" w:rsidRPr="00FA54ED">
        <w:rPr>
          <w:rFonts w:ascii="Times New Roman" w:hAnsi="Times New Roman" w:cs="Times New Roman"/>
          <w:lang w:val="en-GB"/>
        </w:rPr>
        <w:t xml:space="preserve">. </w:t>
      </w:r>
      <w:r w:rsidRPr="00FA54ED">
        <w:rPr>
          <w:rFonts w:ascii="Times New Roman" w:hAnsi="Times New Roman" w:cs="Times New Roman"/>
          <w:lang w:val="en-GB"/>
        </w:rPr>
        <w:t xml:space="preserve">In 2021, with a view to the digital economy, the legislator </w:t>
      </w:r>
      <w:r w:rsidR="00456FB0" w:rsidRPr="00FA54ED">
        <w:rPr>
          <w:rFonts w:ascii="Times New Roman" w:hAnsi="Times New Roman" w:cs="Times New Roman"/>
          <w:lang w:val="en-GB"/>
        </w:rPr>
        <w:t xml:space="preserve">added </w:t>
      </w:r>
      <w:r w:rsidRPr="00FA54ED">
        <w:rPr>
          <w:rFonts w:ascii="Times New Roman" w:hAnsi="Times New Roman" w:cs="Times New Roman"/>
          <w:lang w:val="en-GB"/>
        </w:rPr>
        <w:t xml:space="preserve">that also the importance of </w:t>
      </w:r>
      <w:r w:rsidR="000C7E2D" w:rsidRPr="00FA54ED">
        <w:rPr>
          <w:rFonts w:ascii="Times New Roman" w:hAnsi="Times New Roman" w:cs="Times New Roman"/>
          <w:lang w:val="en-GB"/>
        </w:rPr>
        <w:t xml:space="preserve">an </w:t>
      </w:r>
      <w:r w:rsidR="00E42B95" w:rsidRPr="00FA54ED">
        <w:rPr>
          <w:rFonts w:ascii="Times New Roman" w:hAnsi="Times New Roman" w:cs="Times New Roman"/>
          <w:lang w:val="en-GB"/>
        </w:rPr>
        <w:t>undertaking's</w:t>
      </w:r>
      <w:r w:rsidRPr="00FA54ED">
        <w:rPr>
          <w:rFonts w:ascii="Times New Roman" w:hAnsi="Times New Roman" w:cs="Times New Roman"/>
          <w:lang w:val="en-GB"/>
        </w:rPr>
        <w:t xml:space="preserve"> intermediary services for the access of other </w:t>
      </w:r>
      <w:r w:rsidR="00A7646A" w:rsidRPr="00FA54ED">
        <w:rPr>
          <w:rFonts w:ascii="Times New Roman" w:hAnsi="Times New Roman" w:cs="Times New Roman"/>
          <w:lang w:val="en-GB"/>
        </w:rPr>
        <w:t xml:space="preserve">firms </w:t>
      </w:r>
      <w:r w:rsidRPr="00FA54ED">
        <w:rPr>
          <w:rFonts w:ascii="Times New Roman" w:hAnsi="Times New Roman" w:cs="Times New Roman"/>
          <w:lang w:val="en-GB"/>
        </w:rPr>
        <w:t xml:space="preserve">to procurement </w:t>
      </w:r>
      <w:r w:rsidR="00456FB0" w:rsidRPr="00FA54ED">
        <w:rPr>
          <w:rFonts w:ascii="Times New Roman" w:hAnsi="Times New Roman" w:cs="Times New Roman"/>
          <w:lang w:val="en-GB"/>
        </w:rPr>
        <w:t xml:space="preserve">or </w:t>
      </w:r>
      <w:r w:rsidRPr="00FA54ED">
        <w:rPr>
          <w:rFonts w:ascii="Times New Roman" w:hAnsi="Times New Roman" w:cs="Times New Roman"/>
          <w:lang w:val="en-GB"/>
        </w:rPr>
        <w:t xml:space="preserve">sales markets, </w:t>
      </w:r>
      <w:r w:rsidR="00456FB0" w:rsidRPr="00FA54ED">
        <w:rPr>
          <w:rFonts w:ascii="Times New Roman" w:hAnsi="Times New Roman" w:cs="Times New Roman"/>
          <w:lang w:val="en-GB"/>
        </w:rPr>
        <w:t xml:space="preserve">or </w:t>
      </w:r>
      <w:r w:rsidR="006D64FB" w:rsidRPr="00FA54ED">
        <w:rPr>
          <w:rFonts w:ascii="Times New Roman" w:hAnsi="Times New Roman" w:cs="Times New Roman"/>
          <w:lang w:val="en-GB"/>
        </w:rPr>
        <w:t>to competitively relevant data</w:t>
      </w:r>
      <w:r w:rsidR="00456FB0" w:rsidRPr="00FA54ED">
        <w:rPr>
          <w:rFonts w:ascii="Times New Roman" w:hAnsi="Times New Roman" w:cs="Times New Roman"/>
          <w:lang w:val="en-GB"/>
        </w:rPr>
        <w:t>,</w:t>
      </w:r>
      <w:r w:rsidR="006D64FB" w:rsidRPr="00FA54ED">
        <w:rPr>
          <w:rFonts w:ascii="Times New Roman" w:hAnsi="Times New Roman" w:cs="Times New Roman"/>
          <w:lang w:val="en-GB"/>
        </w:rPr>
        <w:t xml:space="preserve"> and the benefits </w:t>
      </w:r>
      <w:r w:rsidR="00072BD5" w:rsidRPr="00FA54ED">
        <w:rPr>
          <w:rFonts w:ascii="Times New Roman" w:hAnsi="Times New Roman" w:cs="Times New Roman"/>
          <w:lang w:val="en-GB"/>
        </w:rPr>
        <w:t>derived</w:t>
      </w:r>
      <w:r w:rsidR="006D64FB" w:rsidRPr="00FA54ED">
        <w:rPr>
          <w:rFonts w:ascii="Times New Roman" w:hAnsi="Times New Roman" w:cs="Times New Roman"/>
          <w:lang w:val="en-GB"/>
        </w:rPr>
        <w:t xml:space="preserve"> from </w:t>
      </w:r>
      <w:r w:rsidR="00072BD5" w:rsidRPr="00FA54ED">
        <w:rPr>
          <w:rFonts w:ascii="Times New Roman" w:hAnsi="Times New Roman" w:cs="Times New Roman"/>
          <w:lang w:val="en-GB"/>
        </w:rPr>
        <w:t>network effects</w:t>
      </w:r>
      <w:r w:rsidR="00456FB0" w:rsidRPr="00FA54ED">
        <w:rPr>
          <w:rFonts w:ascii="Times New Roman" w:hAnsi="Times New Roman" w:cs="Times New Roman"/>
          <w:lang w:val="en-GB"/>
        </w:rPr>
        <w:t xml:space="preserve"> </w:t>
      </w:r>
      <w:r w:rsidR="00072BD5" w:rsidRPr="00FA54ED">
        <w:rPr>
          <w:rFonts w:ascii="Times New Roman" w:hAnsi="Times New Roman" w:cs="Times New Roman"/>
          <w:lang w:val="en-GB"/>
        </w:rPr>
        <w:t xml:space="preserve">shall be </w:t>
      </w:r>
      <w:r w:rsidR="00A7646A" w:rsidRPr="00FA54ED">
        <w:rPr>
          <w:rFonts w:ascii="Times New Roman" w:hAnsi="Times New Roman" w:cs="Times New Roman"/>
          <w:lang w:val="en-GB"/>
        </w:rPr>
        <w:t>considered</w:t>
      </w:r>
      <w:r w:rsidR="00456FB0" w:rsidRPr="00FA54ED">
        <w:rPr>
          <w:rFonts w:ascii="Times New Roman" w:hAnsi="Times New Roman" w:cs="Times New Roman"/>
          <w:lang w:val="en-GB"/>
        </w:rPr>
        <w:t xml:space="preserve"> when assessing </w:t>
      </w:r>
      <w:r w:rsidR="000C7E2D" w:rsidRPr="00FA54ED">
        <w:rPr>
          <w:rFonts w:ascii="Times New Roman" w:hAnsi="Times New Roman" w:cs="Times New Roman"/>
          <w:lang w:val="en-GB"/>
        </w:rPr>
        <w:t xml:space="preserve">relative </w:t>
      </w:r>
      <w:r w:rsidR="00456FB0" w:rsidRPr="00FA54ED">
        <w:rPr>
          <w:rFonts w:ascii="Times New Roman" w:hAnsi="Times New Roman" w:cs="Times New Roman"/>
          <w:lang w:val="en-GB"/>
        </w:rPr>
        <w:t>market power</w:t>
      </w:r>
      <w:r w:rsidR="00072BD5" w:rsidRPr="00FA54ED">
        <w:rPr>
          <w:rFonts w:ascii="Times New Roman" w:hAnsi="Times New Roman" w:cs="Times New Roman"/>
          <w:lang w:val="en-GB"/>
        </w:rPr>
        <w:t xml:space="preserve">. </w:t>
      </w:r>
    </w:p>
    <w:p w14:paraId="52DF810C" w14:textId="120AC164" w:rsidR="00986908" w:rsidRPr="00FA54ED" w:rsidRDefault="00986908" w:rsidP="009A2A10">
      <w:pPr>
        <w:pStyle w:val="Stext"/>
        <w:rPr>
          <w:rFonts w:ascii="Times New Roman" w:hAnsi="Times New Roman" w:cs="Times New Roman"/>
          <w:lang w:val="en-GB"/>
        </w:rPr>
      </w:pPr>
      <w:r w:rsidRPr="00FA54ED">
        <w:rPr>
          <w:rFonts w:ascii="Times New Roman" w:hAnsi="Times New Roman" w:cs="Times New Roman"/>
          <w:lang w:val="en-GB"/>
        </w:rPr>
        <w:t xml:space="preserve">In addition, Austrian law was supplemented in 1988 by specific rules on </w:t>
      </w:r>
      <w:r w:rsidRPr="00FA54ED">
        <w:rPr>
          <w:rFonts w:ascii="Times New Roman" w:hAnsi="Times New Roman" w:cs="Times New Roman"/>
          <w:bCs/>
          <w:i/>
          <w:lang w:val="en-GB"/>
        </w:rPr>
        <w:t>relative market power in vertical relations</w:t>
      </w:r>
      <w:r w:rsidRPr="00FA54ED">
        <w:rPr>
          <w:rFonts w:ascii="Times New Roman" w:hAnsi="Times New Roman" w:cs="Times New Roman"/>
          <w:lang w:val="en-GB"/>
        </w:rPr>
        <w:t>. In (nowadays) § 4a Cartel Act, Austrian law provides that an undertaking is (</w:t>
      </w:r>
      <w:r w:rsidR="00A7646A" w:rsidRPr="00FA54ED">
        <w:rPr>
          <w:rFonts w:ascii="Times New Roman" w:hAnsi="Times New Roman" w:cs="Times New Roman"/>
          <w:lang w:val="en-GB"/>
        </w:rPr>
        <w:t>irrefutably</w:t>
      </w:r>
      <w:r w:rsidR="00800A09" w:rsidRPr="00FA54ED">
        <w:rPr>
          <w:rFonts w:ascii="Times New Roman" w:hAnsi="Times New Roman" w:cs="Times New Roman"/>
          <w:lang w:val="en-GB"/>
        </w:rPr>
        <w:t xml:space="preserve">) </w:t>
      </w:r>
      <w:r w:rsidR="002B2022" w:rsidRPr="00FA54ED">
        <w:rPr>
          <w:rFonts w:ascii="Times New Roman" w:hAnsi="Times New Roman" w:cs="Times New Roman"/>
          <w:lang w:val="en-GB"/>
        </w:rPr>
        <w:t>deemed to be dominant if it has a superior market position in relation to its customers or suppliers. This is particular</w:t>
      </w:r>
      <w:r w:rsidR="00A845CC" w:rsidRPr="00FA54ED">
        <w:rPr>
          <w:rFonts w:ascii="Times New Roman" w:hAnsi="Times New Roman" w:cs="Times New Roman"/>
          <w:lang w:val="en-GB"/>
        </w:rPr>
        <w:t>ly</w:t>
      </w:r>
      <w:r w:rsidR="002B2022" w:rsidRPr="00FA54ED">
        <w:rPr>
          <w:rFonts w:ascii="Times New Roman" w:hAnsi="Times New Roman" w:cs="Times New Roman"/>
          <w:lang w:val="en-GB"/>
        </w:rPr>
        <w:t xml:space="preserve"> the case </w:t>
      </w:r>
      <w:r w:rsidR="00A91573" w:rsidRPr="00FA54ED">
        <w:rPr>
          <w:rFonts w:ascii="Times New Roman" w:hAnsi="Times New Roman" w:cs="Times New Roman"/>
          <w:lang w:val="en-GB"/>
        </w:rPr>
        <w:t xml:space="preserve">(quote) </w:t>
      </w:r>
      <w:r w:rsidR="00A91573" w:rsidRPr="00FA54ED">
        <w:rPr>
          <w:rFonts w:ascii="Times New Roman" w:hAnsi="Times New Roman" w:cs="Times New Roman"/>
          <w:i/>
          <w:iCs/>
          <w:lang w:val="en-GB"/>
        </w:rPr>
        <w:t>"</w:t>
      </w:r>
      <w:r w:rsidR="002B2022" w:rsidRPr="00FA54ED">
        <w:rPr>
          <w:rFonts w:ascii="Times New Roman" w:hAnsi="Times New Roman" w:cs="Times New Roman"/>
          <w:i/>
          <w:iCs/>
          <w:lang w:val="en-GB"/>
        </w:rPr>
        <w:t xml:space="preserve">if the customers </w:t>
      </w:r>
      <w:r w:rsidR="00A7646A" w:rsidRPr="00FA54ED">
        <w:rPr>
          <w:rFonts w:ascii="Times New Roman" w:hAnsi="Times New Roman" w:cs="Times New Roman"/>
          <w:i/>
          <w:iCs/>
          <w:lang w:val="en-GB"/>
        </w:rPr>
        <w:t xml:space="preserve">or </w:t>
      </w:r>
      <w:r w:rsidR="002B2022" w:rsidRPr="00FA54ED">
        <w:rPr>
          <w:rFonts w:ascii="Times New Roman" w:hAnsi="Times New Roman" w:cs="Times New Roman"/>
          <w:i/>
          <w:iCs/>
          <w:lang w:val="en-GB"/>
        </w:rPr>
        <w:t>suppliers depend on maintaining the business relationship in order to avoid serious economic disadvantages</w:t>
      </w:r>
      <w:r w:rsidR="00A91573" w:rsidRPr="00FA54ED">
        <w:rPr>
          <w:rFonts w:ascii="Times New Roman" w:hAnsi="Times New Roman" w:cs="Times New Roman"/>
          <w:i/>
          <w:iCs/>
          <w:lang w:val="en-GB"/>
        </w:rPr>
        <w:t>"</w:t>
      </w:r>
      <w:r w:rsidR="002B2022" w:rsidRPr="00FA54ED">
        <w:rPr>
          <w:rFonts w:ascii="Times New Roman" w:hAnsi="Times New Roman" w:cs="Times New Roman"/>
          <w:lang w:val="en-GB"/>
        </w:rPr>
        <w:t xml:space="preserve">. In 2021, this definition was </w:t>
      </w:r>
      <w:r w:rsidR="00757C73" w:rsidRPr="00FA54ED">
        <w:rPr>
          <w:rFonts w:ascii="Times New Roman" w:hAnsi="Times New Roman" w:cs="Times New Roman"/>
          <w:lang w:val="en-GB"/>
        </w:rPr>
        <w:t xml:space="preserve">also </w:t>
      </w:r>
      <w:r w:rsidR="002B2022" w:rsidRPr="00FA54ED">
        <w:rPr>
          <w:rFonts w:ascii="Times New Roman" w:hAnsi="Times New Roman" w:cs="Times New Roman"/>
          <w:lang w:val="en-GB"/>
        </w:rPr>
        <w:t xml:space="preserve">complemented by special rules for the digital economy. Since then, an undertaking which operates as an intermediary on a multi-sided digital market is deemed to be dominant </w:t>
      </w:r>
      <w:r w:rsidR="002B2022" w:rsidRPr="00FA54ED">
        <w:rPr>
          <w:rFonts w:ascii="Times New Roman" w:hAnsi="Times New Roman" w:cs="Times New Roman"/>
          <w:lang w:val="en-GB"/>
        </w:rPr>
        <w:lastRenderedPageBreak/>
        <w:t xml:space="preserve">if the customers depend on the establishment of a business relationship </w:t>
      </w:r>
      <w:r w:rsidR="00A7646A" w:rsidRPr="00FA54ED">
        <w:rPr>
          <w:rFonts w:ascii="Times New Roman" w:hAnsi="Times New Roman" w:cs="Times New Roman"/>
          <w:lang w:val="en-GB"/>
        </w:rPr>
        <w:t xml:space="preserve">with the respective firm </w:t>
      </w:r>
      <w:proofErr w:type="gramStart"/>
      <w:r w:rsidR="002B2022" w:rsidRPr="00FA54ED">
        <w:rPr>
          <w:rFonts w:ascii="Times New Roman" w:hAnsi="Times New Roman" w:cs="Times New Roman"/>
          <w:lang w:val="en-GB"/>
        </w:rPr>
        <w:t>in order to</w:t>
      </w:r>
      <w:proofErr w:type="gramEnd"/>
      <w:r w:rsidR="002B2022" w:rsidRPr="00FA54ED">
        <w:rPr>
          <w:rFonts w:ascii="Times New Roman" w:hAnsi="Times New Roman" w:cs="Times New Roman"/>
          <w:lang w:val="en-GB"/>
        </w:rPr>
        <w:t xml:space="preserve"> avoid serious economic disadvantages. </w:t>
      </w:r>
    </w:p>
    <w:p w14:paraId="3975A8F0" w14:textId="52DB2144" w:rsidR="00A91573" w:rsidRPr="00FA54ED" w:rsidRDefault="00757C73" w:rsidP="009A2A10">
      <w:pPr>
        <w:pStyle w:val="Stext"/>
        <w:rPr>
          <w:rFonts w:ascii="Times New Roman" w:hAnsi="Times New Roman" w:cs="Times New Roman"/>
          <w:lang w:val="en-GB"/>
        </w:rPr>
      </w:pPr>
      <w:r w:rsidRPr="00FA54ED">
        <w:rPr>
          <w:rFonts w:ascii="Times New Roman" w:hAnsi="Times New Roman" w:cs="Times New Roman"/>
          <w:lang w:val="en-GB"/>
        </w:rPr>
        <w:t>T</w:t>
      </w:r>
      <w:r w:rsidR="00A7646A" w:rsidRPr="00FA54ED">
        <w:rPr>
          <w:rFonts w:ascii="Times New Roman" w:hAnsi="Times New Roman" w:cs="Times New Roman"/>
          <w:lang w:val="en-GB"/>
        </w:rPr>
        <w:t xml:space="preserve">he 1988 </w:t>
      </w:r>
      <w:r w:rsidR="00A91573" w:rsidRPr="00FA54ED">
        <w:rPr>
          <w:rFonts w:ascii="Times New Roman" w:hAnsi="Times New Roman" w:cs="Times New Roman"/>
          <w:lang w:val="en-GB"/>
        </w:rPr>
        <w:t>Cartel Act A</w:t>
      </w:r>
      <w:r w:rsidR="00A7646A" w:rsidRPr="00FA54ED">
        <w:rPr>
          <w:rFonts w:ascii="Times New Roman" w:hAnsi="Times New Roman" w:cs="Times New Roman"/>
          <w:lang w:val="en-GB"/>
        </w:rPr>
        <w:t xml:space="preserve">mendment did not </w:t>
      </w:r>
      <w:r w:rsidRPr="00FA54ED">
        <w:rPr>
          <w:rFonts w:ascii="Times New Roman" w:hAnsi="Times New Roman" w:cs="Times New Roman"/>
          <w:lang w:val="en-GB"/>
        </w:rPr>
        <w:t xml:space="preserve">render </w:t>
      </w:r>
      <w:r w:rsidR="00A7646A" w:rsidRPr="00FA54ED">
        <w:rPr>
          <w:rFonts w:ascii="Times New Roman" w:hAnsi="Times New Roman" w:cs="Times New Roman"/>
          <w:lang w:val="en-GB"/>
        </w:rPr>
        <w:t>the rules on unilateral behavio</w:t>
      </w:r>
      <w:r w:rsidR="00FA54ED">
        <w:rPr>
          <w:rFonts w:ascii="Times New Roman" w:hAnsi="Times New Roman" w:cs="Times New Roman"/>
          <w:lang w:val="en-GB"/>
        </w:rPr>
        <w:t>u</w:t>
      </w:r>
      <w:r w:rsidR="00A7646A" w:rsidRPr="00FA54ED">
        <w:rPr>
          <w:rFonts w:ascii="Times New Roman" w:hAnsi="Times New Roman" w:cs="Times New Roman"/>
          <w:lang w:val="en-GB"/>
        </w:rPr>
        <w:t>r directly</w:t>
      </w:r>
      <w:r w:rsidRPr="00FA54ED">
        <w:rPr>
          <w:rFonts w:ascii="Times New Roman" w:hAnsi="Times New Roman" w:cs="Times New Roman"/>
          <w:lang w:val="en-GB"/>
        </w:rPr>
        <w:t xml:space="preserve"> applicable</w:t>
      </w:r>
      <w:r w:rsidR="00A7646A" w:rsidRPr="00FA54ED">
        <w:rPr>
          <w:rFonts w:ascii="Times New Roman" w:hAnsi="Times New Roman" w:cs="Times New Roman"/>
          <w:lang w:val="en-GB"/>
        </w:rPr>
        <w:t xml:space="preserve">. </w:t>
      </w:r>
      <w:r w:rsidR="00F05F0E" w:rsidRPr="00FA54ED">
        <w:rPr>
          <w:rFonts w:ascii="Times New Roman" w:hAnsi="Times New Roman" w:cs="Times New Roman"/>
          <w:lang w:val="en-GB"/>
        </w:rPr>
        <w:t>Still, a</w:t>
      </w:r>
      <w:r w:rsidR="000D09DB" w:rsidRPr="00FA54ED">
        <w:rPr>
          <w:rFonts w:ascii="Times New Roman" w:hAnsi="Times New Roman" w:cs="Times New Roman"/>
          <w:lang w:val="en-GB"/>
        </w:rPr>
        <w:t>busive behavio</w:t>
      </w:r>
      <w:r w:rsidR="00FA54ED">
        <w:rPr>
          <w:rFonts w:ascii="Times New Roman" w:hAnsi="Times New Roman" w:cs="Times New Roman"/>
          <w:lang w:val="en-GB"/>
        </w:rPr>
        <w:t>u</w:t>
      </w:r>
      <w:r w:rsidR="000D09DB" w:rsidRPr="00FA54ED">
        <w:rPr>
          <w:rFonts w:ascii="Times New Roman" w:hAnsi="Times New Roman" w:cs="Times New Roman"/>
          <w:lang w:val="en-GB"/>
        </w:rPr>
        <w:t xml:space="preserve">r </w:t>
      </w:r>
      <w:r w:rsidR="00A7646A" w:rsidRPr="00FA54ED">
        <w:rPr>
          <w:rFonts w:ascii="Times New Roman" w:hAnsi="Times New Roman" w:cs="Times New Roman"/>
          <w:lang w:val="en-GB"/>
        </w:rPr>
        <w:t xml:space="preserve">was only prohibited </w:t>
      </w:r>
      <w:r w:rsidR="00F05F0E" w:rsidRPr="00FA54ED">
        <w:rPr>
          <w:rFonts w:ascii="Times New Roman" w:hAnsi="Times New Roman" w:cs="Times New Roman"/>
          <w:lang w:val="en-GB"/>
        </w:rPr>
        <w:t>once the Cartel C</w:t>
      </w:r>
      <w:r w:rsidR="00A7646A" w:rsidRPr="00FA54ED">
        <w:rPr>
          <w:rFonts w:ascii="Times New Roman" w:hAnsi="Times New Roman" w:cs="Times New Roman"/>
          <w:lang w:val="en-GB"/>
        </w:rPr>
        <w:t xml:space="preserve">ourt </w:t>
      </w:r>
      <w:r w:rsidR="00F05F0E" w:rsidRPr="00FA54ED">
        <w:rPr>
          <w:rFonts w:ascii="Times New Roman" w:hAnsi="Times New Roman" w:cs="Times New Roman"/>
          <w:lang w:val="en-GB"/>
        </w:rPr>
        <w:t xml:space="preserve">had issued an injunction. This changed </w:t>
      </w:r>
      <w:r w:rsidR="000D09DB" w:rsidRPr="00FA54ED">
        <w:rPr>
          <w:rFonts w:ascii="Times New Roman" w:hAnsi="Times New Roman" w:cs="Times New Roman"/>
          <w:lang w:val="en-GB"/>
        </w:rPr>
        <w:t xml:space="preserve">when the Cartel Act was amended </w:t>
      </w:r>
      <w:r w:rsidR="00A845CC" w:rsidRPr="00FA54ED">
        <w:rPr>
          <w:rFonts w:ascii="Times New Roman" w:hAnsi="Times New Roman" w:cs="Times New Roman"/>
          <w:lang w:val="en-GB"/>
        </w:rPr>
        <w:t xml:space="preserve">again </w:t>
      </w:r>
      <w:r w:rsidR="000D09DB" w:rsidRPr="00FA54ED">
        <w:rPr>
          <w:rFonts w:ascii="Times New Roman" w:hAnsi="Times New Roman" w:cs="Times New Roman"/>
          <w:lang w:val="en-GB"/>
        </w:rPr>
        <w:t xml:space="preserve">in </w:t>
      </w:r>
      <w:r w:rsidR="000D09DB" w:rsidRPr="00FA54ED">
        <w:rPr>
          <w:rFonts w:ascii="Times New Roman" w:hAnsi="Times New Roman" w:cs="Times New Roman"/>
          <w:bCs/>
          <w:i/>
          <w:lang w:val="en-GB"/>
        </w:rPr>
        <w:t>2002</w:t>
      </w:r>
      <w:r w:rsidR="000D09DB" w:rsidRPr="00FA54ED">
        <w:rPr>
          <w:rFonts w:ascii="Times New Roman" w:hAnsi="Times New Roman" w:cs="Times New Roman"/>
          <w:lang w:val="en-GB"/>
        </w:rPr>
        <w:t xml:space="preserve">. At that time, the </w:t>
      </w:r>
      <w:r w:rsidR="000D09DB" w:rsidRPr="00FA54ED">
        <w:rPr>
          <w:rFonts w:ascii="Times New Roman" w:hAnsi="Times New Roman" w:cs="Times New Roman"/>
          <w:bCs/>
          <w:i/>
          <w:lang w:val="en-GB"/>
        </w:rPr>
        <w:t>Federal Competition Authority</w:t>
      </w:r>
      <w:r w:rsidR="000D09DB" w:rsidRPr="00FA54ED">
        <w:rPr>
          <w:rFonts w:ascii="Times New Roman" w:hAnsi="Times New Roman" w:cs="Times New Roman"/>
          <w:lang w:val="en-GB"/>
        </w:rPr>
        <w:t xml:space="preserve"> was installed as a specialized agency for the public enforcement of antitrust law in Austria</w:t>
      </w:r>
      <w:r w:rsidR="00F05F0E" w:rsidRPr="00FA54ED">
        <w:rPr>
          <w:rFonts w:ascii="Times New Roman" w:hAnsi="Times New Roman" w:cs="Times New Roman"/>
          <w:lang w:val="en-GB"/>
        </w:rPr>
        <w:t xml:space="preserve"> (along with the Federal Cartel Prosecutor)</w:t>
      </w:r>
      <w:r w:rsidR="000D09DB" w:rsidRPr="00FA54ED">
        <w:rPr>
          <w:rFonts w:ascii="Times New Roman" w:hAnsi="Times New Roman" w:cs="Times New Roman"/>
          <w:lang w:val="en-GB"/>
        </w:rPr>
        <w:t xml:space="preserve">, and the sanctioning system was fundamentally changed. It was in this context that the Austrian legislator declared the abuse of a dominant market position to be automatically prohibited. </w:t>
      </w:r>
    </w:p>
    <w:p w14:paraId="57B3AFEF" w14:textId="3C14F3BC" w:rsidR="000D09DB" w:rsidRPr="00FA54ED" w:rsidRDefault="00A91573" w:rsidP="009A2A10">
      <w:pPr>
        <w:pStyle w:val="Stext"/>
        <w:rPr>
          <w:rFonts w:ascii="Times New Roman" w:hAnsi="Times New Roman" w:cs="Times New Roman"/>
          <w:lang w:val="en-GB"/>
        </w:rPr>
      </w:pPr>
      <w:r w:rsidRPr="00FA54ED">
        <w:rPr>
          <w:rFonts w:ascii="Times New Roman" w:hAnsi="Times New Roman" w:cs="Times New Roman"/>
          <w:lang w:val="en-GB"/>
        </w:rPr>
        <w:t xml:space="preserve">Against this background, </w:t>
      </w:r>
      <w:r w:rsidR="00F05F0E" w:rsidRPr="00FA54ED">
        <w:rPr>
          <w:rFonts w:ascii="Times New Roman" w:hAnsi="Times New Roman" w:cs="Times New Roman"/>
          <w:lang w:val="en-GB"/>
        </w:rPr>
        <w:t xml:space="preserve">prior to 2002, </w:t>
      </w:r>
      <w:r w:rsidR="000D09DB" w:rsidRPr="00FA54ED">
        <w:rPr>
          <w:rFonts w:ascii="Times New Roman" w:hAnsi="Times New Roman" w:cs="Times New Roman"/>
          <w:lang w:val="en-GB"/>
        </w:rPr>
        <w:t xml:space="preserve">the enforcement of </w:t>
      </w:r>
      <w:r w:rsidR="00F05F0E" w:rsidRPr="00FA54ED">
        <w:rPr>
          <w:rFonts w:ascii="Times New Roman" w:hAnsi="Times New Roman" w:cs="Times New Roman"/>
          <w:lang w:val="en-GB"/>
        </w:rPr>
        <w:t xml:space="preserve">antitrust rules against unilateral conduct </w:t>
      </w:r>
      <w:r w:rsidR="000D09DB" w:rsidRPr="00FA54ED">
        <w:rPr>
          <w:rFonts w:ascii="Times New Roman" w:hAnsi="Times New Roman" w:cs="Times New Roman"/>
          <w:lang w:val="en-GB"/>
        </w:rPr>
        <w:t xml:space="preserve">(generally, not only with regard to relative market power) was </w:t>
      </w:r>
      <w:r w:rsidR="00F05F0E" w:rsidRPr="00FA54ED">
        <w:rPr>
          <w:rFonts w:ascii="Times New Roman" w:hAnsi="Times New Roman" w:cs="Times New Roman"/>
          <w:lang w:val="en-GB"/>
        </w:rPr>
        <w:t xml:space="preserve">in practice </w:t>
      </w:r>
      <w:r w:rsidRPr="00FA54ED">
        <w:rPr>
          <w:rFonts w:ascii="Times New Roman" w:hAnsi="Times New Roman" w:cs="Times New Roman"/>
          <w:lang w:val="en-GB"/>
        </w:rPr>
        <w:t xml:space="preserve">limited </w:t>
      </w:r>
      <w:r w:rsidR="000D09DB" w:rsidRPr="00FA54ED">
        <w:rPr>
          <w:rFonts w:ascii="Times New Roman" w:hAnsi="Times New Roman" w:cs="Times New Roman"/>
          <w:lang w:val="en-GB"/>
        </w:rPr>
        <w:t xml:space="preserve">to contractual disputes where one of the parties claimed that it was treated unfairly by its business partner, </w:t>
      </w:r>
      <w:r w:rsidR="00F05F0E" w:rsidRPr="00FA54ED">
        <w:rPr>
          <w:rFonts w:ascii="Times New Roman" w:hAnsi="Times New Roman" w:cs="Times New Roman"/>
          <w:lang w:val="en-GB"/>
        </w:rPr>
        <w:t xml:space="preserve">contrary to the spirit of </w:t>
      </w:r>
      <w:r w:rsidR="000D09DB" w:rsidRPr="00FA54ED">
        <w:rPr>
          <w:rFonts w:ascii="Times New Roman" w:hAnsi="Times New Roman" w:cs="Times New Roman"/>
          <w:lang w:val="en-GB"/>
        </w:rPr>
        <w:t>the antitrust regime on abusive behavio</w:t>
      </w:r>
      <w:r w:rsidR="00FA54ED">
        <w:rPr>
          <w:rFonts w:ascii="Times New Roman" w:hAnsi="Times New Roman" w:cs="Times New Roman"/>
          <w:lang w:val="en-GB"/>
        </w:rPr>
        <w:t>u</w:t>
      </w:r>
      <w:r w:rsidR="000D09DB" w:rsidRPr="00FA54ED">
        <w:rPr>
          <w:rFonts w:ascii="Times New Roman" w:hAnsi="Times New Roman" w:cs="Times New Roman"/>
          <w:lang w:val="en-GB"/>
        </w:rPr>
        <w:t xml:space="preserve">r. </w:t>
      </w:r>
    </w:p>
    <w:p w14:paraId="6AA7CA6C" w14:textId="0BE8829A" w:rsidR="002B2022" w:rsidRPr="00FA54ED" w:rsidRDefault="002B2022" w:rsidP="009A2A10">
      <w:pPr>
        <w:pStyle w:val="Stext"/>
        <w:rPr>
          <w:rFonts w:ascii="Times New Roman" w:hAnsi="Times New Roman" w:cs="Times New Roman"/>
          <w:lang w:val="en-GB"/>
        </w:rPr>
      </w:pPr>
      <w:r w:rsidRPr="00FA54ED">
        <w:rPr>
          <w:rFonts w:ascii="Times New Roman" w:hAnsi="Times New Roman" w:cs="Times New Roman"/>
          <w:lang w:val="en-GB"/>
        </w:rPr>
        <w:t>§</w:t>
      </w:r>
      <w:r w:rsidR="00F05F0E" w:rsidRPr="00FA54ED">
        <w:rPr>
          <w:rFonts w:ascii="Times New Roman" w:hAnsi="Times New Roman" w:cs="Times New Roman"/>
          <w:lang w:val="en-GB"/>
        </w:rPr>
        <w:t> </w:t>
      </w:r>
      <w:r w:rsidRPr="00FA54ED">
        <w:rPr>
          <w:rFonts w:ascii="Times New Roman" w:hAnsi="Times New Roman" w:cs="Times New Roman"/>
          <w:lang w:val="en-GB"/>
        </w:rPr>
        <w:t>4(1)(2) and §</w:t>
      </w:r>
      <w:r w:rsidR="00F05F0E" w:rsidRPr="00FA54ED">
        <w:rPr>
          <w:rFonts w:ascii="Times New Roman" w:hAnsi="Times New Roman" w:cs="Times New Roman"/>
          <w:lang w:val="en-GB"/>
        </w:rPr>
        <w:t> </w:t>
      </w:r>
      <w:r w:rsidR="009A0B6C" w:rsidRPr="00FA54ED">
        <w:rPr>
          <w:rFonts w:ascii="Times New Roman" w:hAnsi="Times New Roman" w:cs="Times New Roman"/>
          <w:lang w:val="en-GB"/>
        </w:rPr>
        <w:t xml:space="preserve">4a Cartel Act are not the only rules </w:t>
      </w:r>
      <w:r w:rsidR="00A845CC" w:rsidRPr="00FA54ED">
        <w:rPr>
          <w:rFonts w:ascii="Times New Roman" w:hAnsi="Times New Roman" w:cs="Times New Roman"/>
          <w:lang w:val="en-GB"/>
        </w:rPr>
        <w:t>e</w:t>
      </w:r>
      <w:r w:rsidR="009A0B6C" w:rsidRPr="00FA54ED">
        <w:rPr>
          <w:rFonts w:ascii="Times New Roman" w:hAnsi="Times New Roman" w:cs="Times New Roman"/>
          <w:lang w:val="en-GB"/>
        </w:rPr>
        <w:t xml:space="preserve">nacted in Austria with a view to control </w:t>
      </w:r>
      <w:r w:rsidR="001C70A2" w:rsidRPr="00FA54ED">
        <w:rPr>
          <w:rFonts w:ascii="Times New Roman" w:hAnsi="Times New Roman" w:cs="Times New Roman"/>
          <w:lang w:val="en-GB"/>
        </w:rPr>
        <w:t xml:space="preserve">for </w:t>
      </w:r>
      <w:r w:rsidR="009A0B6C" w:rsidRPr="00FA54ED">
        <w:rPr>
          <w:rFonts w:ascii="Times New Roman" w:hAnsi="Times New Roman" w:cs="Times New Roman"/>
          <w:lang w:val="en-GB"/>
        </w:rPr>
        <w:t>relative market power. Already in 1977, the Austrian parliament pas</w:t>
      </w:r>
      <w:r w:rsidR="001C70A2" w:rsidRPr="00FA54ED">
        <w:rPr>
          <w:rFonts w:ascii="Times New Roman" w:hAnsi="Times New Roman" w:cs="Times New Roman"/>
          <w:lang w:val="en-GB"/>
        </w:rPr>
        <w:t>sed</w:t>
      </w:r>
      <w:r w:rsidR="009A0B6C" w:rsidRPr="00FA54ED">
        <w:rPr>
          <w:rFonts w:ascii="Times New Roman" w:hAnsi="Times New Roman" w:cs="Times New Roman"/>
          <w:lang w:val="en-GB"/>
        </w:rPr>
        <w:t xml:space="preserve"> the </w:t>
      </w:r>
      <w:r w:rsidR="001C70A2" w:rsidRPr="00FA54ED">
        <w:rPr>
          <w:rFonts w:ascii="Times New Roman" w:hAnsi="Times New Roman" w:cs="Times New Roman"/>
          <w:lang w:val="en-GB"/>
        </w:rPr>
        <w:t xml:space="preserve">so-called </w:t>
      </w:r>
      <w:r w:rsidR="001C70A2" w:rsidRPr="00FA54ED">
        <w:rPr>
          <w:rFonts w:ascii="Times New Roman" w:hAnsi="Times New Roman" w:cs="Times New Roman"/>
          <w:bCs/>
          <w:i/>
          <w:lang w:val="en-GB"/>
        </w:rPr>
        <w:t>L</w:t>
      </w:r>
      <w:r w:rsidR="009A0B6C" w:rsidRPr="00FA54ED">
        <w:rPr>
          <w:rFonts w:ascii="Times New Roman" w:hAnsi="Times New Roman" w:cs="Times New Roman"/>
          <w:bCs/>
          <w:i/>
          <w:lang w:val="en-GB"/>
        </w:rPr>
        <w:t xml:space="preserve">ocal </w:t>
      </w:r>
      <w:r w:rsidR="001C70A2" w:rsidRPr="00FA54ED">
        <w:rPr>
          <w:rFonts w:ascii="Times New Roman" w:hAnsi="Times New Roman" w:cs="Times New Roman"/>
          <w:bCs/>
          <w:i/>
          <w:lang w:val="en-GB"/>
        </w:rPr>
        <w:t>S</w:t>
      </w:r>
      <w:r w:rsidR="009A0B6C" w:rsidRPr="00FA54ED">
        <w:rPr>
          <w:rFonts w:ascii="Times New Roman" w:hAnsi="Times New Roman" w:cs="Times New Roman"/>
          <w:bCs/>
          <w:i/>
          <w:lang w:val="en-GB"/>
        </w:rPr>
        <w:t xml:space="preserve">upply </w:t>
      </w:r>
      <w:r w:rsidR="001C70A2" w:rsidRPr="00FA54ED">
        <w:rPr>
          <w:rFonts w:ascii="Times New Roman" w:hAnsi="Times New Roman" w:cs="Times New Roman"/>
          <w:bCs/>
          <w:i/>
          <w:lang w:val="en-GB"/>
        </w:rPr>
        <w:t>A</w:t>
      </w:r>
      <w:r w:rsidR="009A0B6C" w:rsidRPr="00FA54ED">
        <w:rPr>
          <w:rFonts w:ascii="Times New Roman" w:hAnsi="Times New Roman" w:cs="Times New Roman"/>
          <w:bCs/>
          <w:i/>
          <w:lang w:val="en-GB"/>
        </w:rPr>
        <w:t>ct</w:t>
      </w:r>
      <w:r w:rsidR="009A0B6C" w:rsidRPr="00FA54ED">
        <w:rPr>
          <w:rFonts w:ascii="Times New Roman" w:hAnsi="Times New Roman" w:cs="Times New Roman"/>
          <w:lang w:val="en-GB"/>
        </w:rPr>
        <w:t xml:space="preserve"> (</w:t>
      </w:r>
      <w:proofErr w:type="spellStart"/>
      <w:r w:rsidR="001C70A2" w:rsidRPr="00FA54ED">
        <w:rPr>
          <w:rFonts w:ascii="Times New Roman" w:hAnsi="Times New Roman" w:cs="Times New Roman"/>
          <w:i/>
          <w:iCs/>
          <w:lang w:val="en-GB"/>
        </w:rPr>
        <w:t>Nahversorgungsgesetz</w:t>
      </w:r>
      <w:proofErr w:type="spellEnd"/>
      <w:r w:rsidR="001C70A2" w:rsidRPr="00FA54ED">
        <w:rPr>
          <w:rFonts w:ascii="Times New Roman" w:hAnsi="Times New Roman" w:cs="Times New Roman"/>
          <w:lang w:val="en-GB"/>
        </w:rPr>
        <w:t xml:space="preserve">; </w:t>
      </w:r>
      <w:r w:rsidR="009A0B6C" w:rsidRPr="00FA54ED">
        <w:rPr>
          <w:rFonts w:ascii="Times New Roman" w:hAnsi="Times New Roman" w:cs="Times New Roman"/>
          <w:lang w:val="en-GB"/>
        </w:rPr>
        <w:t>recently renamed into "</w:t>
      </w:r>
      <w:r w:rsidR="001C70A2" w:rsidRPr="00FA54ED">
        <w:rPr>
          <w:rFonts w:ascii="Times New Roman" w:hAnsi="Times New Roman" w:cs="Times New Roman"/>
          <w:lang w:val="en-GB"/>
        </w:rPr>
        <w:t>A</w:t>
      </w:r>
      <w:r w:rsidR="009A0B6C" w:rsidRPr="00FA54ED">
        <w:rPr>
          <w:rFonts w:ascii="Times New Roman" w:hAnsi="Times New Roman" w:cs="Times New Roman"/>
          <w:lang w:val="en-GB"/>
        </w:rPr>
        <w:t>ct o</w:t>
      </w:r>
      <w:r w:rsidR="001C70A2" w:rsidRPr="00FA54ED">
        <w:rPr>
          <w:rFonts w:ascii="Times New Roman" w:hAnsi="Times New Roman" w:cs="Times New Roman"/>
          <w:lang w:val="en-GB"/>
        </w:rPr>
        <w:t>n</w:t>
      </w:r>
      <w:r w:rsidR="009A0B6C" w:rsidRPr="00FA54ED">
        <w:rPr>
          <w:rFonts w:ascii="Times New Roman" w:hAnsi="Times New Roman" w:cs="Times New Roman"/>
          <w:lang w:val="en-GB"/>
        </w:rPr>
        <w:t xml:space="preserve"> </w:t>
      </w:r>
      <w:r w:rsidR="001C70A2" w:rsidRPr="00FA54ED">
        <w:rPr>
          <w:rFonts w:ascii="Times New Roman" w:hAnsi="Times New Roman" w:cs="Times New Roman"/>
          <w:lang w:val="en-GB"/>
        </w:rPr>
        <w:t>F</w:t>
      </w:r>
      <w:r w:rsidR="009A0B6C" w:rsidRPr="00FA54ED">
        <w:rPr>
          <w:rFonts w:ascii="Times New Roman" w:hAnsi="Times New Roman" w:cs="Times New Roman"/>
          <w:lang w:val="en-GB"/>
        </w:rPr>
        <w:t xml:space="preserve">air </w:t>
      </w:r>
      <w:r w:rsidR="001C70A2" w:rsidRPr="00FA54ED">
        <w:rPr>
          <w:rFonts w:ascii="Times New Roman" w:hAnsi="Times New Roman" w:cs="Times New Roman"/>
          <w:lang w:val="en-GB"/>
        </w:rPr>
        <w:t>C</w:t>
      </w:r>
      <w:r w:rsidR="009A0B6C" w:rsidRPr="00FA54ED">
        <w:rPr>
          <w:rFonts w:ascii="Times New Roman" w:hAnsi="Times New Roman" w:cs="Times New Roman"/>
          <w:lang w:val="en-GB"/>
        </w:rPr>
        <w:t xml:space="preserve">onditions of </w:t>
      </w:r>
      <w:r w:rsidR="001C70A2" w:rsidRPr="00FA54ED">
        <w:rPr>
          <w:rFonts w:ascii="Times New Roman" w:hAnsi="Times New Roman" w:cs="Times New Roman"/>
          <w:lang w:val="en-GB"/>
        </w:rPr>
        <w:t>C</w:t>
      </w:r>
      <w:r w:rsidR="009A0B6C" w:rsidRPr="00FA54ED">
        <w:rPr>
          <w:rFonts w:ascii="Times New Roman" w:hAnsi="Times New Roman" w:cs="Times New Roman"/>
          <w:lang w:val="en-GB"/>
        </w:rPr>
        <w:t>ompetition</w:t>
      </w:r>
      <w:r w:rsidR="001C70A2" w:rsidRPr="00FA54ED">
        <w:rPr>
          <w:rFonts w:ascii="Times New Roman" w:hAnsi="Times New Roman" w:cs="Times New Roman"/>
          <w:lang w:val="en-GB"/>
        </w:rPr>
        <w:t xml:space="preserve">"; </w:t>
      </w:r>
      <w:r w:rsidR="001C70A2" w:rsidRPr="00FA54ED">
        <w:rPr>
          <w:rFonts w:ascii="Times New Roman" w:hAnsi="Times New Roman" w:cs="Times New Roman"/>
          <w:i/>
          <w:iCs/>
          <w:lang w:val="en-GB"/>
        </w:rPr>
        <w:t>Faire-</w:t>
      </w:r>
      <w:proofErr w:type="spellStart"/>
      <w:r w:rsidR="001C70A2" w:rsidRPr="00FA54ED">
        <w:rPr>
          <w:rFonts w:ascii="Times New Roman" w:hAnsi="Times New Roman" w:cs="Times New Roman"/>
          <w:i/>
          <w:iCs/>
          <w:lang w:val="en-GB"/>
        </w:rPr>
        <w:t>Wettbewerbsbedingungen</w:t>
      </w:r>
      <w:proofErr w:type="spellEnd"/>
      <w:r w:rsidR="001C70A2" w:rsidRPr="00FA54ED">
        <w:rPr>
          <w:rFonts w:ascii="Times New Roman" w:hAnsi="Times New Roman" w:cs="Times New Roman"/>
          <w:i/>
          <w:iCs/>
          <w:lang w:val="en-GB"/>
        </w:rPr>
        <w:t>-</w:t>
      </w:r>
      <w:proofErr w:type="spellStart"/>
      <w:r w:rsidR="001C70A2" w:rsidRPr="00FA54ED">
        <w:rPr>
          <w:rFonts w:ascii="Times New Roman" w:hAnsi="Times New Roman" w:cs="Times New Roman"/>
          <w:i/>
          <w:iCs/>
          <w:lang w:val="en-GB"/>
        </w:rPr>
        <w:t>Gesetz</w:t>
      </w:r>
      <w:proofErr w:type="spellEnd"/>
      <w:r w:rsidR="001C70A2" w:rsidRPr="00FA54ED">
        <w:rPr>
          <w:rFonts w:ascii="Times New Roman" w:hAnsi="Times New Roman" w:cs="Times New Roman"/>
          <w:i/>
          <w:iCs/>
          <w:lang w:val="en-GB"/>
        </w:rPr>
        <w:t xml:space="preserve">; </w:t>
      </w:r>
      <w:r w:rsidR="001C70A2" w:rsidRPr="00FA54ED">
        <w:rPr>
          <w:rFonts w:ascii="Times New Roman" w:hAnsi="Times New Roman" w:cs="Times New Roman"/>
          <w:bCs/>
          <w:i/>
          <w:lang w:val="en-GB"/>
        </w:rPr>
        <w:t>FWBG</w:t>
      </w:r>
      <w:r w:rsidR="009A0B6C" w:rsidRPr="00FA54ED">
        <w:rPr>
          <w:rFonts w:ascii="Times New Roman" w:hAnsi="Times New Roman" w:cs="Times New Roman"/>
          <w:lang w:val="en-GB"/>
        </w:rPr>
        <w:t>), with the specific inten</w:t>
      </w:r>
      <w:r w:rsidR="001C70A2" w:rsidRPr="00FA54ED">
        <w:rPr>
          <w:rFonts w:ascii="Times New Roman" w:hAnsi="Times New Roman" w:cs="Times New Roman"/>
          <w:lang w:val="en-GB"/>
        </w:rPr>
        <w:t>t</w:t>
      </w:r>
      <w:r w:rsidR="009A0B6C" w:rsidRPr="00FA54ED">
        <w:rPr>
          <w:rFonts w:ascii="Times New Roman" w:hAnsi="Times New Roman" w:cs="Times New Roman"/>
          <w:lang w:val="en-GB"/>
        </w:rPr>
        <w:t xml:space="preserve">ion to protect small retail stores against their larger competitors operating multi-store chains. The </w:t>
      </w:r>
      <w:r w:rsidR="003A48D9" w:rsidRPr="00FA54ED">
        <w:rPr>
          <w:rFonts w:ascii="Times New Roman" w:hAnsi="Times New Roman" w:cs="Times New Roman"/>
          <w:lang w:val="en-GB"/>
        </w:rPr>
        <w:t>FWBG contains a general obligation to behave fairly in B2B relations, for instance by refraining from tapping (</w:t>
      </w:r>
      <w:proofErr w:type="spellStart"/>
      <w:r w:rsidR="003A48D9" w:rsidRPr="00FA54ED">
        <w:rPr>
          <w:rFonts w:ascii="Times New Roman" w:hAnsi="Times New Roman" w:cs="Times New Roman"/>
          <w:i/>
          <w:iCs/>
          <w:lang w:val="en-GB"/>
        </w:rPr>
        <w:t>Anzapfverbot</w:t>
      </w:r>
      <w:proofErr w:type="spellEnd"/>
      <w:r w:rsidR="003A48D9" w:rsidRPr="00FA54ED">
        <w:rPr>
          <w:rFonts w:ascii="Times New Roman" w:hAnsi="Times New Roman" w:cs="Times New Roman"/>
          <w:lang w:val="en-GB"/>
        </w:rPr>
        <w:t xml:space="preserve">), or by a general </w:t>
      </w:r>
      <w:r w:rsidR="001C70A2" w:rsidRPr="00FA54ED">
        <w:rPr>
          <w:rFonts w:ascii="Times New Roman" w:hAnsi="Times New Roman" w:cs="Times New Roman"/>
          <w:lang w:val="en-GB"/>
        </w:rPr>
        <w:t xml:space="preserve">prohibition </w:t>
      </w:r>
      <w:r w:rsidR="003A48D9" w:rsidRPr="00FA54ED">
        <w:rPr>
          <w:rFonts w:ascii="Times New Roman" w:hAnsi="Times New Roman" w:cs="Times New Roman"/>
          <w:lang w:val="en-GB"/>
        </w:rPr>
        <w:t>to discriminate B2B customers without objective justification. While the FWBG, in this context, does not refer to absolute or relative market power (i.e</w:t>
      </w:r>
      <w:r w:rsidR="000D06D7" w:rsidRPr="00FA54ED">
        <w:rPr>
          <w:rFonts w:ascii="Times New Roman" w:hAnsi="Times New Roman" w:cs="Times New Roman"/>
          <w:lang w:val="en-GB"/>
        </w:rPr>
        <w:t>.</w:t>
      </w:r>
      <w:r w:rsidR="003A48D9" w:rsidRPr="00FA54ED">
        <w:rPr>
          <w:rFonts w:ascii="Times New Roman" w:hAnsi="Times New Roman" w:cs="Times New Roman"/>
          <w:lang w:val="en-GB"/>
        </w:rPr>
        <w:t xml:space="preserve"> the respective rules apply to any market player, irrespective of its market position), </w:t>
      </w:r>
      <w:r w:rsidR="00AD3A27" w:rsidRPr="00FA54ED">
        <w:rPr>
          <w:rFonts w:ascii="Times New Roman" w:hAnsi="Times New Roman" w:cs="Times New Roman"/>
          <w:lang w:val="en-GB"/>
        </w:rPr>
        <w:t xml:space="preserve">the act was </w:t>
      </w:r>
      <w:r w:rsidR="003A48D9" w:rsidRPr="00FA54ED">
        <w:rPr>
          <w:rFonts w:ascii="Times New Roman" w:hAnsi="Times New Roman" w:cs="Times New Roman"/>
          <w:lang w:val="en-GB"/>
        </w:rPr>
        <w:t>speci</w:t>
      </w:r>
      <w:r w:rsidR="00757C73" w:rsidRPr="00FA54ED">
        <w:rPr>
          <w:rFonts w:ascii="Times New Roman" w:hAnsi="Times New Roman" w:cs="Times New Roman"/>
          <w:lang w:val="en-GB"/>
        </w:rPr>
        <w:t>fic</w:t>
      </w:r>
      <w:r w:rsidR="003A48D9" w:rsidRPr="00FA54ED">
        <w:rPr>
          <w:rFonts w:ascii="Times New Roman" w:hAnsi="Times New Roman" w:cs="Times New Roman"/>
          <w:lang w:val="en-GB"/>
        </w:rPr>
        <w:t>ally designed to capture i</w:t>
      </w:r>
      <w:r w:rsidR="001C70A2" w:rsidRPr="00FA54ED">
        <w:rPr>
          <w:rFonts w:ascii="Times New Roman" w:hAnsi="Times New Roman" w:cs="Times New Roman"/>
          <w:lang w:val="en-GB"/>
        </w:rPr>
        <w:t>m</w:t>
      </w:r>
      <w:r w:rsidR="003A48D9" w:rsidRPr="00FA54ED">
        <w:rPr>
          <w:rFonts w:ascii="Times New Roman" w:hAnsi="Times New Roman" w:cs="Times New Roman"/>
          <w:lang w:val="en-GB"/>
        </w:rPr>
        <w:t xml:space="preserve">balances in </w:t>
      </w:r>
      <w:r w:rsidR="001C70A2" w:rsidRPr="00FA54ED">
        <w:rPr>
          <w:rFonts w:ascii="Times New Roman" w:hAnsi="Times New Roman" w:cs="Times New Roman"/>
          <w:lang w:val="en-GB"/>
        </w:rPr>
        <w:t xml:space="preserve">B2B </w:t>
      </w:r>
      <w:r w:rsidR="003A48D9" w:rsidRPr="00FA54ED">
        <w:rPr>
          <w:rFonts w:ascii="Times New Roman" w:hAnsi="Times New Roman" w:cs="Times New Roman"/>
          <w:lang w:val="en-GB"/>
        </w:rPr>
        <w:t xml:space="preserve">negotiation situations. </w:t>
      </w:r>
    </w:p>
    <w:p w14:paraId="60E5313A" w14:textId="45D68B08" w:rsidR="003A48D9" w:rsidRPr="00FA54ED" w:rsidRDefault="00AD3A27" w:rsidP="009A2A10">
      <w:pPr>
        <w:pStyle w:val="Stext"/>
        <w:rPr>
          <w:rFonts w:ascii="Times New Roman" w:hAnsi="Times New Roman" w:cs="Times New Roman"/>
          <w:lang w:val="en-GB"/>
        </w:rPr>
      </w:pPr>
      <w:r w:rsidRPr="00FA54ED">
        <w:rPr>
          <w:rFonts w:ascii="Times New Roman" w:hAnsi="Times New Roman" w:cs="Times New Roman"/>
          <w:lang w:val="en-GB"/>
        </w:rPr>
        <w:t>Beyond t</w:t>
      </w:r>
      <w:r w:rsidR="003A48D9" w:rsidRPr="00FA54ED">
        <w:rPr>
          <w:rFonts w:ascii="Times New Roman" w:hAnsi="Times New Roman" w:cs="Times New Roman"/>
          <w:lang w:val="en-GB"/>
        </w:rPr>
        <w:t xml:space="preserve">he abovementioned provisions </w:t>
      </w:r>
      <w:r w:rsidR="001C70A2" w:rsidRPr="00FA54ED">
        <w:rPr>
          <w:rFonts w:ascii="Times New Roman" w:hAnsi="Times New Roman" w:cs="Times New Roman"/>
          <w:lang w:val="en-GB"/>
        </w:rPr>
        <w:t xml:space="preserve">in </w:t>
      </w:r>
      <w:r w:rsidR="003A48D9" w:rsidRPr="00FA54ED">
        <w:rPr>
          <w:rFonts w:ascii="Times New Roman" w:hAnsi="Times New Roman" w:cs="Times New Roman"/>
          <w:lang w:val="en-GB"/>
        </w:rPr>
        <w:t>the Cartel Act and the FWBG</w:t>
      </w:r>
      <w:r w:rsidRPr="00FA54ED">
        <w:rPr>
          <w:rFonts w:ascii="Times New Roman" w:hAnsi="Times New Roman" w:cs="Times New Roman"/>
          <w:lang w:val="en-GB"/>
        </w:rPr>
        <w:t>,</w:t>
      </w:r>
      <w:r w:rsidR="003A48D9" w:rsidRPr="00FA54ED">
        <w:rPr>
          <w:rFonts w:ascii="Times New Roman" w:hAnsi="Times New Roman" w:cs="Times New Roman"/>
          <w:lang w:val="en-GB"/>
        </w:rPr>
        <w:t xml:space="preserve"> </w:t>
      </w:r>
      <w:r w:rsidRPr="00FA54ED">
        <w:rPr>
          <w:rFonts w:ascii="Times New Roman" w:hAnsi="Times New Roman" w:cs="Times New Roman"/>
          <w:lang w:val="en-GB"/>
        </w:rPr>
        <w:t xml:space="preserve">many other legal provisions exist </w:t>
      </w:r>
      <w:r w:rsidR="003A48D9" w:rsidRPr="00FA54ED">
        <w:rPr>
          <w:rFonts w:ascii="Times New Roman" w:hAnsi="Times New Roman" w:cs="Times New Roman"/>
          <w:lang w:val="en-GB"/>
        </w:rPr>
        <w:t xml:space="preserve">in Austria which serve to protect the </w:t>
      </w:r>
      <w:r w:rsidR="001C70A2" w:rsidRPr="00FA54ED">
        <w:rPr>
          <w:rFonts w:ascii="Times New Roman" w:hAnsi="Times New Roman" w:cs="Times New Roman"/>
          <w:lang w:val="en-GB"/>
        </w:rPr>
        <w:t xml:space="preserve">weaker </w:t>
      </w:r>
      <w:r w:rsidR="004232F1" w:rsidRPr="00FA54ED">
        <w:rPr>
          <w:rFonts w:ascii="Times New Roman" w:hAnsi="Times New Roman" w:cs="Times New Roman"/>
          <w:lang w:val="en-GB"/>
        </w:rPr>
        <w:t xml:space="preserve">party against the abuse of power in </w:t>
      </w:r>
      <w:r w:rsidR="004232F1" w:rsidRPr="00FA54ED">
        <w:rPr>
          <w:rFonts w:ascii="Times New Roman" w:hAnsi="Times New Roman" w:cs="Times New Roman"/>
          <w:bCs/>
          <w:i/>
          <w:lang w:val="en-GB"/>
        </w:rPr>
        <w:t>asymmetric negotiation situations</w:t>
      </w:r>
      <w:r w:rsidR="004232F1" w:rsidRPr="00FA54ED">
        <w:rPr>
          <w:rFonts w:ascii="Times New Roman" w:hAnsi="Times New Roman" w:cs="Times New Roman"/>
          <w:lang w:val="en-GB"/>
        </w:rPr>
        <w:t xml:space="preserve">. </w:t>
      </w:r>
      <w:r w:rsidRPr="00FA54ED">
        <w:rPr>
          <w:rFonts w:ascii="Times New Roman" w:hAnsi="Times New Roman" w:cs="Times New Roman"/>
          <w:lang w:val="en-GB"/>
        </w:rPr>
        <w:t xml:space="preserve">First but not least, already </w:t>
      </w:r>
      <w:r w:rsidR="004232F1" w:rsidRPr="00FA54ED">
        <w:rPr>
          <w:rFonts w:ascii="Times New Roman" w:hAnsi="Times New Roman" w:cs="Times New Roman"/>
          <w:lang w:val="en-GB"/>
        </w:rPr>
        <w:t xml:space="preserve">the </w:t>
      </w:r>
      <w:r w:rsidR="001C70A2" w:rsidRPr="00FA54ED">
        <w:rPr>
          <w:rFonts w:ascii="Times New Roman" w:hAnsi="Times New Roman" w:cs="Times New Roman"/>
          <w:bCs/>
          <w:i/>
          <w:lang w:val="en-GB"/>
        </w:rPr>
        <w:t>G</w:t>
      </w:r>
      <w:r w:rsidR="004232F1" w:rsidRPr="00FA54ED">
        <w:rPr>
          <w:rFonts w:ascii="Times New Roman" w:hAnsi="Times New Roman" w:cs="Times New Roman"/>
          <w:bCs/>
          <w:i/>
          <w:lang w:val="en-GB"/>
        </w:rPr>
        <w:t xml:space="preserve">eneral </w:t>
      </w:r>
      <w:r w:rsidR="001C70A2" w:rsidRPr="00FA54ED">
        <w:rPr>
          <w:rFonts w:ascii="Times New Roman" w:hAnsi="Times New Roman" w:cs="Times New Roman"/>
          <w:bCs/>
          <w:i/>
          <w:lang w:val="en-GB"/>
        </w:rPr>
        <w:t>C</w:t>
      </w:r>
      <w:r w:rsidR="004232F1" w:rsidRPr="00FA54ED">
        <w:rPr>
          <w:rFonts w:ascii="Times New Roman" w:hAnsi="Times New Roman" w:cs="Times New Roman"/>
          <w:bCs/>
          <w:i/>
          <w:lang w:val="en-GB"/>
        </w:rPr>
        <w:t xml:space="preserve">ivil </w:t>
      </w:r>
      <w:r w:rsidR="001C70A2" w:rsidRPr="00FA54ED">
        <w:rPr>
          <w:rFonts w:ascii="Times New Roman" w:hAnsi="Times New Roman" w:cs="Times New Roman"/>
          <w:bCs/>
          <w:i/>
          <w:lang w:val="en-GB"/>
        </w:rPr>
        <w:t>C</w:t>
      </w:r>
      <w:r w:rsidR="004232F1" w:rsidRPr="00FA54ED">
        <w:rPr>
          <w:rFonts w:ascii="Times New Roman" w:hAnsi="Times New Roman" w:cs="Times New Roman"/>
          <w:bCs/>
          <w:i/>
          <w:lang w:val="en-GB"/>
        </w:rPr>
        <w:t>ode</w:t>
      </w:r>
      <w:r w:rsidR="004232F1" w:rsidRPr="00FA54ED">
        <w:rPr>
          <w:rFonts w:ascii="Times New Roman" w:hAnsi="Times New Roman" w:cs="Times New Roman"/>
          <w:lang w:val="en-GB"/>
        </w:rPr>
        <w:t xml:space="preserve"> (</w:t>
      </w:r>
      <w:r w:rsidR="004232F1" w:rsidRPr="00FA54ED">
        <w:rPr>
          <w:rFonts w:ascii="Times New Roman" w:hAnsi="Times New Roman" w:cs="Times New Roman"/>
          <w:i/>
          <w:iCs/>
          <w:lang w:val="en-GB"/>
        </w:rPr>
        <w:t>ABGB</w:t>
      </w:r>
      <w:r w:rsidR="004232F1" w:rsidRPr="00FA54ED">
        <w:rPr>
          <w:rFonts w:ascii="Times New Roman" w:hAnsi="Times New Roman" w:cs="Times New Roman"/>
          <w:lang w:val="en-GB"/>
        </w:rPr>
        <w:t xml:space="preserve">), which dates back as far as 1811, contains specific rules on </w:t>
      </w:r>
      <w:r w:rsidR="001C70A2" w:rsidRPr="00FA54ED">
        <w:rPr>
          <w:rFonts w:ascii="Times New Roman" w:hAnsi="Times New Roman" w:cs="Times New Roman"/>
          <w:lang w:val="en-GB"/>
        </w:rPr>
        <w:t xml:space="preserve">refusal to supply or </w:t>
      </w:r>
      <w:r w:rsidR="004232F1" w:rsidRPr="00FA54ED">
        <w:rPr>
          <w:rFonts w:ascii="Times New Roman" w:hAnsi="Times New Roman" w:cs="Times New Roman"/>
          <w:lang w:val="en-GB"/>
        </w:rPr>
        <w:t xml:space="preserve">usury. According to § 879(2)(4) ABGB, usury exists if </w:t>
      </w:r>
      <w:r w:rsidRPr="00FA54ED">
        <w:rPr>
          <w:rFonts w:ascii="Times New Roman" w:hAnsi="Times New Roman" w:cs="Times New Roman"/>
          <w:lang w:val="en-GB"/>
        </w:rPr>
        <w:t xml:space="preserve">a contract is characterized by </w:t>
      </w:r>
      <w:r w:rsidR="004232F1" w:rsidRPr="00FA54ED">
        <w:rPr>
          <w:rFonts w:ascii="Times New Roman" w:hAnsi="Times New Roman" w:cs="Times New Roman"/>
          <w:lang w:val="en-GB"/>
        </w:rPr>
        <w:t xml:space="preserve">an easily recognizable, significant disproportion between service and consideration. If the </w:t>
      </w:r>
      <w:r w:rsidR="001C70A2" w:rsidRPr="00FA54ED">
        <w:rPr>
          <w:rFonts w:ascii="Times New Roman" w:hAnsi="Times New Roman" w:cs="Times New Roman"/>
          <w:lang w:val="en-GB"/>
        </w:rPr>
        <w:t>disadvantaged part</w:t>
      </w:r>
      <w:r w:rsidRPr="00FA54ED">
        <w:rPr>
          <w:rFonts w:ascii="Times New Roman" w:hAnsi="Times New Roman" w:cs="Times New Roman"/>
          <w:lang w:val="en-GB"/>
        </w:rPr>
        <w:t>ies</w:t>
      </w:r>
      <w:r w:rsidR="001C70A2" w:rsidRPr="00FA54ED">
        <w:rPr>
          <w:rFonts w:ascii="Times New Roman" w:hAnsi="Times New Roman" w:cs="Times New Roman"/>
          <w:lang w:val="en-GB"/>
        </w:rPr>
        <w:t xml:space="preserve"> </w:t>
      </w:r>
      <w:r w:rsidRPr="00FA54ED">
        <w:rPr>
          <w:rFonts w:ascii="Times New Roman" w:hAnsi="Times New Roman" w:cs="Times New Roman"/>
          <w:lang w:val="en-GB"/>
        </w:rPr>
        <w:t xml:space="preserve">are </w:t>
      </w:r>
      <w:r w:rsidR="004232F1" w:rsidRPr="00FA54ED">
        <w:rPr>
          <w:rFonts w:ascii="Times New Roman" w:hAnsi="Times New Roman" w:cs="Times New Roman"/>
          <w:lang w:val="en-GB"/>
        </w:rPr>
        <w:t xml:space="preserve">unable to cure </w:t>
      </w:r>
      <w:r w:rsidR="00F84B98" w:rsidRPr="00FA54ED">
        <w:rPr>
          <w:rFonts w:ascii="Times New Roman" w:hAnsi="Times New Roman" w:cs="Times New Roman"/>
          <w:lang w:val="en-GB"/>
        </w:rPr>
        <w:t xml:space="preserve">this disproportion because they find themselves in </w:t>
      </w:r>
      <w:r w:rsidR="001C70A2" w:rsidRPr="00FA54ED">
        <w:rPr>
          <w:rFonts w:ascii="Times New Roman" w:hAnsi="Times New Roman" w:cs="Times New Roman"/>
          <w:lang w:val="en-GB"/>
        </w:rPr>
        <w:t xml:space="preserve">(inter alia) </w:t>
      </w:r>
      <w:r w:rsidR="00F84B98" w:rsidRPr="00FA54ED">
        <w:rPr>
          <w:rFonts w:ascii="Times New Roman" w:hAnsi="Times New Roman" w:cs="Times New Roman"/>
          <w:lang w:val="en-GB"/>
        </w:rPr>
        <w:t xml:space="preserve">an economic predicament, the contract which suffers from the imbalance is considered null and void. Other provisions against imbalances in negotiating power may be found, for instance, in the Austrian </w:t>
      </w:r>
      <w:r w:rsidR="001C70A2" w:rsidRPr="00FA54ED">
        <w:rPr>
          <w:rFonts w:ascii="Times New Roman" w:hAnsi="Times New Roman" w:cs="Times New Roman"/>
          <w:bCs/>
          <w:i/>
          <w:lang w:val="en-GB"/>
        </w:rPr>
        <w:t>C</w:t>
      </w:r>
      <w:r w:rsidR="00F84B98" w:rsidRPr="00FA54ED">
        <w:rPr>
          <w:rFonts w:ascii="Times New Roman" w:hAnsi="Times New Roman" w:cs="Times New Roman"/>
          <w:bCs/>
          <w:i/>
          <w:lang w:val="en-GB"/>
        </w:rPr>
        <w:t xml:space="preserve">onsumer </w:t>
      </w:r>
      <w:r w:rsidR="001C70A2" w:rsidRPr="00FA54ED">
        <w:rPr>
          <w:rFonts w:ascii="Times New Roman" w:hAnsi="Times New Roman" w:cs="Times New Roman"/>
          <w:bCs/>
          <w:i/>
          <w:lang w:val="en-GB"/>
        </w:rPr>
        <w:t>P</w:t>
      </w:r>
      <w:r w:rsidR="00F84B98" w:rsidRPr="00FA54ED">
        <w:rPr>
          <w:rFonts w:ascii="Times New Roman" w:hAnsi="Times New Roman" w:cs="Times New Roman"/>
          <w:bCs/>
          <w:i/>
          <w:lang w:val="en-GB"/>
        </w:rPr>
        <w:t xml:space="preserve">rotection </w:t>
      </w:r>
      <w:r w:rsidR="001C70A2" w:rsidRPr="00FA54ED">
        <w:rPr>
          <w:rFonts w:ascii="Times New Roman" w:hAnsi="Times New Roman" w:cs="Times New Roman"/>
          <w:bCs/>
          <w:i/>
          <w:lang w:val="en-GB"/>
        </w:rPr>
        <w:t>A</w:t>
      </w:r>
      <w:r w:rsidR="00F84B98" w:rsidRPr="00FA54ED">
        <w:rPr>
          <w:rFonts w:ascii="Times New Roman" w:hAnsi="Times New Roman" w:cs="Times New Roman"/>
          <w:bCs/>
          <w:i/>
          <w:lang w:val="en-GB"/>
        </w:rPr>
        <w:t>ct</w:t>
      </w:r>
      <w:r w:rsidR="00F84B98" w:rsidRPr="00FA54ED">
        <w:rPr>
          <w:rFonts w:ascii="Times New Roman" w:hAnsi="Times New Roman" w:cs="Times New Roman"/>
          <w:lang w:val="en-GB"/>
        </w:rPr>
        <w:t xml:space="preserve">, in </w:t>
      </w:r>
      <w:r w:rsidR="00F84B98" w:rsidRPr="00FA54ED">
        <w:rPr>
          <w:rFonts w:ascii="Times New Roman" w:hAnsi="Times New Roman" w:cs="Times New Roman"/>
          <w:bCs/>
          <w:i/>
          <w:lang w:val="en-GB"/>
        </w:rPr>
        <w:t>sector regulations</w:t>
      </w:r>
      <w:r w:rsidR="00F84B98" w:rsidRPr="00FA54ED">
        <w:rPr>
          <w:rFonts w:ascii="Times New Roman" w:hAnsi="Times New Roman" w:cs="Times New Roman"/>
          <w:lang w:val="en-GB"/>
        </w:rPr>
        <w:t xml:space="preserve"> (e.g</w:t>
      </w:r>
      <w:r w:rsidR="000D06D7" w:rsidRPr="00FA54ED">
        <w:rPr>
          <w:rFonts w:ascii="Times New Roman" w:hAnsi="Times New Roman" w:cs="Times New Roman"/>
          <w:lang w:val="en-GB"/>
        </w:rPr>
        <w:t>.</w:t>
      </w:r>
      <w:r w:rsidR="00F84B98" w:rsidRPr="00FA54ED">
        <w:rPr>
          <w:rFonts w:ascii="Times New Roman" w:hAnsi="Times New Roman" w:cs="Times New Roman"/>
          <w:lang w:val="en-GB"/>
        </w:rPr>
        <w:t xml:space="preserve"> telecommunications or energy), or in the Austrian implementation of the EU's </w:t>
      </w:r>
      <w:r w:rsidR="00F84B98" w:rsidRPr="00FA54ED">
        <w:rPr>
          <w:rFonts w:ascii="Times New Roman" w:hAnsi="Times New Roman" w:cs="Times New Roman"/>
          <w:bCs/>
          <w:i/>
          <w:lang w:val="en-GB"/>
        </w:rPr>
        <w:t>Unfair Trading Practices Directive</w:t>
      </w:r>
      <w:r w:rsidR="00CF0D7C" w:rsidRPr="00FA54ED">
        <w:rPr>
          <w:rFonts w:ascii="Times New Roman" w:hAnsi="Times New Roman" w:cs="Times New Roman"/>
          <w:lang w:val="en-GB"/>
        </w:rPr>
        <w:t xml:space="preserve"> (Directive 2019/633)</w:t>
      </w:r>
      <w:r w:rsidR="00F84B98" w:rsidRPr="00FA54ED">
        <w:rPr>
          <w:rFonts w:ascii="Times New Roman" w:hAnsi="Times New Roman" w:cs="Times New Roman"/>
          <w:lang w:val="en-GB"/>
        </w:rPr>
        <w:t xml:space="preserve">. </w:t>
      </w:r>
    </w:p>
    <w:p w14:paraId="1D51CB0F" w14:textId="2AB8629C" w:rsidR="00F84B98" w:rsidRPr="00FA54ED" w:rsidRDefault="00F84B98" w:rsidP="009A2A10">
      <w:pPr>
        <w:pStyle w:val="Stext"/>
        <w:rPr>
          <w:rFonts w:ascii="Times New Roman" w:hAnsi="Times New Roman" w:cs="Times New Roman"/>
          <w:lang w:val="en-GB"/>
        </w:rPr>
      </w:pPr>
      <w:r w:rsidRPr="00FA54ED">
        <w:rPr>
          <w:rFonts w:ascii="Times New Roman" w:hAnsi="Times New Roman" w:cs="Times New Roman"/>
          <w:lang w:val="en-GB"/>
        </w:rPr>
        <w:t xml:space="preserve">Against this background, a preliminary question to be answered before discussing </w:t>
      </w:r>
      <w:r w:rsidR="001C70A2" w:rsidRPr="00FA54ED">
        <w:rPr>
          <w:rFonts w:ascii="Times New Roman" w:hAnsi="Times New Roman" w:cs="Times New Roman"/>
          <w:lang w:val="en-GB"/>
        </w:rPr>
        <w:t>Q</w:t>
      </w:r>
      <w:r w:rsidRPr="00FA54ED">
        <w:rPr>
          <w:rFonts w:ascii="Times New Roman" w:hAnsi="Times New Roman" w:cs="Times New Roman"/>
          <w:lang w:val="en-GB"/>
        </w:rPr>
        <w:t xml:space="preserve">uestion </w:t>
      </w:r>
      <w:r w:rsidR="001C70A2" w:rsidRPr="00FA54ED">
        <w:rPr>
          <w:rFonts w:ascii="Times New Roman" w:hAnsi="Times New Roman" w:cs="Times New Roman"/>
          <w:lang w:val="en-GB"/>
        </w:rPr>
        <w:t xml:space="preserve">A </w:t>
      </w:r>
      <w:r w:rsidRPr="00FA54ED">
        <w:rPr>
          <w:rFonts w:ascii="Times New Roman" w:hAnsi="Times New Roman" w:cs="Times New Roman"/>
          <w:lang w:val="en-GB"/>
        </w:rPr>
        <w:t xml:space="preserve">is </w:t>
      </w:r>
      <w:r w:rsidR="00CF0D7C" w:rsidRPr="00FA54ED">
        <w:rPr>
          <w:rFonts w:ascii="Times New Roman" w:hAnsi="Times New Roman" w:cs="Times New Roman"/>
          <w:lang w:val="en-GB"/>
        </w:rPr>
        <w:t xml:space="preserve">what type of </w:t>
      </w:r>
      <w:r w:rsidRPr="00FA54ED">
        <w:rPr>
          <w:rFonts w:ascii="Times New Roman" w:hAnsi="Times New Roman" w:cs="Times New Roman"/>
          <w:lang w:val="en-GB"/>
        </w:rPr>
        <w:t xml:space="preserve">legal provisions that capture situations of relative market power form part of competition law, and which rules </w:t>
      </w:r>
      <w:r w:rsidR="00CF0D7C" w:rsidRPr="00FA54ED">
        <w:rPr>
          <w:rFonts w:ascii="Times New Roman" w:hAnsi="Times New Roman" w:cs="Times New Roman"/>
          <w:lang w:val="en-GB"/>
        </w:rPr>
        <w:t xml:space="preserve">with a similar objective </w:t>
      </w:r>
      <w:r w:rsidRPr="00FA54ED">
        <w:rPr>
          <w:rFonts w:ascii="Times New Roman" w:hAnsi="Times New Roman" w:cs="Times New Roman"/>
          <w:lang w:val="en-GB"/>
        </w:rPr>
        <w:t xml:space="preserve">pertain to other areas of law (such as consumer protection or sector regulation). For an EU Member State such as Austria, this question needs to be answered in a specific constitutional context. According to </w:t>
      </w:r>
      <w:r w:rsidRPr="00FA54ED">
        <w:rPr>
          <w:rFonts w:ascii="Times New Roman" w:hAnsi="Times New Roman" w:cs="Times New Roman"/>
          <w:bCs/>
          <w:i/>
          <w:lang w:val="en-GB"/>
        </w:rPr>
        <w:t>Article 3(1)(b) TFEU</w:t>
      </w:r>
      <w:r w:rsidRPr="00FA54ED">
        <w:rPr>
          <w:rFonts w:ascii="Times New Roman" w:hAnsi="Times New Roman" w:cs="Times New Roman"/>
          <w:lang w:val="en-GB"/>
        </w:rPr>
        <w:t>, the EU has exclusive comp</w:t>
      </w:r>
      <w:r w:rsidR="001061DD" w:rsidRPr="00FA54ED">
        <w:rPr>
          <w:rFonts w:ascii="Times New Roman" w:hAnsi="Times New Roman" w:cs="Times New Roman"/>
          <w:lang w:val="en-GB"/>
        </w:rPr>
        <w:t>etence to pass legislation concerning "</w:t>
      </w:r>
      <w:r w:rsidR="001061DD" w:rsidRPr="00FA54ED">
        <w:rPr>
          <w:rFonts w:ascii="Times New Roman" w:hAnsi="Times New Roman" w:cs="Times New Roman"/>
          <w:i/>
          <w:iCs/>
          <w:lang w:val="en-GB"/>
        </w:rPr>
        <w:t>the establishment of the competition rules necessary for the functioning of the internal market</w:t>
      </w:r>
      <w:r w:rsidR="001061DD" w:rsidRPr="00FA54ED">
        <w:rPr>
          <w:rFonts w:ascii="Times New Roman" w:hAnsi="Times New Roman" w:cs="Times New Roman"/>
          <w:lang w:val="en-GB"/>
        </w:rPr>
        <w:t xml:space="preserve">". This rule of primary </w:t>
      </w:r>
      <w:r w:rsidR="00757C73" w:rsidRPr="00FA54ED">
        <w:rPr>
          <w:rFonts w:ascii="Times New Roman" w:hAnsi="Times New Roman" w:cs="Times New Roman"/>
          <w:lang w:val="en-GB"/>
        </w:rPr>
        <w:t>U</w:t>
      </w:r>
      <w:r w:rsidR="001061DD" w:rsidRPr="00FA54ED">
        <w:rPr>
          <w:rFonts w:ascii="Times New Roman" w:hAnsi="Times New Roman" w:cs="Times New Roman"/>
          <w:lang w:val="en-GB"/>
        </w:rPr>
        <w:t>nion law also applies to unilateral con</w:t>
      </w:r>
      <w:r w:rsidR="00CF0D7C" w:rsidRPr="00FA54ED">
        <w:rPr>
          <w:rFonts w:ascii="Times New Roman" w:hAnsi="Times New Roman" w:cs="Times New Roman"/>
          <w:lang w:val="en-GB"/>
        </w:rPr>
        <w:t>du</w:t>
      </w:r>
      <w:r w:rsidR="001061DD" w:rsidRPr="00FA54ED">
        <w:rPr>
          <w:rFonts w:ascii="Times New Roman" w:hAnsi="Times New Roman" w:cs="Times New Roman"/>
          <w:lang w:val="en-GB"/>
        </w:rPr>
        <w:t>ct. To the extent that competition rules governing relative market power are necessary to preserve and promote the internal market, the respective legislation should in principle be passed by the EU legislator, and not on the Member State level. Having that in mind, the convergence rule in Art</w:t>
      </w:r>
      <w:r w:rsidR="00E42B95" w:rsidRPr="00FA54ED">
        <w:rPr>
          <w:rFonts w:ascii="Times New Roman" w:hAnsi="Times New Roman" w:cs="Times New Roman"/>
          <w:lang w:val="en-GB"/>
        </w:rPr>
        <w:t>icle</w:t>
      </w:r>
      <w:r w:rsidR="001061DD" w:rsidRPr="00FA54ED">
        <w:rPr>
          <w:rFonts w:ascii="Times New Roman" w:hAnsi="Times New Roman" w:cs="Times New Roman"/>
          <w:lang w:val="en-GB"/>
        </w:rPr>
        <w:t xml:space="preserve"> 3(2)(2) Regulation 1/2003 effectively amounts to an empowerment of the Member States. Under Art</w:t>
      </w:r>
      <w:r w:rsidR="00E42B95" w:rsidRPr="00FA54ED">
        <w:rPr>
          <w:rFonts w:ascii="Times New Roman" w:hAnsi="Times New Roman" w:cs="Times New Roman"/>
          <w:lang w:val="en-GB"/>
        </w:rPr>
        <w:t>icle</w:t>
      </w:r>
      <w:r w:rsidR="001061DD" w:rsidRPr="00FA54ED">
        <w:rPr>
          <w:rFonts w:ascii="Times New Roman" w:hAnsi="Times New Roman" w:cs="Times New Roman"/>
          <w:lang w:val="en-GB"/>
        </w:rPr>
        <w:t xml:space="preserve"> 3(2)(2) Regulation 1/2003, the Member States (while being obliged to apply Art</w:t>
      </w:r>
      <w:r w:rsidR="00E42B95" w:rsidRPr="00FA54ED">
        <w:rPr>
          <w:rFonts w:ascii="Times New Roman" w:hAnsi="Times New Roman" w:cs="Times New Roman"/>
          <w:lang w:val="en-GB"/>
        </w:rPr>
        <w:t>icle</w:t>
      </w:r>
      <w:r w:rsidR="00CF0D7C" w:rsidRPr="00FA54ED">
        <w:rPr>
          <w:rFonts w:ascii="Times New Roman" w:hAnsi="Times New Roman" w:cs="Times New Roman"/>
          <w:lang w:val="en-GB"/>
        </w:rPr>
        <w:t> </w:t>
      </w:r>
      <w:r w:rsidR="001061DD" w:rsidRPr="00FA54ED">
        <w:rPr>
          <w:rFonts w:ascii="Times New Roman" w:hAnsi="Times New Roman" w:cs="Times New Roman"/>
          <w:lang w:val="en-GB"/>
        </w:rPr>
        <w:t xml:space="preserve">102 TFEU whenever they apply </w:t>
      </w:r>
      <w:r w:rsidR="001061DD" w:rsidRPr="00FA54ED">
        <w:rPr>
          <w:rFonts w:ascii="Times New Roman" w:hAnsi="Times New Roman" w:cs="Times New Roman"/>
          <w:lang w:val="en-GB"/>
        </w:rPr>
        <w:lastRenderedPageBreak/>
        <w:t xml:space="preserve">national competition law to </w:t>
      </w:r>
      <w:r w:rsidR="00085175" w:rsidRPr="00FA54ED">
        <w:rPr>
          <w:rFonts w:ascii="Times New Roman" w:hAnsi="Times New Roman" w:cs="Times New Roman"/>
          <w:lang w:val="en-GB"/>
        </w:rPr>
        <w:t xml:space="preserve">an alleged abuse), they are not precluded from adopting and applying stricter national laws </w:t>
      </w:r>
      <w:r w:rsidR="00E872CE" w:rsidRPr="00FA54ED">
        <w:rPr>
          <w:rFonts w:ascii="Times New Roman" w:hAnsi="Times New Roman" w:cs="Times New Roman"/>
          <w:lang w:val="en-GB"/>
        </w:rPr>
        <w:t xml:space="preserve">on their territory </w:t>
      </w:r>
      <w:r w:rsidR="00085175" w:rsidRPr="00FA54ED">
        <w:rPr>
          <w:rFonts w:ascii="Times New Roman" w:hAnsi="Times New Roman" w:cs="Times New Roman"/>
          <w:lang w:val="en-GB"/>
        </w:rPr>
        <w:t>which prohibit</w:t>
      </w:r>
      <w:r w:rsidR="00CF0D7C" w:rsidRPr="00FA54ED">
        <w:rPr>
          <w:rFonts w:ascii="Times New Roman" w:hAnsi="Times New Roman" w:cs="Times New Roman"/>
          <w:lang w:val="en-GB"/>
        </w:rPr>
        <w:t xml:space="preserve"> </w:t>
      </w:r>
      <w:r w:rsidR="00085175" w:rsidRPr="00FA54ED">
        <w:rPr>
          <w:rFonts w:ascii="Times New Roman" w:hAnsi="Times New Roman" w:cs="Times New Roman"/>
          <w:lang w:val="en-GB"/>
        </w:rPr>
        <w:t xml:space="preserve">or sanction unilateral contact engaged in by undertakings. </w:t>
      </w:r>
    </w:p>
    <w:p w14:paraId="330FF87A" w14:textId="2047051D" w:rsidR="00085175" w:rsidRPr="00FA54ED" w:rsidRDefault="00085175" w:rsidP="009A2A10">
      <w:pPr>
        <w:pStyle w:val="Stext"/>
        <w:rPr>
          <w:rFonts w:ascii="Times New Roman" w:hAnsi="Times New Roman" w:cs="Times New Roman"/>
          <w:lang w:val="en-GB"/>
        </w:rPr>
      </w:pPr>
      <w:r w:rsidRPr="00FA54ED">
        <w:rPr>
          <w:rFonts w:ascii="Times New Roman" w:hAnsi="Times New Roman" w:cs="Times New Roman"/>
          <w:lang w:val="en-GB"/>
        </w:rPr>
        <w:t xml:space="preserve">On the other hand, internal market law is not an exclusive competence of the EU legislator. Rather, pursuant to Article 4(2)(a) TFEU, the </w:t>
      </w:r>
      <w:r w:rsidR="00CF0D7C" w:rsidRPr="00FA54ED">
        <w:rPr>
          <w:rFonts w:ascii="Times New Roman" w:hAnsi="Times New Roman" w:cs="Times New Roman"/>
          <w:lang w:val="en-GB"/>
        </w:rPr>
        <w:t>U</w:t>
      </w:r>
      <w:r w:rsidRPr="00FA54ED">
        <w:rPr>
          <w:rFonts w:ascii="Times New Roman" w:hAnsi="Times New Roman" w:cs="Times New Roman"/>
          <w:lang w:val="en-GB"/>
        </w:rPr>
        <w:t xml:space="preserve">nion shares the competence to regulate the internal market with the Member States. If harmonization of the laws of the Member States is required to promote the internal market, the respective </w:t>
      </w:r>
      <w:r w:rsidR="00CF0D7C" w:rsidRPr="00FA54ED">
        <w:rPr>
          <w:rFonts w:ascii="Times New Roman" w:hAnsi="Times New Roman" w:cs="Times New Roman"/>
          <w:lang w:val="en-GB"/>
        </w:rPr>
        <w:t>U</w:t>
      </w:r>
      <w:r w:rsidRPr="00FA54ED">
        <w:rPr>
          <w:rFonts w:ascii="Times New Roman" w:hAnsi="Times New Roman" w:cs="Times New Roman"/>
          <w:lang w:val="en-GB"/>
        </w:rPr>
        <w:t xml:space="preserve">nion measures </w:t>
      </w:r>
      <w:r w:rsidR="00E872CE" w:rsidRPr="00FA54ED">
        <w:rPr>
          <w:rFonts w:ascii="Times New Roman" w:hAnsi="Times New Roman" w:cs="Times New Roman"/>
          <w:lang w:val="en-GB"/>
        </w:rPr>
        <w:t xml:space="preserve">are </w:t>
      </w:r>
      <w:r w:rsidRPr="00FA54ED">
        <w:rPr>
          <w:rFonts w:ascii="Times New Roman" w:hAnsi="Times New Roman" w:cs="Times New Roman"/>
          <w:lang w:val="en-GB"/>
        </w:rPr>
        <w:t xml:space="preserve">primarily based on Article 114 TFEU. To provide an example, </w:t>
      </w:r>
      <w:r w:rsidR="003E0738" w:rsidRPr="00FA54ED">
        <w:rPr>
          <w:rFonts w:ascii="Times New Roman" w:hAnsi="Times New Roman" w:cs="Times New Roman"/>
          <w:lang w:val="en-GB"/>
        </w:rPr>
        <w:t xml:space="preserve">the UTP-Directive was </w:t>
      </w:r>
      <w:r w:rsidR="00CF0D7C" w:rsidRPr="00FA54ED">
        <w:rPr>
          <w:rFonts w:ascii="Times New Roman" w:hAnsi="Times New Roman" w:cs="Times New Roman"/>
          <w:lang w:val="en-GB"/>
        </w:rPr>
        <w:t xml:space="preserve">not </w:t>
      </w:r>
      <w:r w:rsidR="003E0738" w:rsidRPr="00FA54ED">
        <w:rPr>
          <w:rFonts w:ascii="Times New Roman" w:hAnsi="Times New Roman" w:cs="Times New Roman"/>
          <w:lang w:val="en-GB"/>
        </w:rPr>
        <w:t>based on Article</w:t>
      </w:r>
      <w:r w:rsidR="00E872CE" w:rsidRPr="00FA54ED">
        <w:rPr>
          <w:rFonts w:ascii="Times New Roman" w:hAnsi="Times New Roman" w:cs="Times New Roman"/>
          <w:lang w:val="en-GB"/>
        </w:rPr>
        <w:t xml:space="preserve"> </w:t>
      </w:r>
      <w:r w:rsidR="003E0738" w:rsidRPr="00FA54ED">
        <w:rPr>
          <w:rFonts w:ascii="Times New Roman" w:hAnsi="Times New Roman" w:cs="Times New Roman"/>
          <w:lang w:val="en-GB"/>
        </w:rPr>
        <w:t>103 TFEU (i.e</w:t>
      </w:r>
      <w:r w:rsidR="000D06D7" w:rsidRPr="00FA54ED">
        <w:rPr>
          <w:rFonts w:ascii="Times New Roman" w:hAnsi="Times New Roman" w:cs="Times New Roman"/>
          <w:lang w:val="en-GB"/>
        </w:rPr>
        <w:t>.</w:t>
      </w:r>
      <w:r w:rsidR="003E0738" w:rsidRPr="00FA54ED">
        <w:rPr>
          <w:rFonts w:ascii="Times New Roman" w:hAnsi="Times New Roman" w:cs="Times New Roman"/>
          <w:lang w:val="en-GB"/>
        </w:rPr>
        <w:t xml:space="preserve"> on EU competition law), but </w:t>
      </w:r>
      <w:r w:rsidR="00CF0D7C" w:rsidRPr="00FA54ED">
        <w:rPr>
          <w:rFonts w:ascii="Times New Roman" w:hAnsi="Times New Roman" w:cs="Times New Roman"/>
          <w:lang w:val="en-GB"/>
        </w:rPr>
        <w:t>o</w:t>
      </w:r>
      <w:r w:rsidR="003E0738" w:rsidRPr="00FA54ED">
        <w:rPr>
          <w:rFonts w:ascii="Times New Roman" w:hAnsi="Times New Roman" w:cs="Times New Roman"/>
          <w:lang w:val="en-GB"/>
        </w:rPr>
        <w:t>n Article</w:t>
      </w:r>
      <w:r w:rsidR="00CF0D7C" w:rsidRPr="00FA54ED">
        <w:rPr>
          <w:rFonts w:ascii="Times New Roman" w:hAnsi="Times New Roman" w:cs="Times New Roman"/>
          <w:lang w:val="en-GB"/>
        </w:rPr>
        <w:t> </w:t>
      </w:r>
      <w:r w:rsidR="003E0738" w:rsidRPr="00FA54ED">
        <w:rPr>
          <w:rFonts w:ascii="Times New Roman" w:hAnsi="Times New Roman" w:cs="Times New Roman"/>
          <w:lang w:val="en-GB"/>
        </w:rPr>
        <w:t xml:space="preserve">43 TFEU, which provides the </w:t>
      </w:r>
      <w:r w:rsidR="00CF0D7C" w:rsidRPr="00FA54ED">
        <w:rPr>
          <w:rFonts w:ascii="Times New Roman" w:hAnsi="Times New Roman" w:cs="Times New Roman"/>
          <w:lang w:val="en-GB"/>
        </w:rPr>
        <w:t>U</w:t>
      </w:r>
      <w:r w:rsidR="003E0738" w:rsidRPr="00FA54ED">
        <w:rPr>
          <w:rFonts w:ascii="Times New Roman" w:hAnsi="Times New Roman" w:cs="Times New Roman"/>
          <w:lang w:val="en-GB"/>
        </w:rPr>
        <w:t>nion with competences in the ar</w:t>
      </w:r>
      <w:r w:rsidR="00EE0826" w:rsidRPr="00FA54ED">
        <w:rPr>
          <w:rFonts w:ascii="Times New Roman" w:hAnsi="Times New Roman" w:cs="Times New Roman"/>
          <w:lang w:val="en-GB"/>
        </w:rPr>
        <w:t>e</w:t>
      </w:r>
      <w:r w:rsidR="003E0738" w:rsidRPr="00FA54ED">
        <w:rPr>
          <w:rFonts w:ascii="Times New Roman" w:hAnsi="Times New Roman" w:cs="Times New Roman"/>
          <w:lang w:val="en-GB"/>
        </w:rPr>
        <w:t xml:space="preserve">a of agriculture and fisheries. By taking recourse to this competence, the </w:t>
      </w:r>
      <w:r w:rsidR="00CF0D7C" w:rsidRPr="00FA54ED">
        <w:rPr>
          <w:rFonts w:ascii="Times New Roman" w:hAnsi="Times New Roman" w:cs="Times New Roman"/>
          <w:lang w:val="en-GB"/>
        </w:rPr>
        <w:t>U</w:t>
      </w:r>
      <w:r w:rsidR="003E0738" w:rsidRPr="00FA54ED">
        <w:rPr>
          <w:rFonts w:ascii="Times New Roman" w:hAnsi="Times New Roman" w:cs="Times New Roman"/>
          <w:lang w:val="en-GB"/>
        </w:rPr>
        <w:t xml:space="preserve">nion legislator indicated that it does not consider the </w:t>
      </w:r>
      <w:r w:rsidR="00CF0D7C" w:rsidRPr="00FA54ED">
        <w:rPr>
          <w:rFonts w:ascii="Times New Roman" w:hAnsi="Times New Roman" w:cs="Times New Roman"/>
          <w:lang w:val="en-GB"/>
        </w:rPr>
        <w:t xml:space="preserve">prohibition </w:t>
      </w:r>
      <w:r w:rsidR="003E0738" w:rsidRPr="00FA54ED">
        <w:rPr>
          <w:rFonts w:ascii="Times New Roman" w:hAnsi="Times New Roman" w:cs="Times New Roman"/>
          <w:lang w:val="en-GB"/>
        </w:rPr>
        <w:t xml:space="preserve">of </w:t>
      </w:r>
      <w:r w:rsidR="00CF0D7C" w:rsidRPr="00FA54ED">
        <w:rPr>
          <w:rFonts w:ascii="Times New Roman" w:hAnsi="Times New Roman" w:cs="Times New Roman"/>
          <w:lang w:val="en-GB"/>
        </w:rPr>
        <w:t>u</w:t>
      </w:r>
      <w:r w:rsidR="003E0738" w:rsidRPr="00FA54ED">
        <w:rPr>
          <w:rFonts w:ascii="Times New Roman" w:hAnsi="Times New Roman" w:cs="Times New Roman"/>
          <w:lang w:val="en-GB"/>
        </w:rPr>
        <w:t xml:space="preserve">nfair </w:t>
      </w:r>
      <w:r w:rsidR="00CF0D7C" w:rsidRPr="00FA54ED">
        <w:rPr>
          <w:rFonts w:ascii="Times New Roman" w:hAnsi="Times New Roman" w:cs="Times New Roman"/>
          <w:lang w:val="en-GB"/>
        </w:rPr>
        <w:t>t</w:t>
      </w:r>
      <w:r w:rsidR="003E0738" w:rsidRPr="00FA54ED">
        <w:rPr>
          <w:rFonts w:ascii="Times New Roman" w:hAnsi="Times New Roman" w:cs="Times New Roman"/>
          <w:lang w:val="en-GB"/>
        </w:rPr>
        <w:t xml:space="preserve">rading </w:t>
      </w:r>
      <w:r w:rsidR="00CF0D7C" w:rsidRPr="00FA54ED">
        <w:rPr>
          <w:rFonts w:ascii="Times New Roman" w:hAnsi="Times New Roman" w:cs="Times New Roman"/>
          <w:lang w:val="en-GB"/>
        </w:rPr>
        <w:t>p</w:t>
      </w:r>
      <w:r w:rsidR="003E0738" w:rsidRPr="00FA54ED">
        <w:rPr>
          <w:rFonts w:ascii="Times New Roman" w:hAnsi="Times New Roman" w:cs="Times New Roman"/>
          <w:lang w:val="en-GB"/>
        </w:rPr>
        <w:t xml:space="preserve">ractices as a matter of competition law, but rather as a different topic. The same applies </w:t>
      </w:r>
      <w:r w:rsidR="00EE0826" w:rsidRPr="00FA54ED">
        <w:rPr>
          <w:rFonts w:ascii="Times New Roman" w:hAnsi="Times New Roman" w:cs="Times New Roman"/>
          <w:lang w:val="en-GB"/>
        </w:rPr>
        <w:t xml:space="preserve">for example </w:t>
      </w:r>
      <w:r w:rsidR="003E0738" w:rsidRPr="00FA54ED">
        <w:rPr>
          <w:rFonts w:ascii="Times New Roman" w:hAnsi="Times New Roman" w:cs="Times New Roman"/>
          <w:lang w:val="en-GB"/>
        </w:rPr>
        <w:t xml:space="preserve">to the </w:t>
      </w:r>
      <w:r w:rsidR="00CF0D7C" w:rsidRPr="00FA54ED">
        <w:rPr>
          <w:rFonts w:ascii="Times New Roman" w:hAnsi="Times New Roman" w:cs="Times New Roman"/>
          <w:lang w:val="en-GB"/>
        </w:rPr>
        <w:t>d</w:t>
      </w:r>
      <w:r w:rsidR="003E0738" w:rsidRPr="00FA54ED">
        <w:rPr>
          <w:rFonts w:ascii="Times New Roman" w:hAnsi="Times New Roman" w:cs="Times New Roman"/>
          <w:lang w:val="en-GB"/>
        </w:rPr>
        <w:t>irective's pas</w:t>
      </w:r>
      <w:r w:rsidR="00CF0D7C" w:rsidRPr="00FA54ED">
        <w:rPr>
          <w:rFonts w:ascii="Times New Roman" w:hAnsi="Times New Roman" w:cs="Times New Roman"/>
          <w:lang w:val="en-GB"/>
        </w:rPr>
        <w:t>sed</w:t>
      </w:r>
      <w:r w:rsidR="003E0738" w:rsidRPr="00FA54ED">
        <w:rPr>
          <w:rFonts w:ascii="Times New Roman" w:hAnsi="Times New Roman" w:cs="Times New Roman"/>
          <w:lang w:val="en-GB"/>
        </w:rPr>
        <w:t xml:space="preserve"> by the </w:t>
      </w:r>
      <w:r w:rsidR="00CF0D7C" w:rsidRPr="00FA54ED">
        <w:rPr>
          <w:rFonts w:ascii="Times New Roman" w:hAnsi="Times New Roman" w:cs="Times New Roman"/>
          <w:lang w:val="en-GB"/>
        </w:rPr>
        <w:t>U</w:t>
      </w:r>
      <w:r w:rsidR="003E0738" w:rsidRPr="00FA54ED">
        <w:rPr>
          <w:rFonts w:ascii="Times New Roman" w:hAnsi="Times New Roman" w:cs="Times New Roman"/>
          <w:lang w:val="en-GB"/>
        </w:rPr>
        <w:t xml:space="preserve">nion legislator in </w:t>
      </w:r>
      <w:r w:rsidR="00CF0D7C" w:rsidRPr="00FA54ED">
        <w:rPr>
          <w:rFonts w:ascii="Times New Roman" w:hAnsi="Times New Roman" w:cs="Times New Roman"/>
          <w:lang w:val="en-GB"/>
        </w:rPr>
        <w:t xml:space="preserve">the </w:t>
      </w:r>
      <w:r w:rsidR="003E0738" w:rsidRPr="00FA54ED">
        <w:rPr>
          <w:rFonts w:ascii="Times New Roman" w:hAnsi="Times New Roman" w:cs="Times New Roman"/>
          <w:lang w:val="en-GB"/>
        </w:rPr>
        <w:t xml:space="preserve">field of unfair competition. </w:t>
      </w:r>
    </w:p>
    <w:p w14:paraId="32BC63CF" w14:textId="026A966E" w:rsidR="003732F6" w:rsidRPr="00FA54ED" w:rsidRDefault="003E0738" w:rsidP="009A2A10">
      <w:pPr>
        <w:pStyle w:val="Stext"/>
        <w:rPr>
          <w:rFonts w:ascii="Times New Roman" w:hAnsi="Times New Roman" w:cs="Times New Roman"/>
          <w:lang w:val="en-GB"/>
        </w:rPr>
      </w:pPr>
      <w:r w:rsidRPr="00FA54ED">
        <w:rPr>
          <w:rFonts w:ascii="Times New Roman" w:hAnsi="Times New Roman" w:cs="Times New Roman"/>
          <w:lang w:val="en-GB"/>
        </w:rPr>
        <w:t xml:space="preserve">To this </w:t>
      </w:r>
      <w:r w:rsidR="003732F6" w:rsidRPr="00FA54ED">
        <w:rPr>
          <w:rFonts w:ascii="Times New Roman" w:hAnsi="Times New Roman" w:cs="Times New Roman"/>
          <w:lang w:val="en-GB"/>
        </w:rPr>
        <w:t>d</w:t>
      </w:r>
      <w:r w:rsidRPr="00FA54ED">
        <w:rPr>
          <w:rFonts w:ascii="Times New Roman" w:hAnsi="Times New Roman" w:cs="Times New Roman"/>
          <w:lang w:val="en-GB"/>
        </w:rPr>
        <w:t xml:space="preserve">ate, the </w:t>
      </w:r>
      <w:r w:rsidR="003732F6" w:rsidRPr="00FA54ED">
        <w:rPr>
          <w:rFonts w:ascii="Times New Roman" w:hAnsi="Times New Roman" w:cs="Times New Roman"/>
          <w:lang w:val="en-GB"/>
        </w:rPr>
        <w:t>E</w:t>
      </w:r>
      <w:r w:rsidRPr="00FA54ED">
        <w:rPr>
          <w:rFonts w:ascii="Times New Roman" w:hAnsi="Times New Roman" w:cs="Times New Roman"/>
          <w:lang w:val="en-GB"/>
        </w:rPr>
        <w:t xml:space="preserve">CJ has not handed down judgements which provide for a clear delineation between competition rules, as referred to in Article 3(1)(b) TFEU, and internal market rules which also have a bearing on the competitive process. Without discussing this in detail in this paper, </w:t>
      </w:r>
      <w:r w:rsidR="001C0B28" w:rsidRPr="00FA54ED">
        <w:rPr>
          <w:rFonts w:ascii="Times New Roman" w:hAnsi="Times New Roman" w:cs="Times New Roman"/>
          <w:lang w:val="en-GB"/>
        </w:rPr>
        <w:t xml:space="preserve">there are sound reasons to believe that (as noted by the GC in para 362 of its judgment in Case T-399/16 </w:t>
      </w:r>
      <w:r w:rsidR="001C0B28" w:rsidRPr="00FA54ED">
        <w:rPr>
          <w:rFonts w:ascii="Times New Roman" w:hAnsi="Times New Roman" w:cs="Times New Roman"/>
          <w:i/>
          <w:iCs/>
          <w:lang w:val="en-GB"/>
        </w:rPr>
        <w:t>CK Telecoms</w:t>
      </w:r>
      <w:r w:rsidR="001C0B28" w:rsidRPr="00FA54ED">
        <w:rPr>
          <w:rFonts w:ascii="Times New Roman" w:hAnsi="Times New Roman" w:cs="Times New Roman"/>
          <w:lang w:val="en-GB"/>
        </w:rPr>
        <w:t xml:space="preserve">), EU competition rules are intended to protect the competitive process as such. Having that in mind, </w:t>
      </w:r>
      <w:r w:rsidR="003732F6" w:rsidRPr="00FA54ED">
        <w:rPr>
          <w:rFonts w:ascii="Times New Roman" w:hAnsi="Times New Roman" w:cs="Times New Roman"/>
          <w:lang w:val="en-GB"/>
        </w:rPr>
        <w:t xml:space="preserve">neither </w:t>
      </w:r>
      <w:r w:rsidR="001C0B28" w:rsidRPr="00FA54ED">
        <w:rPr>
          <w:rFonts w:ascii="Times New Roman" w:hAnsi="Times New Roman" w:cs="Times New Roman"/>
          <w:lang w:val="en-GB"/>
        </w:rPr>
        <w:t xml:space="preserve">the protection of certain market players (such as small and medium sized companies) is an </w:t>
      </w:r>
      <w:r w:rsidR="001C0B28" w:rsidRPr="00FA54ED">
        <w:rPr>
          <w:rFonts w:ascii="Times New Roman" w:hAnsi="Times New Roman" w:cs="Times New Roman"/>
          <w:bCs/>
          <w:i/>
          <w:lang w:val="en-GB"/>
        </w:rPr>
        <w:t>objective of competition law</w:t>
      </w:r>
      <w:r w:rsidR="001C0B28" w:rsidRPr="00FA54ED">
        <w:rPr>
          <w:rFonts w:ascii="Times New Roman" w:hAnsi="Times New Roman" w:cs="Times New Roman"/>
          <w:lang w:val="en-GB"/>
        </w:rPr>
        <w:t xml:space="preserve">, as understood in the European Union, nor </w:t>
      </w:r>
      <w:r w:rsidR="003732F6" w:rsidRPr="00FA54ED">
        <w:rPr>
          <w:rFonts w:ascii="Times New Roman" w:hAnsi="Times New Roman" w:cs="Times New Roman"/>
          <w:lang w:val="en-GB"/>
        </w:rPr>
        <w:t xml:space="preserve">is </w:t>
      </w:r>
      <w:r w:rsidR="001C0B28" w:rsidRPr="00FA54ED">
        <w:rPr>
          <w:rFonts w:ascii="Times New Roman" w:hAnsi="Times New Roman" w:cs="Times New Roman"/>
          <w:lang w:val="en-GB"/>
        </w:rPr>
        <w:t>the protection of contracting parties (be it businesses or consumers) in imbalanced negotiation situation</w:t>
      </w:r>
      <w:r w:rsidR="003732F6" w:rsidRPr="00FA54ED">
        <w:rPr>
          <w:rFonts w:ascii="Times New Roman" w:hAnsi="Times New Roman" w:cs="Times New Roman"/>
          <w:lang w:val="en-GB"/>
        </w:rPr>
        <w:t>s</w:t>
      </w:r>
      <w:r w:rsidR="001C0B28" w:rsidRPr="00FA54ED">
        <w:rPr>
          <w:rFonts w:ascii="Times New Roman" w:hAnsi="Times New Roman" w:cs="Times New Roman"/>
          <w:lang w:val="en-GB"/>
        </w:rPr>
        <w:t xml:space="preserve">. </w:t>
      </w:r>
      <w:r w:rsidR="003732F6" w:rsidRPr="00FA54ED">
        <w:rPr>
          <w:rFonts w:ascii="Times New Roman" w:hAnsi="Times New Roman" w:cs="Times New Roman"/>
          <w:lang w:val="en-GB"/>
        </w:rPr>
        <w:t>More b</w:t>
      </w:r>
      <w:r w:rsidR="001C0B28" w:rsidRPr="00FA54ED">
        <w:rPr>
          <w:rFonts w:ascii="Times New Roman" w:hAnsi="Times New Roman" w:cs="Times New Roman"/>
          <w:lang w:val="en-GB"/>
        </w:rPr>
        <w:t>ro</w:t>
      </w:r>
      <w:r w:rsidR="003732F6" w:rsidRPr="00FA54ED">
        <w:rPr>
          <w:rFonts w:ascii="Times New Roman" w:hAnsi="Times New Roman" w:cs="Times New Roman"/>
          <w:lang w:val="en-GB"/>
        </w:rPr>
        <w:t>a</w:t>
      </w:r>
      <w:r w:rsidR="001C0B28" w:rsidRPr="00FA54ED">
        <w:rPr>
          <w:rFonts w:ascii="Times New Roman" w:hAnsi="Times New Roman" w:cs="Times New Roman"/>
          <w:lang w:val="en-GB"/>
        </w:rPr>
        <w:t xml:space="preserve">dly speaking, even avoiding exploitation </w:t>
      </w:r>
      <w:r w:rsidR="003732F6" w:rsidRPr="00FA54ED">
        <w:rPr>
          <w:rFonts w:ascii="Times New Roman" w:hAnsi="Times New Roman" w:cs="Times New Roman"/>
          <w:lang w:val="en-GB"/>
        </w:rPr>
        <w:t xml:space="preserve">of businesses or consumers </w:t>
      </w:r>
      <w:r w:rsidR="001C0B28" w:rsidRPr="00FA54ED">
        <w:rPr>
          <w:rFonts w:ascii="Times New Roman" w:hAnsi="Times New Roman" w:cs="Times New Roman"/>
          <w:lang w:val="en-GB"/>
        </w:rPr>
        <w:t xml:space="preserve">is </w:t>
      </w:r>
      <w:r w:rsidR="003732F6" w:rsidRPr="00FA54ED">
        <w:rPr>
          <w:rFonts w:ascii="Times New Roman" w:hAnsi="Times New Roman" w:cs="Times New Roman"/>
          <w:lang w:val="en-GB"/>
        </w:rPr>
        <w:t xml:space="preserve">arguably </w:t>
      </w:r>
      <w:r w:rsidR="001C0B28" w:rsidRPr="00FA54ED">
        <w:rPr>
          <w:rFonts w:ascii="Times New Roman" w:hAnsi="Times New Roman" w:cs="Times New Roman"/>
          <w:lang w:val="en-GB"/>
        </w:rPr>
        <w:t xml:space="preserve">not an objective of EU competition law. Rather, consumers are protected from exploitation only indirectly, via the working of an effective competitive process, and businesses are </w:t>
      </w:r>
      <w:r w:rsidR="001C0F68" w:rsidRPr="00FA54ED">
        <w:rPr>
          <w:rFonts w:ascii="Times New Roman" w:hAnsi="Times New Roman" w:cs="Times New Roman"/>
          <w:lang w:val="en-GB"/>
        </w:rPr>
        <w:t>protected against exp</w:t>
      </w:r>
      <w:r w:rsidR="00E872CE" w:rsidRPr="00FA54ED">
        <w:rPr>
          <w:rFonts w:ascii="Times New Roman" w:hAnsi="Times New Roman" w:cs="Times New Roman"/>
          <w:lang w:val="en-GB"/>
        </w:rPr>
        <w:t>l</w:t>
      </w:r>
      <w:r w:rsidR="001C0F68" w:rsidRPr="00FA54ED">
        <w:rPr>
          <w:rFonts w:ascii="Times New Roman" w:hAnsi="Times New Roman" w:cs="Times New Roman"/>
          <w:lang w:val="en-GB"/>
        </w:rPr>
        <w:t>o</w:t>
      </w:r>
      <w:r w:rsidR="00E872CE" w:rsidRPr="00FA54ED">
        <w:rPr>
          <w:rFonts w:ascii="Times New Roman" w:hAnsi="Times New Roman" w:cs="Times New Roman"/>
          <w:lang w:val="en-GB"/>
        </w:rPr>
        <w:t>i</w:t>
      </w:r>
      <w:r w:rsidR="001C0F68" w:rsidRPr="00FA54ED">
        <w:rPr>
          <w:rFonts w:ascii="Times New Roman" w:hAnsi="Times New Roman" w:cs="Times New Roman"/>
          <w:lang w:val="en-GB"/>
        </w:rPr>
        <w:t>tation only if the obstructi</w:t>
      </w:r>
      <w:r w:rsidR="00E872CE" w:rsidRPr="00FA54ED">
        <w:rPr>
          <w:rFonts w:ascii="Times New Roman" w:hAnsi="Times New Roman" w:cs="Times New Roman"/>
          <w:lang w:val="en-GB"/>
        </w:rPr>
        <w:t>ve measures</w:t>
      </w:r>
      <w:r w:rsidR="001C0F68" w:rsidRPr="00FA54ED">
        <w:rPr>
          <w:rFonts w:ascii="Times New Roman" w:hAnsi="Times New Roman" w:cs="Times New Roman"/>
          <w:lang w:val="en-GB"/>
        </w:rPr>
        <w:t xml:space="preserve"> </w:t>
      </w:r>
      <w:r w:rsidR="003732F6" w:rsidRPr="00FA54ED">
        <w:rPr>
          <w:rFonts w:ascii="Times New Roman" w:hAnsi="Times New Roman" w:cs="Times New Roman"/>
          <w:lang w:val="en-GB"/>
        </w:rPr>
        <w:t xml:space="preserve">limit </w:t>
      </w:r>
      <w:r w:rsidR="001C0F68" w:rsidRPr="00FA54ED">
        <w:rPr>
          <w:rFonts w:ascii="Times New Roman" w:hAnsi="Times New Roman" w:cs="Times New Roman"/>
          <w:lang w:val="en-GB"/>
        </w:rPr>
        <w:t xml:space="preserve">their </w:t>
      </w:r>
      <w:r w:rsidR="003732F6" w:rsidRPr="00FA54ED">
        <w:rPr>
          <w:rFonts w:ascii="Times New Roman" w:hAnsi="Times New Roman" w:cs="Times New Roman"/>
          <w:lang w:val="en-GB"/>
        </w:rPr>
        <w:t xml:space="preserve">possibilities </w:t>
      </w:r>
      <w:r w:rsidR="001C0F68" w:rsidRPr="00FA54ED">
        <w:rPr>
          <w:rFonts w:ascii="Times New Roman" w:hAnsi="Times New Roman" w:cs="Times New Roman"/>
          <w:lang w:val="en-GB"/>
        </w:rPr>
        <w:t xml:space="preserve">to innovate or otherwise </w:t>
      </w:r>
      <w:r w:rsidR="003732F6" w:rsidRPr="00FA54ED">
        <w:rPr>
          <w:rFonts w:ascii="Times New Roman" w:hAnsi="Times New Roman" w:cs="Times New Roman"/>
          <w:lang w:val="en-GB"/>
        </w:rPr>
        <w:t xml:space="preserve">to </w:t>
      </w:r>
      <w:r w:rsidR="001C0F68" w:rsidRPr="00FA54ED">
        <w:rPr>
          <w:rFonts w:ascii="Times New Roman" w:hAnsi="Times New Roman" w:cs="Times New Roman"/>
          <w:lang w:val="en-GB"/>
        </w:rPr>
        <w:t xml:space="preserve">act as an effective competitive constraint </w:t>
      </w:r>
      <w:r w:rsidR="003732F6" w:rsidRPr="00FA54ED">
        <w:rPr>
          <w:rFonts w:ascii="Times New Roman" w:hAnsi="Times New Roman" w:cs="Times New Roman"/>
          <w:lang w:val="en-GB"/>
        </w:rPr>
        <w:t xml:space="preserve">for </w:t>
      </w:r>
      <w:r w:rsidR="001C0F68" w:rsidRPr="00FA54ED">
        <w:rPr>
          <w:rFonts w:ascii="Times New Roman" w:hAnsi="Times New Roman" w:cs="Times New Roman"/>
          <w:lang w:val="en-GB"/>
        </w:rPr>
        <w:t xml:space="preserve">other market players. </w:t>
      </w:r>
    </w:p>
    <w:p w14:paraId="4D99F9C2" w14:textId="0D57D4A7" w:rsidR="003E0738" w:rsidRPr="00FA54ED" w:rsidRDefault="001C0F68" w:rsidP="009A2A10">
      <w:pPr>
        <w:pStyle w:val="Stext"/>
        <w:rPr>
          <w:rFonts w:ascii="Times New Roman" w:hAnsi="Times New Roman" w:cs="Times New Roman"/>
          <w:lang w:val="en-GB"/>
        </w:rPr>
      </w:pPr>
      <w:r w:rsidRPr="00FA54ED">
        <w:rPr>
          <w:rFonts w:ascii="Times New Roman" w:hAnsi="Times New Roman" w:cs="Times New Roman"/>
          <w:lang w:val="en-GB"/>
        </w:rPr>
        <w:t xml:space="preserve">Against this background, the following </w:t>
      </w:r>
      <w:r w:rsidRPr="00FA54ED">
        <w:rPr>
          <w:rFonts w:ascii="Times New Roman" w:hAnsi="Times New Roman" w:cs="Times New Roman"/>
          <w:bCs/>
          <w:i/>
          <w:lang w:val="en-GB"/>
        </w:rPr>
        <w:t>observations</w:t>
      </w:r>
      <w:r w:rsidRPr="00FA54ED">
        <w:rPr>
          <w:rFonts w:ascii="Times New Roman" w:hAnsi="Times New Roman" w:cs="Times New Roman"/>
          <w:lang w:val="en-GB"/>
        </w:rPr>
        <w:t xml:space="preserve"> will </w:t>
      </w:r>
      <w:r w:rsidRPr="00FA54ED">
        <w:rPr>
          <w:rFonts w:ascii="Times New Roman" w:hAnsi="Times New Roman" w:cs="Times New Roman"/>
          <w:bCs/>
          <w:i/>
          <w:lang w:val="en-GB"/>
        </w:rPr>
        <w:t>focus on §</w:t>
      </w:r>
      <w:r w:rsidR="003732F6" w:rsidRPr="00FA54ED">
        <w:rPr>
          <w:rFonts w:ascii="Times New Roman" w:hAnsi="Times New Roman" w:cs="Times New Roman"/>
          <w:bCs/>
          <w:i/>
          <w:lang w:val="en-GB"/>
        </w:rPr>
        <w:t> </w:t>
      </w:r>
      <w:r w:rsidRPr="00FA54ED">
        <w:rPr>
          <w:rFonts w:ascii="Times New Roman" w:hAnsi="Times New Roman" w:cs="Times New Roman"/>
          <w:bCs/>
          <w:i/>
          <w:lang w:val="en-GB"/>
        </w:rPr>
        <w:t>4(1)(2) Cartel Act and on §</w:t>
      </w:r>
      <w:r w:rsidR="003732F6" w:rsidRPr="00FA54ED">
        <w:rPr>
          <w:rFonts w:ascii="Times New Roman" w:hAnsi="Times New Roman" w:cs="Times New Roman"/>
          <w:bCs/>
          <w:i/>
          <w:lang w:val="en-GB"/>
        </w:rPr>
        <w:t> </w:t>
      </w:r>
      <w:r w:rsidRPr="00FA54ED">
        <w:rPr>
          <w:rFonts w:ascii="Times New Roman" w:hAnsi="Times New Roman" w:cs="Times New Roman"/>
          <w:bCs/>
          <w:i/>
          <w:lang w:val="en-GB"/>
        </w:rPr>
        <w:t>4a Cartel Act</w:t>
      </w:r>
      <w:r w:rsidRPr="00FA54ED">
        <w:rPr>
          <w:rFonts w:ascii="Times New Roman" w:hAnsi="Times New Roman" w:cs="Times New Roman"/>
          <w:lang w:val="en-GB"/>
        </w:rPr>
        <w:t xml:space="preserve">. The question to be answered is to what extent these provisions have contributed to ensure the functioning of the competitive process. </w:t>
      </w:r>
    </w:p>
    <w:p w14:paraId="22D088B7" w14:textId="3243F1A5" w:rsidR="001C0F68" w:rsidRPr="00FA54ED" w:rsidRDefault="005430E7" w:rsidP="009A2A10">
      <w:pPr>
        <w:pStyle w:val="Stext"/>
        <w:rPr>
          <w:rFonts w:ascii="Times New Roman" w:hAnsi="Times New Roman" w:cs="Times New Roman"/>
          <w:lang w:val="en-GB"/>
        </w:rPr>
      </w:pPr>
      <w:r w:rsidRPr="00FA54ED">
        <w:rPr>
          <w:rFonts w:ascii="Times New Roman" w:hAnsi="Times New Roman" w:cs="Times New Roman"/>
          <w:lang w:val="en-GB"/>
        </w:rPr>
        <w:t xml:space="preserve">This question is particularly pertinent as, historically, </w:t>
      </w:r>
      <w:r w:rsidR="001C0F68" w:rsidRPr="00FA54ED">
        <w:rPr>
          <w:rFonts w:ascii="Times New Roman" w:hAnsi="Times New Roman" w:cs="Times New Roman"/>
          <w:lang w:val="en-GB"/>
        </w:rPr>
        <w:t xml:space="preserve">the rules on relative market power have been introduced into Austrian law not </w:t>
      </w:r>
      <w:proofErr w:type="gramStart"/>
      <w:r w:rsidR="001C0F68" w:rsidRPr="00FA54ED">
        <w:rPr>
          <w:rFonts w:ascii="Times New Roman" w:hAnsi="Times New Roman" w:cs="Times New Roman"/>
          <w:lang w:val="en-GB"/>
        </w:rPr>
        <w:t>as a means to</w:t>
      </w:r>
      <w:proofErr w:type="gramEnd"/>
      <w:r w:rsidR="001C0F68" w:rsidRPr="00FA54ED">
        <w:rPr>
          <w:rFonts w:ascii="Times New Roman" w:hAnsi="Times New Roman" w:cs="Times New Roman"/>
          <w:lang w:val="en-GB"/>
        </w:rPr>
        <w:t xml:space="preserve"> preserve the competitive process but rather as an instrument to </w:t>
      </w:r>
      <w:r w:rsidR="000C69CA" w:rsidRPr="00FA54ED">
        <w:rPr>
          <w:rFonts w:ascii="Times New Roman" w:hAnsi="Times New Roman" w:cs="Times New Roman"/>
          <w:lang w:val="en-GB"/>
        </w:rPr>
        <w:t>cure exploitation. In the preparatory materials to the 1988 amendment to the Cartel Act, the legislator explicitly stated that the new rules shall provide a substitute to the working of competition. If an undertaking, because of its relative market power (be</w:t>
      </w:r>
      <w:r w:rsidRPr="00FA54ED">
        <w:rPr>
          <w:rFonts w:ascii="Times New Roman" w:hAnsi="Times New Roman" w:cs="Times New Roman"/>
          <w:lang w:val="en-GB"/>
        </w:rPr>
        <w:t xml:space="preserve"> i</w:t>
      </w:r>
      <w:r w:rsidR="000C69CA" w:rsidRPr="00FA54ED">
        <w:rPr>
          <w:rFonts w:ascii="Times New Roman" w:hAnsi="Times New Roman" w:cs="Times New Roman"/>
          <w:lang w:val="en-GB"/>
        </w:rPr>
        <w:t xml:space="preserve">t horizontally vis-à-vis certain suppliers or vertically, vis-à-vis suppliers or customers), is able to impose its will in an objectively unjustified manner upon its business partners, the </w:t>
      </w:r>
      <w:r w:rsidRPr="00FA54ED">
        <w:rPr>
          <w:rFonts w:ascii="Times New Roman" w:hAnsi="Times New Roman" w:cs="Times New Roman"/>
          <w:lang w:val="en-GB"/>
        </w:rPr>
        <w:t>C</w:t>
      </w:r>
      <w:r w:rsidR="000C69CA" w:rsidRPr="00FA54ED">
        <w:rPr>
          <w:rFonts w:ascii="Times New Roman" w:hAnsi="Times New Roman" w:cs="Times New Roman"/>
          <w:lang w:val="en-GB"/>
        </w:rPr>
        <w:t xml:space="preserve">artel </w:t>
      </w:r>
      <w:r w:rsidRPr="00FA54ED">
        <w:rPr>
          <w:rFonts w:ascii="Times New Roman" w:hAnsi="Times New Roman" w:cs="Times New Roman"/>
          <w:lang w:val="en-GB"/>
        </w:rPr>
        <w:t>C</w:t>
      </w:r>
      <w:r w:rsidR="000C69CA" w:rsidRPr="00FA54ED">
        <w:rPr>
          <w:rFonts w:ascii="Times New Roman" w:hAnsi="Times New Roman" w:cs="Times New Roman"/>
          <w:lang w:val="en-GB"/>
        </w:rPr>
        <w:t xml:space="preserve">ourt </w:t>
      </w:r>
      <w:r w:rsidR="007A4E5B" w:rsidRPr="00FA54ED">
        <w:rPr>
          <w:rFonts w:ascii="Times New Roman" w:hAnsi="Times New Roman" w:cs="Times New Roman"/>
          <w:lang w:val="en-GB"/>
        </w:rPr>
        <w:t xml:space="preserve">shall be able to intervene. This is a fundamentally </w:t>
      </w:r>
      <w:r w:rsidRPr="00FA54ED">
        <w:rPr>
          <w:rFonts w:ascii="Times New Roman" w:hAnsi="Times New Roman" w:cs="Times New Roman"/>
          <w:lang w:val="en-GB"/>
        </w:rPr>
        <w:t xml:space="preserve">different </w:t>
      </w:r>
      <w:r w:rsidR="007A4E5B" w:rsidRPr="00FA54ED">
        <w:rPr>
          <w:rFonts w:ascii="Times New Roman" w:hAnsi="Times New Roman" w:cs="Times New Roman"/>
          <w:lang w:val="en-GB"/>
        </w:rPr>
        <w:t>starting point to "pure" competition law thinking. Nevertheless, it is of cour</w:t>
      </w:r>
      <w:r w:rsidR="00FA54ED">
        <w:rPr>
          <w:rFonts w:ascii="Times New Roman" w:hAnsi="Times New Roman" w:cs="Times New Roman"/>
          <w:lang w:val="en-GB"/>
        </w:rPr>
        <w:t>se possible (and shall be analys</w:t>
      </w:r>
      <w:r w:rsidR="007A4E5B" w:rsidRPr="00FA54ED">
        <w:rPr>
          <w:rFonts w:ascii="Times New Roman" w:hAnsi="Times New Roman" w:cs="Times New Roman"/>
          <w:lang w:val="en-GB"/>
        </w:rPr>
        <w:t xml:space="preserve">ed in the following) that, while the starting point may differ, the result (protection of competition) </w:t>
      </w:r>
      <w:r w:rsidRPr="00FA54ED">
        <w:rPr>
          <w:rFonts w:ascii="Times New Roman" w:hAnsi="Times New Roman" w:cs="Times New Roman"/>
          <w:lang w:val="en-GB"/>
        </w:rPr>
        <w:t xml:space="preserve">is </w:t>
      </w:r>
      <w:r w:rsidR="007A4E5B" w:rsidRPr="00FA54ED">
        <w:rPr>
          <w:rFonts w:ascii="Times New Roman" w:hAnsi="Times New Roman" w:cs="Times New Roman"/>
          <w:lang w:val="en-GB"/>
        </w:rPr>
        <w:t xml:space="preserve">still the same. </w:t>
      </w:r>
    </w:p>
    <w:p w14:paraId="03A8FCAA" w14:textId="36925863" w:rsidR="007A4E5B" w:rsidRPr="00FA54ED" w:rsidRDefault="005430E7" w:rsidP="009A2A10">
      <w:pPr>
        <w:pStyle w:val="Stext"/>
        <w:rPr>
          <w:rFonts w:ascii="Times New Roman" w:hAnsi="Times New Roman" w:cs="Times New Roman"/>
          <w:lang w:val="en-GB"/>
        </w:rPr>
      </w:pPr>
      <w:r w:rsidRPr="00FA54ED">
        <w:rPr>
          <w:rFonts w:ascii="Times New Roman" w:hAnsi="Times New Roman" w:cs="Times New Roman"/>
          <w:lang w:val="en-GB"/>
        </w:rPr>
        <w:t>M</w:t>
      </w:r>
      <w:r w:rsidR="007A4E5B" w:rsidRPr="00FA54ED">
        <w:rPr>
          <w:rFonts w:ascii="Times New Roman" w:hAnsi="Times New Roman" w:cs="Times New Roman"/>
          <w:lang w:val="en-GB"/>
        </w:rPr>
        <w:t xml:space="preserve">uch of the above discussion found its way into the </w:t>
      </w:r>
      <w:r w:rsidR="007A4E5B" w:rsidRPr="00FA54ED">
        <w:rPr>
          <w:rFonts w:ascii="Times New Roman" w:hAnsi="Times New Roman" w:cs="Times New Roman"/>
          <w:bCs/>
          <w:i/>
          <w:lang w:val="en-GB"/>
        </w:rPr>
        <w:t>2024 evaluation of Regulation 1/2003</w:t>
      </w:r>
      <w:r w:rsidR="007A4E5B" w:rsidRPr="00FA54ED">
        <w:rPr>
          <w:rFonts w:ascii="Times New Roman" w:hAnsi="Times New Roman" w:cs="Times New Roman"/>
          <w:lang w:val="en-GB"/>
        </w:rPr>
        <w:t xml:space="preserve"> by the EU Commission. In its evaluation (Commission Staff Working Document SWD (2024) 217 final of 5 September 2024, at pp 234) the Commission reports that the convergen</w:t>
      </w:r>
      <w:r w:rsidRPr="00FA54ED">
        <w:rPr>
          <w:rFonts w:ascii="Times New Roman" w:hAnsi="Times New Roman" w:cs="Times New Roman"/>
          <w:lang w:val="en-GB"/>
        </w:rPr>
        <w:t>ce</w:t>
      </w:r>
      <w:r w:rsidR="007A4E5B" w:rsidRPr="00FA54ED">
        <w:rPr>
          <w:rFonts w:ascii="Times New Roman" w:hAnsi="Times New Roman" w:cs="Times New Roman"/>
          <w:lang w:val="en-GB"/>
        </w:rPr>
        <w:t xml:space="preserve"> rule concerning the application of stricter national laws on unilateral conduct in Article 3(2)(2) of Regulation 1/2003 have received critical feedback from a number of stakeholders. Several company representatives and lawyers pointed out that different national rules or legal tests in relation to unilateral conduct pose challenges from </w:t>
      </w:r>
      <w:r w:rsidR="00B00DC0" w:rsidRPr="00FA54ED">
        <w:rPr>
          <w:rFonts w:ascii="Times New Roman" w:hAnsi="Times New Roman" w:cs="Times New Roman"/>
          <w:lang w:val="en-GB"/>
        </w:rPr>
        <w:t>a</w:t>
      </w:r>
      <w:r w:rsidRPr="00FA54ED">
        <w:rPr>
          <w:rFonts w:ascii="Times New Roman" w:hAnsi="Times New Roman" w:cs="Times New Roman"/>
          <w:lang w:val="en-GB"/>
        </w:rPr>
        <w:t xml:space="preserve"> level </w:t>
      </w:r>
      <w:r w:rsidR="007A4E5B" w:rsidRPr="00FA54ED">
        <w:rPr>
          <w:rFonts w:ascii="Times New Roman" w:hAnsi="Times New Roman" w:cs="Times New Roman"/>
          <w:lang w:val="en-GB"/>
        </w:rPr>
        <w:t>playing field perspective.</w:t>
      </w:r>
      <w:r w:rsidR="00B00DC0" w:rsidRPr="00FA54ED">
        <w:rPr>
          <w:rFonts w:ascii="Times New Roman" w:hAnsi="Times New Roman" w:cs="Times New Roman"/>
          <w:lang w:val="en-GB"/>
        </w:rPr>
        <w:t xml:space="preserve"> They observed an evolving proliferation of stricter national rules and new competition tools with different legal requirements that may lead to diverging outcomes across the internal market and legal uncertainty for undertakings operating cross-border. Allegedly</w:t>
      </w:r>
      <w:r w:rsidR="003D650A" w:rsidRPr="00FA54ED">
        <w:rPr>
          <w:rFonts w:ascii="Times New Roman" w:hAnsi="Times New Roman" w:cs="Times New Roman"/>
          <w:lang w:val="en-GB"/>
        </w:rPr>
        <w:t xml:space="preserve">, there </w:t>
      </w:r>
      <w:r w:rsidR="003D650A" w:rsidRPr="00FA54ED">
        <w:rPr>
          <w:rFonts w:ascii="Times New Roman" w:hAnsi="Times New Roman" w:cs="Times New Roman"/>
          <w:lang w:val="en-GB"/>
        </w:rPr>
        <w:lastRenderedPageBreak/>
        <w:t>is a need for harmonizing Member States</w:t>
      </w:r>
      <w:r w:rsidRPr="00FA54ED">
        <w:rPr>
          <w:rFonts w:ascii="Times New Roman" w:hAnsi="Times New Roman" w:cs="Times New Roman"/>
          <w:lang w:val="en-GB"/>
        </w:rPr>
        <w:t>'</w:t>
      </w:r>
      <w:r w:rsidR="003D650A" w:rsidRPr="00FA54ED">
        <w:rPr>
          <w:rFonts w:ascii="Times New Roman" w:hAnsi="Times New Roman" w:cs="Times New Roman"/>
          <w:lang w:val="en-GB"/>
        </w:rPr>
        <w:t xml:space="preserve"> laws on unilateral behavio</w:t>
      </w:r>
      <w:r w:rsidR="00FA54ED">
        <w:rPr>
          <w:rFonts w:ascii="Times New Roman" w:hAnsi="Times New Roman" w:cs="Times New Roman"/>
          <w:lang w:val="en-GB"/>
        </w:rPr>
        <w:t>u</w:t>
      </w:r>
      <w:r w:rsidR="003D650A" w:rsidRPr="00FA54ED">
        <w:rPr>
          <w:rFonts w:ascii="Times New Roman" w:hAnsi="Times New Roman" w:cs="Times New Roman"/>
          <w:lang w:val="en-GB"/>
        </w:rPr>
        <w:t>r in order to promote the internal market, be</w:t>
      </w:r>
      <w:r w:rsidRPr="00FA54ED">
        <w:rPr>
          <w:rFonts w:ascii="Times New Roman" w:hAnsi="Times New Roman" w:cs="Times New Roman"/>
          <w:lang w:val="en-GB"/>
        </w:rPr>
        <w:t xml:space="preserve"> i</w:t>
      </w:r>
      <w:r w:rsidR="003D650A" w:rsidRPr="00FA54ED">
        <w:rPr>
          <w:rFonts w:ascii="Times New Roman" w:hAnsi="Times New Roman" w:cs="Times New Roman"/>
          <w:lang w:val="en-GB"/>
        </w:rPr>
        <w:t>t under Article</w:t>
      </w:r>
      <w:r w:rsidR="00E872CE" w:rsidRPr="00FA54ED">
        <w:rPr>
          <w:rFonts w:ascii="Times New Roman" w:hAnsi="Times New Roman" w:cs="Times New Roman"/>
          <w:lang w:val="en-GB"/>
        </w:rPr>
        <w:t xml:space="preserve"> </w:t>
      </w:r>
      <w:r w:rsidR="003D650A" w:rsidRPr="00FA54ED">
        <w:rPr>
          <w:rFonts w:ascii="Times New Roman" w:hAnsi="Times New Roman" w:cs="Times New Roman"/>
          <w:lang w:val="en-GB"/>
        </w:rPr>
        <w:t xml:space="preserve">103 TFEU or under Article 114 TFEU. </w:t>
      </w:r>
    </w:p>
    <w:p w14:paraId="45570719" w14:textId="5349DAAD" w:rsidR="00DF63AC" w:rsidRPr="00FA54ED" w:rsidRDefault="005430E7" w:rsidP="009A2A10">
      <w:pPr>
        <w:pStyle w:val="Stext"/>
        <w:rPr>
          <w:rFonts w:ascii="Times New Roman" w:hAnsi="Times New Roman" w:cs="Times New Roman"/>
          <w:lang w:val="en-GB"/>
        </w:rPr>
      </w:pPr>
      <w:r w:rsidRPr="00FA54ED">
        <w:rPr>
          <w:rFonts w:ascii="Times New Roman" w:hAnsi="Times New Roman" w:cs="Times New Roman"/>
          <w:lang w:val="en-GB"/>
        </w:rPr>
        <w:t xml:space="preserve">Also </w:t>
      </w:r>
      <w:r w:rsidR="003D650A" w:rsidRPr="00FA54ED">
        <w:rPr>
          <w:rFonts w:ascii="Times New Roman" w:hAnsi="Times New Roman" w:cs="Times New Roman"/>
          <w:lang w:val="en-GB"/>
        </w:rPr>
        <w:t>from a</w:t>
      </w:r>
      <w:r w:rsidRPr="00FA54ED">
        <w:rPr>
          <w:rFonts w:ascii="Times New Roman" w:hAnsi="Times New Roman" w:cs="Times New Roman"/>
          <w:lang w:val="en-GB"/>
        </w:rPr>
        <w:t>n</w:t>
      </w:r>
      <w:r w:rsidR="003D650A" w:rsidRPr="00FA54ED">
        <w:rPr>
          <w:rFonts w:ascii="Times New Roman" w:hAnsi="Times New Roman" w:cs="Times New Roman"/>
          <w:lang w:val="en-GB"/>
        </w:rPr>
        <w:t xml:space="preserve"> </w:t>
      </w:r>
      <w:r w:rsidR="003D650A" w:rsidRPr="00FA54ED">
        <w:rPr>
          <w:rFonts w:ascii="Times New Roman" w:hAnsi="Times New Roman" w:cs="Times New Roman"/>
          <w:bCs/>
          <w:i/>
          <w:lang w:val="en-GB"/>
        </w:rPr>
        <w:t>economic perspective</w:t>
      </w:r>
      <w:r w:rsidR="003D650A" w:rsidRPr="00FA54ED">
        <w:rPr>
          <w:rFonts w:ascii="Times New Roman" w:hAnsi="Times New Roman" w:cs="Times New Roman"/>
          <w:lang w:val="en-GB"/>
        </w:rPr>
        <w:t>, stricter national law on unilateral conduct</w:t>
      </w:r>
      <w:r w:rsidRPr="00FA54ED">
        <w:rPr>
          <w:rFonts w:ascii="Times New Roman" w:hAnsi="Times New Roman" w:cs="Times New Roman"/>
          <w:lang w:val="en-GB"/>
        </w:rPr>
        <w:t>,</w:t>
      </w:r>
      <w:r w:rsidR="003D650A" w:rsidRPr="00FA54ED">
        <w:rPr>
          <w:rFonts w:ascii="Times New Roman" w:hAnsi="Times New Roman" w:cs="Times New Roman"/>
          <w:lang w:val="en-GB"/>
        </w:rPr>
        <w:t xml:space="preserve"> as compared with Article 102 TFEU</w:t>
      </w:r>
      <w:r w:rsidRPr="00FA54ED">
        <w:rPr>
          <w:rFonts w:ascii="Times New Roman" w:hAnsi="Times New Roman" w:cs="Times New Roman"/>
          <w:lang w:val="en-GB"/>
        </w:rPr>
        <w:t>,</w:t>
      </w:r>
      <w:r w:rsidR="003D650A" w:rsidRPr="00FA54ED">
        <w:rPr>
          <w:rFonts w:ascii="Times New Roman" w:hAnsi="Times New Roman" w:cs="Times New Roman"/>
          <w:lang w:val="en-GB"/>
        </w:rPr>
        <w:t xml:space="preserve"> is</w:t>
      </w:r>
      <w:r w:rsidRPr="00FA54ED">
        <w:rPr>
          <w:rFonts w:ascii="Times New Roman" w:hAnsi="Times New Roman" w:cs="Times New Roman"/>
          <w:lang w:val="en-GB"/>
        </w:rPr>
        <w:t xml:space="preserve"> ambivale</w:t>
      </w:r>
      <w:r w:rsidR="00DF63AC" w:rsidRPr="00FA54ED">
        <w:rPr>
          <w:rFonts w:ascii="Times New Roman" w:hAnsi="Times New Roman" w:cs="Times New Roman"/>
          <w:lang w:val="en-GB"/>
        </w:rPr>
        <w:t>nt</w:t>
      </w:r>
      <w:r w:rsidR="001F253F" w:rsidRPr="00FA54ED">
        <w:rPr>
          <w:rFonts w:ascii="Times New Roman" w:hAnsi="Times New Roman" w:cs="Times New Roman"/>
          <w:lang w:val="en-GB"/>
        </w:rPr>
        <w:t>.</w:t>
      </w:r>
      <w:r w:rsidR="0060045F" w:rsidRPr="00FA54ED">
        <w:rPr>
          <w:rFonts w:ascii="Times New Roman" w:hAnsi="Times New Roman" w:cs="Times New Roman"/>
          <w:lang w:val="en-GB"/>
        </w:rPr>
        <w:t xml:space="preserve"> </w:t>
      </w:r>
      <w:r w:rsidR="001F253F" w:rsidRPr="00FA54ED">
        <w:rPr>
          <w:rFonts w:ascii="Times New Roman" w:hAnsi="Times New Roman" w:cs="Times New Roman"/>
          <w:lang w:val="en-GB"/>
        </w:rPr>
        <w:t xml:space="preserve">On the </w:t>
      </w:r>
      <w:r w:rsidR="00DF63AC" w:rsidRPr="00FA54ED">
        <w:rPr>
          <w:rFonts w:ascii="Times New Roman" w:hAnsi="Times New Roman" w:cs="Times New Roman"/>
          <w:lang w:val="en-GB"/>
        </w:rPr>
        <w:t xml:space="preserve">one </w:t>
      </w:r>
      <w:r w:rsidR="001F253F" w:rsidRPr="00FA54ED">
        <w:rPr>
          <w:rFonts w:ascii="Times New Roman" w:hAnsi="Times New Roman" w:cs="Times New Roman"/>
          <w:lang w:val="en-GB"/>
        </w:rPr>
        <w:t xml:space="preserve">hand, the recent </w:t>
      </w:r>
      <w:r w:rsidR="00DF63AC" w:rsidRPr="00FA54ED">
        <w:rPr>
          <w:rFonts w:ascii="Times New Roman" w:hAnsi="Times New Roman" w:cs="Times New Roman"/>
          <w:lang w:val="en-GB"/>
        </w:rPr>
        <w:t>E</w:t>
      </w:r>
      <w:r w:rsidR="001F253F" w:rsidRPr="00FA54ED">
        <w:rPr>
          <w:rFonts w:ascii="Times New Roman" w:hAnsi="Times New Roman" w:cs="Times New Roman"/>
          <w:lang w:val="en-GB"/>
        </w:rPr>
        <w:t>CJ case law in abuse cases indicates that the burden of proof for competition authorities to find an infringement of Article</w:t>
      </w:r>
      <w:r w:rsidR="00E872CE" w:rsidRPr="00FA54ED">
        <w:rPr>
          <w:rFonts w:ascii="Times New Roman" w:hAnsi="Times New Roman" w:cs="Times New Roman"/>
          <w:lang w:val="en-GB"/>
        </w:rPr>
        <w:t xml:space="preserve"> </w:t>
      </w:r>
      <w:r w:rsidR="001F253F" w:rsidRPr="00FA54ED">
        <w:rPr>
          <w:rFonts w:ascii="Times New Roman" w:hAnsi="Times New Roman" w:cs="Times New Roman"/>
          <w:lang w:val="en-GB"/>
        </w:rPr>
        <w:t>102 TFEU is quite high, which (according to some commentators) might lead to underenforcement. Stricter national rules (for instance with regard to the finding of dominance, the definition of abus</w:t>
      </w:r>
      <w:r w:rsidR="00DF63AC" w:rsidRPr="00FA54ED">
        <w:rPr>
          <w:rFonts w:ascii="Times New Roman" w:hAnsi="Times New Roman" w:cs="Times New Roman"/>
          <w:lang w:val="en-GB"/>
        </w:rPr>
        <w:t>ive</w:t>
      </w:r>
      <w:r w:rsidR="001F253F" w:rsidRPr="00FA54ED">
        <w:rPr>
          <w:rFonts w:ascii="Times New Roman" w:hAnsi="Times New Roman" w:cs="Times New Roman"/>
          <w:lang w:val="en-GB"/>
        </w:rPr>
        <w:t xml:space="preserve"> behavio</w:t>
      </w:r>
      <w:r w:rsidR="00FA54ED">
        <w:rPr>
          <w:rFonts w:ascii="Times New Roman" w:hAnsi="Times New Roman" w:cs="Times New Roman"/>
          <w:lang w:val="en-GB"/>
        </w:rPr>
        <w:t>u</w:t>
      </w:r>
      <w:r w:rsidR="001F253F" w:rsidRPr="00FA54ED">
        <w:rPr>
          <w:rFonts w:ascii="Times New Roman" w:hAnsi="Times New Roman" w:cs="Times New Roman"/>
          <w:lang w:val="en-GB"/>
        </w:rPr>
        <w:t xml:space="preserve">r, or the level of proof) might help to overcome such deficiencies. </w:t>
      </w:r>
    </w:p>
    <w:p w14:paraId="4F5E3C64" w14:textId="55855859" w:rsidR="00DF63AC" w:rsidRPr="00FA54ED" w:rsidRDefault="001F253F" w:rsidP="009A2A10">
      <w:pPr>
        <w:pStyle w:val="Stext"/>
        <w:rPr>
          <w:rFonts w:ascii="Times New Roman" w:hAnsi="Times New Roman" w:cs="Times New Roman"/>
          <w:lang w:val="en-GB"/>
        </w:rPr>
      </w:pPr>
      <w:r w:rsidRPr="00FA54ED">
        <w:rPr>
          <w:rFonts w:ascii="Times New Roman" w:hAnsi="Times New Roman" w:cs="Times New Roman"/>
          <w:lang w:val="en-GB"/>
        </w:rPr>
        <w:t xml:space="preserve">On the other hand, it </w:t>
      </w:r>
      <w:r w:rsidR="00DF63AC" w:rsidRPr="00FA54ED">
        <w:rPr>
          <w:rFonts w:ascii="Times New Roman" w:hAnsi="Times New Roman" w:cs="Times New Roman"/>
          <w:lang w:val="en-GB"/>
        </w:rPr>
        <w:t xml:space="preserve">has been </w:t>
      </w:r>
      <w:r w:rsidRPr="00FA54ED">
        <w:rPr>
          <w:rFonts w:ascii="Times New Roman" w:hAnsi="Times New Roman" w:cs="Times New Roman"/>
          <w:lang w:val="en-GB"/>
        </w:rPr>
        <w:t xml:space="preserve">observed that stricter national rules </w:t>
      </w:r>
      <w:r w:rsidR="00DF63AC" w:rsidRPr="00FA54ED">
        <w:rPr>
          <w:rFonts w:ascii="Times New Roman" w:hAnsi="Times New Roman" w:cs="Times New Roman"/>
          <w:lang w:val="en-GB"/>
        </w:rPr>
        <w:t>on unilateral behavio</w:t>
      </w:r>
      <w:r w:rsidR="00FA54ED">
        <w:rPr>
          <w:rFonts w:ascii="Times New Roman" w:hAnsi="Times New Roman" w:cs="Times New Roman"/>
          <w:lang w:val="en-GB"/>
        </w:rPr>
        <w:t>u</w:t>
      </w:r>
      <w:r w:rsidR="00DF63AC" w:rsidRPr="00FA54ED">
        <w:rPr>
          <w:rFonts w:ascii="Times New Roman" w:hAnsi="Times New Roman" w:cs="Times New Roman"/>
          <w:lang w:val="en-GB"/>
        </w:rPr>
        <w:t xml:space="preserve">r </w:t>
      </w:r>
      <w:r w:rsidRPr="00FA54ED">
        <w:rPr>
          <w:rFonts w:ascii="Times New Roman" w:hAnsi="Times New Roman" w:cs="Times New Roman"/>
          <w:lang w:val="en-GB"/>
        </w:rPr>
        <w:t>tend</w:t>
      </w:r>
      <w:r w:rsidR="00DF63AC" w:rsidRPr="00FA54ED">
        <w:rPr>
          <w:rFonts w:ascii="Times New Roman" w:hAnsi="Times New Roman" w:cs="Times New Roman"/>
          <w:lang w:val="en-GB"/>
        </w:rPr>
        <w:t xml:space="preserve"> </w:t>
      </w:r>
      <w:r w:rsidRPr="00FA54ED">
        <w:rPr>
          <w:rFonts w:ascii="Times New Roman" w:hAnsi="Times New Roman" w:cs="Times New Roman"/>
          <w:lang w:val="en-GB"/>
        </w:rPr>
        <w:t>to protect competitors rather than competition. In economic terminology, the selective process</w:t>
      </w:r>
      <w:r w:rsidR="00763807" w:rsidRPr="00FA54ED">
        <w:rPr>
          <w:rFonts w:ascii="Times New Roman" w:hAnsi="Times New Roman" w:cs="Times New Roman"/>
          <w:lang w:val="en-GB"/>
        </w:rPr>
        <w:t>,</w:t>
      </w:r>
      <w:r w:rsidRPr="00FA54ED">
        <w:rPr>
          <w:rFonts w:ascii="Times New Roman" w:hAnsi="Times New Roman" w:cs="Times New Roman"/>
          <w:lang w:val="en-GB"/>
        </w:rPr>
        <w:t xml:space="preserve"> which is crucial for a </w:t>
      </w:r>
      <w:r w:rsidR="00DF63AC" w:rsidRPr="00FA54ED">
        <w:rPr>
          <w:rFonts w:ascii="Times New Roman" w:hAnsi="Times New Roman" w:cs="Times New Roman"/>
          <w:lang w:val="en-GB"/>
        </w:rPr>
        <w:t>free-market</w:t>
      </w:r>
      <w:r w:rsidRPr="00FA54ED">
        <w:rPr>
          <w:rFonts w:ascii="Times New Roman" w:hAnsi="Times New Roman" w:cs="Times New Roman"/>
          <w:lang w:val="en-GB"/>
        </w:rPr>
        <w:t xml:space="preserve"> economy to produce the best outcome for consumers </w:t>
      </w:r>
      <w:r w:rsidR="0013727F" w:rsidRPr="00FA54ED">
        <w:rPr>
          <w:rFonts w:ascii="Times New Roman" w:hAnsi="Times New Roman" w:cs="Times New Roman"/>
          <w:lang w:val="en-GB"/>
        </w:rPr>
        <w:t>and</w:t>
      </w:r>
      <w:r w:rsidRPr="00FA54ED">
        <w:rPr>
          <w:rFonts w:ascii="Times New Roman" w:hAnsi="Times New Roman" w:cs="Times New Roman"/>
          <w:lang w:val="en-GB"/>
        </w:rPr>
        <w:t xml:space="preserve"> business</w:t>
      </w:r>
      <w:r w:rsidR="00763807" w:rsidRPr="00FA54ED">
        <w:rPr>
          <w:rFonts w:ascii="Times New Roman" w:hAnsi="Times New Roman" w:cs="Times New Roman"/>
          <w:lang w:val="en-GB"/>
        </w:rPr>
        <w:t>es</w:t>
      </w:r>
      <w:r w:rsidRPr="00FA54ED">
        <w:rPr>
          <w:rFonts w:ascii="Times New Roman" w:hAnsi="Times New Roman" w:cs="Times New Roman"/>
          <w:lang w:val="en-GB"/>
        </w:rPr>
        <w:t xml:space="preserve"> alike</w:t>
      </w:r>
      <w:r w:rsidR="00763807" w:rsidRPr="00FA54ED">
        <w:rPr>
          <w:rFonts w:ascii="Times New Roman" w:hAnsi="Times New Roman" w:cs="Times New Roman"/>
          <w:lang w:val="en-GB"/>
        </w:rPr>
        <w:t>,</w:t>
      </w:r>
      <w:r w:rsidRPr="00FA54ED">
        <w:rPr>
          <w:rFonts w:ascii="Times New Roman" w:hAnsi="Times New Roman" w:cs="Times New Roman"/>
          <w:lang w:val="en-GB"/>
        </w:rPr>
        <w:t xml:space="preserve"> </w:t>
      </w:r>
      <w:r w:rsidR="00F174F9" w:rsidRPr="00FA54ED">
        <w:rPr>
          <w:rFonts w:ascii="Times New Roman" w:hAnsi="Times New Roman" w:cs="Times New Roman"/>
          <w:lang w:val="en-GB"/>
        </w:rPr>
        <w:t>is obstructed. While,</w:t>
      </w:r>
      <w:r w:rsidR="0013727F" w:rsidRPr="00FA54ED">
        <w:rPr>
          <w:rFonts w:ascii="Times New Roman" w:hAnsi="Times New Roman" w:cs="Times New Roman"/>
          <w:lang w:val="en-GB"/>
        </w:rPr>
        <w:t xml:space="preserve"> in </w:t>
      </w:r>
      <w:r w:rsidR="00DF63AC" w:rsidRPr="00FA54ED">
        <w:rPr>
          <w:rFonts w:ascii="Times New Roman" w:hAnsi="Times New Roman" w:cs="Times New Roman"/>
          <w:lang w:val="en-GB"/>
        </w:rPr>
        <w:t>the</w:t>
      </w:r>
      <w:r w:rsidR="0013727F" w:rsidRPr="00FA54ED">
        <w:rPr>
          <w:rFonts w:ascii="Times New Roman" w:hAnsi="Times New Roman" w:cs="Times New Roman"/>
          <w:lang w:val="en-GB"/>
        </w:rPr>
        <w:t xml:space="preserve"> short</w:t>
      </w:r>
      <w:r w:rsidR="00DF63AC" w:rsidRPr="00FA54ED">
        <w:rPr>
          <w:rFonts w:ascii="Times New Roman" w:hAnsi="Times New Roman" w:cs="Times New Roman"/>
          <w:lang w:val="en-GB"/>
        </w:rPr>
        <w:t xml:space="preserve"> run</w:t>
      </w:r>
      <w:r w:rsidR="0013727F" w:rsidRPr="00FA54ED">
        <w:rPr>
          <w:rFonts w:ascii="Times New Roman" w:hAnsi="Times New Roman" w:cs="Times New Roman"/>
          <w:lang w:val="en-GB"/>
        </w:rPr>
        <w:t>, this may seem to be beneficial (at least for the protected competitors), the competitive process might be harmed in the longer run. Further, overly strict national rules against unilateral behavio</w:t>
      </w:r>
      <w:r w:rsidR="00FA54ED">
        <w:rPr>
          <w:rFonts w:ascii="Times New Roman" w:hAnsi="Times New Roman" w:cs="Times New Roman"/>
          <w:lang w:val="en-GB"/>
        </w:rPr>
        <w:t>u</w:t>
      </w:r>
      <w:r w:rsidR="0013727F" w:rsidRPr="00FA54ED">
        <w:rPr>
          <w:rFonts w:ascii="Times New Roman" w:hAnsi="Times New Roman" w:cs="Times New Roman"/>
          <w:lang w:val="en-GB"/>
        </w:rPr>
        <w:t>r may restrict the ability or incentive of companies with significant market power to innovate, which is also not in the consumer</w:t>
      </w:r>
      <w:r w:rsidR="00DF63AC" w:rsidRPr="00FA54ED">
        <w:rPr>
          <w:rFonts w:ascii="Times New Roman" w:hAnsi="Times New Roman" w:cs="Times New Roman"/>
          <w:lang w:val="en-GB"/>
        </w:rPr>
        <w:t>s'</w:t>
      </w:r>
      <w:r w:rsidR="0013727F" w:rsidRPr="00FA54ED">
        <w:rPr>
          <w:rFonts w:ascii="Times New Roman" w:hAnsi="Times New Roman" w:cs="Times New Roman"/>
          <w:lang w:val="en-GB"/>
        </w:rPr>
        <w:t xml:space="preserve"> interest. To put it bluntly, overenforcement </w:t>
      </w:r>
      <w:r w:rsidR="00DF63AC" w:rsidRPr="00FA54ED">
        <w:rPr>
          <w:rFonts w:ascii="Times New Roman" w:hAnsi="Times New Roman" w:cs="Times New Roman"/>
          <w:lang w:val="en-GB"/>
        </w:rPr>
        <w:t xml:space="preserve">of antitrust law </w:t>
      </w:r>
      <w:r w:rsidR="0013727F" w:rsidRPr="00FA54ED">
        <w:rPr>
          <w:rFonts w:ascii="Times New Roman" w:hAnsi="Times New Roman" w:cs="Times New Roman"/>
          <w:lang w:val="en-GB"/>
        </w:rPr>
        <w:t xml:space="preserve">is not necessarily better for competition than underenforcement. </w:t>
      </w:r>
    </w:p>
    <w:p w14:paraId="368CFB4B" w14:textId="5F8427C3" w:rsidR="003D650A" w:rsidRPr="00FA54ED" w:rsidRDefault="0013727F" w:rsidP="009A2A10">
      <w:pPr>
        <w:pStyle w:val="Stext"/>
        <w:rPr>
          <w:rFonts w:ascii="Times New Roman" w:hAnsi="Times New Roman" w:cs="Times New Roman"/>
          <w:lang w:val="en-GB"/>
        </w:rPr>
      </w:pPr>
      <w:r w:rsidRPr="00FA54ED">
        <w:rPr>
          <w:rFonts w:ascii="Times New Roman" w:hAnsi="Times New Roman" w:cs="Times New Roman"/>
          <w:lang w:val="en-GB"/>
        </w:rPr>
        <w:t>Finally, it was observed that stricter national rules on unilateral behavio</w:t>
      </w:r>
      <w:r w:rsidR="00FA54ED">
        <w:rPr>
          <w:rFonts w:ascii="Times New Roman" w:hAnsi="Times New Roman" w:cs="Times New Roman"/>
          <w:lang w:val="en-GB"/>
        </w:rPr>
        <w:t>u</w:t>
      </w:r>
      <w:r w:rsidRPr="00FA54ED">
        <w:rPr>
          <w:rFonts w:ascii="Times New Roman" w:hAnsi="Times New Roman" w:cs="Times New Roman"/>
          <w:lang w:val="en-GB"/>
        </w:rPr>
        <w:t xml:space="preserve">r sometimes serve as a protectionist instrument, </w:t>
      </w:r>
      <w:r w:rsidR="00DF63AC" w:rsidRPr="00FA54ED">
        <w:rPr>
          <w:rFonts w:ascii="Times New Roman" w:hAnsi="Times New Roman" w:cs="Times New Roman"/>
          <w:lang w:val="en-GB"/>
        </w:rPr>
        <w:t>sh</w:t>
      </w:r>
      <w:r w:rsidRPr="00FA54ED">
        <w:rPr>
          <w:rFonts w:ascii="Times New Roman" w:hAnsi="Times New Roman" w:cs="Times New Roman"/>
          <w:lang w:val="en-GB"/>
        </w:rPr>
        <w:t xml:space="preserve">ielding national suppliers against their (larger) competitors from other EU Member States. If that happens, this </w:t>
      </w:r>
      <w:r w:rsidR="00F123FC" w:rsidRPr="00FA54ED">
        <w:rPr>
          <w:rFonts w:ascii="Times New Roman" w:hAnsi="Times New Roman" w:cs="Times New Roman"/>
          <w:lang w:val="en-GB"/>
        </w:rPr>
        <w:t>will</w:t>
      </w:r>
      <w:r w:rsidRPr="00FA54ED">
        <w:rPr>
          <w:rFonts w:ascii="Times New Roman" w:hAnsi="Times New Roman" w:cs="Times New Roman"/>
          <w:lang w:val="en-GB"/>
        </w:rPr>
        <w:t xml:space="preserve"> undermine the very idea of an internal market whose protection is at the forefront of EU competition law. </w:t>
      </w:r>
    </w:p>
    <w:p w14:paraId="593C10FC" w14:textId="17524C5B" w:rsidR="0013727F" w:rsidRPr="00FA54ED" w:rsidRDefault="0013727F" w:rsidP="009A2A10">
      <w:pPr>
        <w:pStyle w:val="Stext"/>
        <w:rPr>
          <w:rFonts w:ascii="Times New Roman" w:hAnsi="Times New Roman" w:cs="Times New Roman"/>
          <w:lang w:val="en-GB"/>
        </w:rPr>
      </w:pPr>
      <w:r w:rsidRPr="00FA54ED">
        <w:rPr>
          <w:rFonts w:ascii="Times New Roman" w:hAnsi="Times New Roman" w:cs="Times New Roman"/>
          <w:lang w:val="en-GB"/>
        </w:rPr>
        <w:t>In the following, we take a look at the Austrian case law on the abuse of relative market power</w:t>
      </w:r>
      <w:r w:rsidR="00D83CBA" w:rsidRPr="00FA54ED">
        <w:rPr>
          <w:rFonts w:ascii="Times New Roman" w:hAnsi="Times New Roman" w:cs="Times New Roman"/>
          <w:lang w:val="en-GB"/>
        </w:rPr>
        <w:t>,</w:t>
      </w:r>
      <w:r w:rsidRPr="00FA54ED">
        <w:rPr>
          <w:rFonts w:ascii="Times New Roman" w:hAnsi="Times New Roman" w:cs="Times New Roman"/>
          <w:lang w:val="en-GB"/>
        </w:rPr>
        <w:t xml:space="preserve"> focusing on </w:t>
      </w:r>
      <w:r w:rsidR="00D83CBA" w:rsidRPr="00FA54ED">
        <w:rPr>
          <w:rFonts w:ascii="Times New Roman" w:hAnsi="Times New Roman" w:cs="Times New Roman"/>
          <w:lang w:val="en-GB"/>
        </w:rPr>
        <w:t xml:space="preserve">the most pertinent </w:t>
      </w:r>
      <w:r w:rsidRPr="00FA54ED">
        <w:rPr>
          <w:rFonts w:ascii="Times New Roman" w:hAnsi="Times New Roman" w:cs="Times New Roman"/>
          <w:lang w:val="en-GB"/>
        </w:rPr>
        <w:t>last instance decisions of the Austrian Supreme Court</w:t>
      </w:r>
      <w:r w:rsidR="00D83CBA" w:rsidRPr="00FA54ED">
        <w:rPr>
          <w:rFonts w:ascii="Times New Roman" w:hAnsi="Times New Roman" w:cs="Times New Roman"/>
          <w:lang w:val="en-GB"/>
        </w:rPr>
        <w:t>.</w:t>
      </w:r>
      <w:r w:rsidR="000228DE" w:rsidRPr="00FA54ED">
        <w:rPr>
          <w:rStyle w:val="FootnoteReference"/>
          <w:rFonts w:ascii="Times New Roman" w:hAnsi="Times New Roman" w:cs="Times New Roman"/>
          <w:lang w:val="en-GB"/>
        </w:rPr>
        <w:footnoteReference w:id="3"/>
      </w:r>
      <w:r w:rsidRPr="00FA54ED">
        <w:rPr>
          <w:rFonts w:ascii="Times New Roman" w:hAnsi="Times New Roman" w:cs="Times New Roman"/>
          <w:lang w:val="en-GB"/>
        </w:rPr>
        <w:t xml:space="preserve"> </w:t>
      </w:r>
      <w:r w:rsidR="00D83CBA" w:rsidRPr="00FA54ED">
        <w:rPr>
          <w:rFonts w:ascii="Times New Roman" w:hAnsi="Times New Roman" w:cs="Times New Roman"/>
          <w:lang w:val="en-GB"/>
        </w:rPr>
        <w:t xml:space="preserve">In our conclusions, we </w:t>
      </w:r>
      <w:r w:rsidR="00F123FC" w:rsidRPr="00FA54ED">
        <w:rPr>
          <w:rFonts w:ascii="Times New Roman" w:hAnsi="Times New Roman" w:cs="Times New Roman"/>
          <w:lang w:val="en-GB"/>
        </w:rPr>
        <w:t>explor</w:t>
      </w:r>
      <w:r w:rsidR="00D83CBA" w:rsidRPr="00FA54ED">
        <w:rPr>
          <w:rFonts w:ascii="Times New Roman" w:hAnsi="Times New Roman" w:cs="Times New Roman"/>
          <w:lang w:val="en-GB"/>
        </w:rPr>
        <w:t xml:space="preserve">e </w:t>
      </w:r>
      <w:r w:rsidR="00DF63AC" w:rsidRPr="00FA54ED">
        <w:rPr>
          <w:rFonts w:ascii="Times New Roman" w:hAnsi="Times New Roman" w:cs="Times New Roman"/>
          <w:lang w:val="en-GB"/>
        </w:rPr>
        <w:t xml:space="preserve">the </w:t>
      </w:r>
      <w:r w:rsidRPr="00FA54ED">
        <w:rPr>
          <w:rFonts w:ascii="Times New Roman" w:hAnsi="Times New Roman" w:cs="Times New Roman"/>
          <w:lang w:val="en-GB"/>
        </w:rPr>
        <w:t>question whether Austrian experience rather speaks in favo</w:t>
      </w:r>
      <w:r w:rsidR="00FA54ED">
        <w:rPr>
          <w:rFonts w:ascii="Times New Roman" w:hAnsi="Times New Roman" w:cs="Times New Roman"/>
          <w:lang w:val="en-GB"/>
        </w:rPr>
        <w:t>u</w:t>
      </w:r>
      <w:r w:rsidRPr="00FA54ED">
        <w:rPr>
          <w:rFonts w:ascii="Times New Roman" w:hAnsi="Times New Roman" w:cs="Times New Roman"/>
          <w:lang w:val="en-GB"/>
        </w:rPr>
        <w:t xml:space="preserve">r of these rules as an instrument to protect the competitive process, or whether these rules, as applied in Austria, support the view of the critics, as quoted above. </w:t>
      </w:r>
      <w:r w:rsidR="000228DE" w:rsidRPr="00FA54ED">
        <w:rPr>
          <w:rFonts w:ascii="Times New Roman" w:hAnsi="Times New Roman" w:cs="Times New Roman"/>
          <w:lang w:val="en-GB"/>
        </w:rPr>
        <w:t>The case law is grouped into industries (film distribution; car distribution; sports equipment; travel agencies), and within the industries chronologically.</w:t>
      </w:r>
    </w:p>
    <w:p w14:paraId="377F793D" w14:textId="1F199633" w:rsidR="00E42B95" w:rsidRPr="00FA54ED" w:rsidRDefault="00E42B95" w:rsidP="00E42B95">
      <w:pPr>
        <w:pStyle w:val="Stext"/>
        <w:ind w:left="567" w:hanging="567"/>
        <w:rPr>
          <w:rFonts w:ascii="Times New Roman" w:hAnsi="Times New Roman" w:cs="Times New Roman"/>
          <w:b/>
          <w:bCs/>
          <w:lang w:val="en-GB"/>
        </w:rPr>
      </w:pPr>
      <w:r w:rsidRPr="00FA54ED">
        <w:rPr>
          <w:rFonts w:ascii="Times New Roman" w:hAnsi="Times New Roman" w:cs="Times New Roman"/>
          <w:b/>
          <w:bCs/>
          <w:lang w:val="en-GB"/>
        </w:rPr>
        <w:t>2.</w:t>
      </w:r>
      <w:r w:rsidRPr="00FA54ED">
        <w:rPr>
          <w:rFonts w:ascii="Times New Roman" w:hAnsi="Times New Roman" w:cs="Times New Roman"/>
          <w:b/>
          <w:bCs/>
          <w:lang w:val="en-GB"/>
        </w:rPr>
        <w:tab/>
        <w:t>Case Law</w:t>
      </w:r>
    </w:p>
    <w:p w14:paraId="32618C6B" w14:textId="32E34765" w:rsidR="00342E7A" w:rsidRPr="00FA54ED" w:rsidRDefault="00F123FC" w:rsidP="00F123FC">
      <w:pPr>
        <w:pStyle w:val="Sheading2"/>
        <w:numPr>
          <w:ilvl w:val="0"/>
          <w:numId w:val="0"/>
        </w:numPr>
        <w:ind w:left="567" w:hanging="567"/>
        <w:rPr>
          <w:rFonts w:ascii="Times New Roman" w:hAnsi="Times New Roman" w:cs="Times New Roman"/>
          <w:lang w:val="en-GB"/>
        </w:rPr>
      </w:pPr>
      <w:bookmarkStart w:id="0" w:name="_Hlk199856450"/>
      <w:r w:rsidRPr="00FA54ED">
        <w:rPr>
          <w:rFonts w:ascii="Times New Roman" w:hAnsi="Times New Roman" w:cs="Times New Roman"/>
          <w:b/>
          <w:bCs/>
          <w:lang w:val="en-GB"/>
        </w:rPr>
        <w:t>2.1</w:t>
      </w:r>
      <w:r w:rsidRPr="00FA54ED">
        <w:rPr>
          <w:rFonts w:ascii="Times New Roman" w:hAnsi="Times New Roman" w:cs="Times New Roman"/>
          <w:b/>
          <w:bCs/>
          <w:lang w:val="en-GB"/>
        </w:rPr>
        <w:tab/>
      </w:r>
      <w:r w:rsidR="00342E7A" w:rsidRPr="00FA54ED">
        <w:rPr>
          <w:rFonts w:ascii="Times New Roman" w:hAnsi="Times New Roman" w:cs="Times New Roman"/>
          <w:b/>
          <w:bCs/>
          <w:lang w:val="en-GB"/>
        </w:rPr>
        <w:t xml:space="preserve">OGH 09.09.1997 4 Ob 214/97t – </w:t>
      </w:r>
      <w:proofErr w:type="spellStart"/>
      <w:r w:rsidR="00342E7A" w:rsidRPr="00FA54ED">
        <w:rPr>
          <w:rFonts w:ascii="Times New Roman" w:hAnsi="Times New Roman" w:cs="Times New Roman"/>
          <w:b/>
          <w:bCs/>
          <w:i/>
          <w:iCs/>
          <w:lang w:val="en-GB"/>
        </w:rPr>
        <w:t>Filmverleih</w:t>
      </w:r>
      <w:proofErr w:type="spellEnd"/>
      <w:r w:rsidR="00342E7A" w:rsidRPr="00FA54ED">
        <w:rPr>
          <w:rFonts w:ascii="Times New Roman" w:hAnsi="Times New Roman" w:cs="Times New Roman"/>
          <w:b/>
          <w:bCs/>
          <w:i/>
          <w:iCs/>
          <w:lang w:val="en-GB"/>
        </w:rPr>
        <w:t xml:space="preserve"> I</w:t>
      </w:r>
    </w:p>
    <w:bookmarkEnd w:id="0"/>
    <w:p w14:paraId="602C28F0" w14:textId="5355EBDA" w:rsidR="00342E7A" w:rsidRPr="00FA54ED" w:rsidRDefault="00342E7A" w:rsidP="009A2A10">
      <w:pPr>
        <w:pStyle w:val="Stext"/>
        <w:rPr>
          <w:rFonts w:ascii="Times New Roman" w:hAnsi="Times New Roman" w:cs="Times New Roman"/>
          <w:lang w:val="en-GB"/>
        </w:rPr>
      </w:pPr>
      <w:r w:rsidRPr="00FA54ED">
        <w:rPr>
          <w:rFonts w:ascii="Times New Roman" w:hAnsi="Times New Roman" w:cs="Times New Roman"/>
          <w:bCs/>
          <w:i/>
          <w:lang w:val="en-GB"/>
        </w:rPr>
        <w:t>Facts:</w:t>
      </w:r>
      <w:r w:rsidRPr="00FA54ED">
        <w:rPr>
          <w:rFonts w:ascii="Times New Roman" w:hAnsi="Times New Roman" w:cs="Times New Roman"/>
          <w:lang w:val="en-GB"/>
        </w:rPr>
        <w:t xml:space="preserve"> The first judgement in which the Austrian Supreme Court (</w:t>
      </w:r>
      <w:r w:rsidRPr="00FA54ED">
        <w:rPr>
          <w:rFonts w:ascii="Times New Roman" w:hAnsi="Times New Roman" w:cs="Times New Roman"/>
          <w:i/>
          <w:iCs/>
          <w:lang w:val="en-GB"/>
        </w:rPr>
        <w:t>OGH</w:t>
      </w:r>
      <w:r w:rsidRPr="00FA54ED">
        <w:rPr>
          <w:rFonts w:ascii="Times New Roman" w:hAnsi="Times New Roman" w:cs="Times New Roman"/>
          <w:lang w:val="en-GB"/>
        </w:rPr>
        <w:t xml:space="preserve">) invoked the rules on relative market power concerned a dispute between the operator of a large movie theatre in Linz </w:t>
      </w:r>
      <w:r w:rsidR="00B74C46" w:rsidRPr="00FA54ED">
        <w:rPr>
          <w:rFonts w:ascii="Times New Roman" w:hAnsi="Times New Roman" w:cs="Times New Roman"/>
          <w:lang w:val="en-GB"/>
        </w:rPr>
        <w:t xml:space="preserve">(plaintiff) </w:t>
      </w:r>
      <w:r w:rsidRPr="00FA54ED">
        <w:rPr>
          <w:rFonts w:ascii="Times New Roman" w:hAnsi="Times New Roman" w:cs="Times New Roman"/>
          <w:lang w:val="en-GB"/>
        </w:rPr>
        <w:t xml:space="preserve">and Constantin </w:t>
      </w:r>
      <w:r w:rsidR="00C741CB" w:rsidRPr="00FA54ED">
        <w:rPr>
          <w:rFonts w:ascii="Times New Roman" w:hAnsi="Times New Roman" w:cs="Times New Roman"/>
          <w:lang w:val="en-GB"/>
        </w:rPr>
        <w:t>film</w:t>
      </w:r>
      <w:r w:rsidR="00B74C46" w:rsidRPr="00FA54ED">
        <w:rPr>
          <w:rFonts w:ascii="Times New Roman" w:hAnsi="Times New Roman" w:cs="Times New Roman"/>
          <w:lang w:val="en-GB"/>
        </w:rPr>
        <w:t xml:space="preserve"> (defendant)</w:t>
      </w:r>
      <w:r w:rsidR="00C741CB" w:rsidRPr="00FA54ED">
        <w:rPr>
          <w:rFonts w:ascii="Times New Roman" w:hAnsi="Times New Roman" w:cs="Times New Roman"/>
          <w:lang w:val="en-GB"/>
        </w:rPr>
        <w:t>, which was at that time one of the major film distributors in Austria and which also</w:t>
      </w:r>
      <w:r w:rsidR="00E578D7" w:rsidRPr="00FA54ED">
        <w:rPr>
          <w:rFonts w:ascii="Times New Roman" w:hAnsi="Times New Roman" w:cs="Times New Roman"/>
          <w:lang w:val="en-GB"/>
        </w:rPr>
        <w:t xml:space="preserve"> </w:t>
      </w:r>
      <w:r w:rsidR="002706CF" w:rsidRPr="00FA54ED">
        <w:rPr>
          <w:rFonts w:ascii="Times New Roman" w:hAnsi="Times New Roman" w:cs="Times New Roman"/>
          <w:lang w:val="en-GB"/>
        </w:rPr>
        <w:t xml:space="preserve">operated </w:t>
      </w:r>
      <w:r w:rsidR="00C741CB" w:rsidRPr="00FA54ED">
        <w:rPr>
          <w:rFonts w:ascii="Times New Roman" w:hAnsi="Times New Roman" w:cs="Times New Roman"/>
          <w:lang w:val="en-GB"/>
        </w:rPr>
        <w:t>a large chain of cinemas. The dispute aros</w:t>
      </w:r>
      <w:r w:rsidR="002706CF" w:rsidRPr="00FA54ED">
        <w:rPr>
          <w:rFonts w:ascii="Times New Roman" w:hAnsi="Times New Roman" w:cs="Times New Roman"/>
          <w:lang w:val="en-GB"/>
        </w:rPr>
        <w:t>e</w:t>
      </w:r>
      <w:r w:rsidR="00C741CB" w:rsidRPr="00FA54ED">
        <w:rPr>
          <w:rFonts w:ascii="Times New Roman" w:hAnsi="Times New Roman" w:cs="Times New Roman"/>
          <w:lang w:val="en-GB"/>
        </w:rPr>
        <w:t xml:space="preserve"> </w:t>
      </w:r>
      <w:r w:rsidR="002706CF" w:rsidRPr="00FA54ED">
        <w:rPr>
          <w:rFonts w:ascii="Times New Roman" w:hAnsi="Times New Roman" w:cs="Times New Roman"/>
          <w:lang w:val="en-GB"/>
        </w:rPr>
        <w:t xml:space="preserve">in </w:t>
      </w:r>
      <w:r w:rsidR="00E578D7" w:rsidRPr="00FA54ED">
        <w:rPr>
          <w:rFonts w:ascii="Times New Roman" w:hAnsi="Times New Roman" w:cs="Times New Roman"/>
          <w:lang w:val="en-GB"/>
        </w:rPr>
        <w:t xml:space="preserve">1996, when the plaintiff booked a copy of the picture </w:t>
      </w:r>
      <w:r w:rsidR="00E578D7" w:rsidRPr="00FA54ED">
        <w:rPr>
          <w:rFonts w:ascii="Times New Roman" w:hAnsi="Times New Roman" w:cs="Times New Roman"/>
          <w:i/>
          <w:iCs/>
          <w:lang w:val="en-GB"/>
        </w:rPr>
        <w:t>"</w:t>
      </w:r>
      <w:r w:rsidR="00B74C46" w:rsidRPr="00FA54ED">
        <w:rPr>
          <w:rFonts w:ascii="Times New Roman" w:hAnsi="Times New Roman" w:cs="Times New Roman"/>
          <w:i/>
          <w:iCs/>
          <w:lang w:val="en-GB"/>
        </w:rPr>
        <w:t>W</w:t>
      </w:r>
      <w:r w:rsidR="00E578D7" w:rsidRPr="00FA54ED">
        <w:rPr>
          <w:rFonts w:ascii="Times New Roman" w:hAnsi="Times New Roman" w:cs="Times New Roman"/>
          <w:i/>
          <w:iCs/>
          <w:lang w:val="en-GB"/>
        </w:rPr>
        <w:t>orkaholic"</w:t>
      </w:r>
      <w:r w:rsidR="00E578D7" w:rsidRPr="00FA54ED">
        <w:rPr>
          <w:rFonts w:ascii="Times New Roman" w:hAnsi="Times New Roman" w:cs="Times New Roman"/>
          <w:lang w:val="en-GB"/>
        </w:rPr>
        <w:t xml:space="preserve"> from Constantin and promised to show the picture on its screens three times a day. However, on four days in July 1996, the movie theatre</w:t>
      </w:r>
      <w:r w:rsidR="003107F0" w:rsidRPr="00FA54ED">
        <w:rPr>
          <w:rFonts w:ascii="Times New Roman" w:hAnsi="Times New Roman" w:cs="Times New Roman"/>
          <w:lang w:val="en-GB"/>
        </w:rPr>
        <w:t xml:space="preserve"> ha</w:t>
      </w:r>
      <w:r w:rsidR="007130C6" w:rsidRPr="00FA54ED">
        <w:rPr>
          <w:rFonts w:ascii="Times New Roman" w:hAnsi="Times New Roman" w:cs="Times New Roman"/>
          <w:lang w:val="en-GB"/>
        </w:rPr>
        <w:t>d</w:t>
      </w:r>
      <w:r w:rsidR="00E578D7" w:rsidRPr="00FA54ED">
        <w:rPr>
          <w:rFonts w:ascii="Times New Roman" w:hAnsi="Times New Roman" w:cs="Times New Roman"/>
          <w:lang w:val="en-GB"/>
        </w:rPr>
        <w:t xml:space="preserve"> show</w:t>
      </w:r>
      <w:r w:rsidR="003107F0" w:rsidRPr="00FA54ED">
        <w:rPr>
          <w:rFonts w:ascii="Times New Roman" w:hAnsi="Times New Roman" w:cs="Times New Roman"/>
          <w:lang w:val="en-GB"/>
        </w:rPr>
        <w:t>n</w:t>
      </w:r>
      <w:r w:rsidR="00E578D7" w:rsidRPr="00FA54ED">
        <w:rPr>
          <w:rFonts w:ascii="Times New Roman" w:hAnsi="Times New Roman" w:cs="Times New Roman"/>
          <w:lang w:val="en-GB"/>
        </w:rPr>
        <w:t xml:space="preserve"> the picture just two times. </w:t>
      </w:r>
      <w:r w:rsidR="00B74C46" w:rsidRPr="00FA54ED">
        <w:rPr>
          <w:rFonts w:ascii="Times New Roman" w:hAnsi="Times New Roman" w:cs="Times New Roman"/>
          <w:lang w:val="en-GB"/>
        </w:rPr>
        <w:t xml:space="preserve">Constantin </w:t>
      </w:r>
      <w:r w:rsidR="00E578D7" w:rsidRPr="00FA54ED">
        <w:rPr>
          <w:rFonts w:ascii="Times New Roman" w:hAnsi="Times New Roman" w:cs="Times New Roman"/>
          <w:lang w:val="en-GB"/>
        </w:rPr>
        <w:t>therefore requested a pecuniary penalty, which the plaintiff refused to pay. The dispute escalated, and Constantin blocked its opponent from all further supplies with film copies, including presumed blockbusters</w:t>
      </w:r>
      <w:r w:rsidR="00B74C46" w:rsidRPr="00FA54ED">
        <w:rPr>
          <w:rFonts w:ascii="Times New Roman" w:hAnsi="Times New Roman" w:cs="Times New Roman"/>
          <w:lang w:val="en-GB"/>
        </w:rPr>
        <w:t>,</w:t>
      </w:r>
      <w:r w:rsidR="00E578D7" w:rsidRPr="00FA54ED">
        <w:rPr>
          <w:rFonts w:ascii="Times New Roman" w:hAnsi="Times New Roman" w:cs="Times New Roman"/>
          <w:lang w:val="en-GB"/>
        </w:rPr>
        <w:t xml:space="preserve"> until the penalty was settled. On that account, the movie theatre operator took Constantin to court and requested an interim injunction against the refusal to supply. </w:t>
      </w:r>
    </w:p>
    <w:p w14:paraId="6F563A5F" w14:textId="07A3B58D" w:rsidR="00E578D7" w:rsidRPr="00FA54ED" w:rsidRDefault="00E578D7" w:rsidP="009A2A10">
      <w:pPr>
        <w:pStyle w:val="Stext"/>
        <w:rPr>
          <w:rFonts w:ascii="Times New Roman" w:hAnsi="Times New Roman" w:cs="Times New Roman"/>
          <w:lang w:val="en-GB"/>
        </w:rPr>
      </w:pPr>
      <w:r w:rsidRPr="00FA54ED">
        <w:rPr>
          <w:rFonts w:ascii="Times New Roman" w:hAnsi="Times New Roman" w:cs="Times New Roman"/>
          <w:bCs/>
          <w:i/>
          <w:lang w:val="en-GB"/>
        </w:rPr>
        <w:lastRenderedPageBreak/>
        <w:t>Decision:</w:t>
      </w:r>
      <w:r w:rsidRPr="00FA54ED">
        <w:rPr>
          <w:rFonts w:ascii="Times New Roman" w:hAnsi="Times New Roman" w:cs="Times New Roman"/>
          <w:lang w:val="en-GB"/>
        </w:rPr>
        <w:t xml:space="preserve"> The OGH confirmed the finding of the lower instances that Constantin did not meet any of the quantitative or qualitative criteria for absolute </w:t>
      </w:r>
      <w:r w:rsidR="00B74C46" w:rsidRPr="00FA54ED">
        <w:rPr>
          <w:rFonts w:ascii="Times New Roman" w:hAnsi="Times New Roman" w:cs="Times New Roman"/>
          <w:lang w:val="en-GB"/>
        </w:rPr>
        <w:t xml:space="preserve">market </w:t>
      </w:r>
      <w:r w:rsidRPr="00FA54ED">
        <w:rPr>
          <w:rFonts w:ascii="Times New Roman" w:hAnsi="Times New Roman" w:cs="Times New Roman"/>
          <w:lang w:val="en-GB"/>
        </w:rPr>
        <w:t>dominance, as defin</w:t>
      </w:r>
      <w:r w:rsidR="00E215BD" w:rsidRPr="00FA54ED">
        <w:rPr>
          <w:rFonts w:ascii="Times New Roman" w:hAnsi="Times New Roman" w:cs="Times New Roman"/>
          <w:lang w:val="en-GB"/>
        </w:rPr>
        <w:t>e</w:t>
      </w:r>
      <w:r w:rsidRPr="00FA54ED">
        <w:rPr>
          <w:rFonts w:ascii="Times New Roman" w:hAnsi="Times New Roman" w:cs="Times New Roman"/>
          <w:lang w:val="en-GB"/>
        </w:rPr>
        <w:t xml:space="preserve">d in the Cartel Act. </w:t>
      </w:r>
      <w:r w:rsidR="00E215BD" w:rsidRPr="00FA54ED">
        <w:rPr>
          <w:rFonts w:ascii="Times New Roman" w:hAnsi="Times New Roman" w:cs="Times New Roman"/>
          <w:lang w:val="en-GB"/>
        </w:rPr>
        <w:t xml:space="preserve">Competition from other film studios and distributors was too strong. However, the OGH held that Constantin enjoyed relative market power </w:t>
      </w:r>
      <w:r w:rsidR="00B74C46" w:rsidRPr="00FA54ED">
        <w:rPr>
          <w:rFonts w:ascii="Times New Roman" w:hAnsi="Times New Roman" w:cs="Times New Roman"/>
          <w:lang w:val="en-GB"/>
        </w:rPr>
        <w:t xml:space="preserve">towards </w:t>
      </w:r>
      <w:r w:rsidR="00E215BD" w:rsidRPr="00FA54ED">
        <w:rPr>
          <w:rFonts w:ascii="Times New Roman" w:hAnsi="Times New Roman" w:cs="Times New Roman"/>
          <w:lang w:val="en-GB"/>
        </w:rPr>
        <w:t xml:space="preserve">the movie theatre operator. As film distribution is based on the principle of exclusive distribution rights, the plaintiff could obtain copies for films </w:t>
      </w:r>
      <w:r w:rsidR="00B74C46" w:rsidRPr="00FA54ED">
        <w:rPr>
          <w:rFonts w:ascii="Times New Roman" w:hAnsi="Times New Roman" w:cs="Times New Roman"/>
          <w:lang w:val="en-GB"/>
        </w:rPr>
        <w:t xml:space="preserve">licensed to </w:t>
      </w:r>
      <w:r w:rsidR="00E215BD" w:rsidRPr="00FA54ED">
        <w:rPr>
          <w:rFonts w:ascii="Times New Roman" w:hAnsi="Times New Roman" w:cs="Times New Roman"/>
          <w:lang w:val="en-GB"/>
        </w:rPr>
        <w:t xml:space="preserve">Constantin only from its opponent. Some of these films were (based on the </w:t>
      </w:r>
      <w:r w:rsidR="00B74C46" w:rsidRPr="00FA54ED">
        <w:rPr>
          <w:rFonts w:ascii="Times New Roman" w:hAnsi="Times New Roman" w:cs="Times New Roman"/>
          <w:lang w:val="en-GB"/>
        </w:rPr>
        <w:t xml:space="preserve">promotional </w:t>
      </w:r>
      <w:r w:rsidR="00E215BD" w:rsidRPr="00FA54ED">
        <w:rPr>
          <w:rFonts w:ascii="Times New Roman" w:hAnsi="Times New Roman" w:cs="Times New Roman"/>
          <w:lang w:val="en-GB"/>
        </w:rPr>
        <w:t>plans of the distributor) presumed blockbusters, i.e</w:t>
      </w:r>
      <w:r w:rsidR="003107F0" w:rsidRPr="00FA54ED">
        <w:rPr>
          <w:rFonts w:ascii="Times New Roman" w:hAnsi="Times New Roman" w:cs="Times New Roman"/>
          <w:lang w:val="en-GB"/>
        </w:rPr>
        <w:t>.</w:t>
      </w:r>
      <w:r w:rsidR="00E215BD" w:rsidRPr="00FA54ED">
        <w:rPr>
          <w:rFonts w:ascii="Times New Roman" w:hAnsi="Times New Roman" w:cs="Times New Roman"/>
          <w:lang w:val="en-GB"/>
        </w:rPr>
        <w:t xml:space="preserve"> pictures that would attract a large audience and which would account for a large portion of the movie </w:t>
      </w:r>
      <w:r w:rsidR="00FA54ED" w:rsidRPr="00FA54ED">
        <w:rPr>
          <w:rFonts w:ascii="Times New Roman" w:hAnsi="Times New Roman" w:cs="Times New Roman"/>
          <w:lang w:val="en-GB"/>
        </w:rPr>
        <w:t>theatres’</w:t>
      </w:r>
      <w:r w:rsidR="00E215BD" w:rsidRPr="00FA54ED">
        <w:rPr>
          <w:rFonts w:ascii="Times New Roman" w:hAnsi="Times New Roman" w:cs="Times New Roman"/>
          <w:lang w:val="en-GB"/>
        </w:rPr>
        <w:t xml:space="preserve"> box of</w:t>
      </w:r>
      <w:r w:rsidR="00B74C46" w:rsidRPr="00FA54ED">
        <w:rPr>
          <w:rFonts w:ascii="Times New Roman" w:hAnsi="Times New Roman" w:cs="Times New Roman"/>
          <w:lang w:val="en-GB"/>
        </w:rPr>
        <w:t>fice</w:t>
      </w:r>
      <w:r w:rsidR="00E215BD" w:rsidRPr="00FA54ED">
        <w:rPr>
          <w:rFonts w:ascii="Times New Roman" w:hAnsi="Times New Roman" w:cs="Times New Roman"/>
          <w:lang w:val="en-GB"/>
        </w:rPr>
        <w:t xml:space="preserve"> income once released. Against this background, the OGH held that the plaintiff would suffer serious economic disadvantages </w:t>
      </w:r>
      <w:r w:rsidR="00B74C46" w:rsidRPr="00FA54ED">
        <w:rPr>
          <w:rFonts w:ascii="Times New Roman" w:hAnsi="Times New Roman" w:cs="Times New Roman"/>
          <w:lang w:val="en-GB"/>
        </w:rPr>
        <w:t xml:space="preserve">(as defined in § 4a Cartel Act) </w:t>
      </w:r>
      <w:r w:rsidR="00E215BD" w:rsidRPr="00FA54ED">
        <w:rPr>
          <w:rFonts w:ascii="Times New Roman" w:hAnsi="Times New Roman" w:cs="Times New Roman"/>
          <w:lang w:val="en-GB"/>
        </w:rPr>
        <w:t>if it were cut of</w:t>
      </w:r>
      <w:r w:rsidR="003F143B" w:rsidRPr="00FA54ED">
        <w:rPr>
          <w:rFonts w:ascii="Times New Roman" w:hAnsi="Times New Roman" w:cs="Times New Roman"/>
          <w:lang w:val="en-GB"/>
        </w:rPr>
        <w:t>f</w:t>
      </w:r>
      <w:r w:rsidR="00E215BD" w:rsidRPr="00FA54ED">
        <w:rPr>
          <w:rFonts w:ascii="Times New Roman" w:hAnsi="Times New Roman" w:cs="Times New Roman"/>
          <w:lang w:val="en-GB"/>
        </w:rPr>
        <w:t xml:space="preserve"> </w:t>
      </w:r>
      <w:r w:rsidR="003F143B" w:rsidRPr="00FA54ED">
        <w:rPr>
          <w:rFonts w:ascii="Times New Roman" w:hAnsi="Times New Roman" w:cs="Times New Roman"/>
          <w:lang w:val="en-GB"/>
        </w:rPr>
        <w:t xml:space="preserve">from further film supplies by Constantin. </w:t>
      </w:r>
    </w:p>
    <w:p w14:paraId="50962754" w14:textId="34A0E1D1" w:rsidR="00501BE9" w:rsidRPr="00FA54ED" w:rsidRDefault="003F143B" w:rsidP="009A2A10">
      <w:pPr>
        <w:pStyle w:val="Stext"/>
        <w:rPr>
          <w:rFonts w:ascii="Times New Roman" w:hAnsi="Times New Roman" w:cs="Times New Roman"/>
          <w:lang w:val="en-GB"/>
        </w:rPr>
      </w:pPr>
      <w:r w:rsidRPr="00FA54ED">
        <w:rPr>
          <w:rFonts w:ascii="Times New Roman" w:hAnsi="Times New Roman" w:cs="Times New Roman"/>
          <w:lang w:val="en-GB"/>
        </w:rPr>
        <w:t xml:space="preserve">The OGH went on to decide that Constantin had abused its relative market power by imposing a delivery ban upon the movie theatre operator. In the court's judgement, Constantin's motivation to enforce payment of the previously imposed contractual penalty did not meet the requirements for an objective justification of the refusal to supply, as the delivery ban was considered disproportional, looking at the diverging interests of the parties in dispute. </w:t>
      </w:r>
      <w:r w:rsidR="0060045F" w:rsidRPr="00FA54ED">
        <w:rPr>
          <w:rFonts w:ascii="Times New Roman" w:hAnsi="Times New Roman" w:cs="Times New Roman"/>
          <w:lang w:val="en-GB"/>
        </w:rPr>
        <w:t xml:space="preserve">Based on these considerations, the </w:t>
      </w:r>
      <w:r w:rsidR="00B74C46" w:rsidRPr="00FA54ED">
        <w:rPr>
          <w:rFonts w:ascii="Times New Roman" w:hAnsi="Times New Roman" w:cs="Times New Roman"/>
          <w:lang w:val="en-GB"/>
        </w:rPr>
        <w:t xml:space="preserve">requested </w:t>
      </w:r>
      <w:r w:rsidR="0060045F" w:rsidRPr="00FA54ED">
        <w:rPr>
          <w:rFonts w:ascii="Times New Roman" w:hAnsi="Times New Roman" w:cs="Times New Roman"/>
          <w:lang w:val="en-GB"/>
        </w:rPr>
        <w:t>injunction against Constantin (i.e</w:t>
      </w:r>
      <w:r w:rsidR="003107F0" w:rsidRPr="00FA54ED">
        <w:rPr>
          <w:rFonts w:ascii="Times New Roman" w:hAnsi="Times New Roman" w:cs="Times New Roman"/>
          <w:lang w:val="en-GB"/>
        </w:rPr>
        <w:t>.</w:t>
      </w:r>
      <w:r w:rsidR="0060045F" w:rsidRPr="00FA54ED">
        <w:rPr>
          <w:rFonts w:ascii="Times New Roman" w:hAnsi="Times New Roman" w:cs="Times New Roman"/>
          <w:lang w:val="en-GB"/>
        </w:rPr>
        <w:t xml:space="preserve"> the obligation to supply the plaintiff with film copies)</w:t>
      </w:r>
      <w:r w:rsidR="003107F0" w:rsidRPr="00FA54ED">
        <w:rPr>
          <w:rFonts w:ascii="Times New Roman" w:hAnsi="Times New Roman" w:cs="Times New Roman"/>
          <w:lang w:val="en-GB"/>
        </w:rPr>
        <w:t>,</w:t>
      </w:r>
      <w:r w:rsidR="0060045F" w:rsidRPr="00FA54ED">
        <w:rPr>
          <w:rFonts w:ascii="Times New Roman" w:hAnsi="Times New Roman" w:cs="Times New Roman"/>
          <w:lang w:val="en-GB"/>
        </w:rPr>
        <w:t xml:space="preserve"> was imposed.</w:t>
      </w:r>
    </w:p>
    <w:p w14:paraId="0CEF74B9" w14:textId="4A68D17F" w:rsidR="00A839C7" w:rsidRPr="00FA54ED" w:rsidRDefault="00F67680" w:rsidP="009A2A10">
      <w:pPr>
        <w:pStyle w:val="Stext"/>
        <w:rPr>
          <w:rFonts w:ascii="Times New Roman" w:hAnsi="Times New Roman" w:cs="Times New Roman"/>
          <w:lang w:val="en-GB"/>
        </w:rPr>
      </w:pPr>
      <w:r w:rsidRPr="00FA54ED">
        <w:rPr>
          <w:rFonts w:ascii="Times New Roman" w:hAnsi="Times New Roman" w:cs="Times New Roman"/>
          <w:bCs/>
          <w:i/>
          <w:lang w:val="en-GB"/>
        </w:rPr>
        <w:t>Conclusion:</w:t>
      </w:r>
      <w:r w:rsidRPr="00FA54ED">
        <w:rPr>
          <w:rFonts w:ascii="Times New Roman" w:hAnsi="Times New Roman" w:cs="Times New Roman"/>
          <w:b/>
          <w:bCs/>
          <w:lang w:val="en-GB"/>
        </w:rPr>
        <w:t xml:space="preserve"> </w:t>
      </w:r>
      <w:r w:rsidR="00A839C7" w:rsidRPr="00FA54ED">
        <w:rPr>
          <w:rFonts w:ascii="Times New Roman" w:hAnsi="Times New Roman" w:cs="Times New Roman"/>
          <w:lang w:val="en-GB"/>
        </w:rPr>
        <w:t xml:space="preserve">This case demonstrates how the 1988 </w:t>
      </w:r>
      <w:r w:rsidR="007130C6" w:rsidRPr="00FA54ED">
        <w:rPr>
          <w:rFonts w:ascii="Times New Roman" w:hAnsi="Times New Roman" w:cs="Times New Roman"/>
          <w:lang w:val="en-GB"/>
        </w:rPr>
        <w:t xml:space="preserve">Cartel Act </w:t>
      </w:r>
      <w:r w:rsidR="00A839C7" w:rsidRPr="00FA54ED">
        <w:rPr>
          <w:rFonts w:ascii="Times New Roman" w:hAnsi="Times New Roman" w:cs="Times New Roman"/>
          <w:lang w:val="en-GB"/>
        </w:rPr>
        <w:t xml:space="preserve">amendment introducing </w:t>
      </w:r>
      <w:r w:rsidR="007130C6" w:rsidRPr="00FA54ED">
        <w:rPr>
          <w:rFonts w:ascii="Times New Roman" w:hAnsi="Times New Roman" w:cs="Times New Roman"/>
          <w:lang w:val="en-GB"/>
        </w:rPr>
        <w:t xml:space="preserve">the </w:t>
      </w:r>
      <w:r w:rsidR="00A839C7" w:rsidRPr="00FA54ED">
        <w:rPr>
          <w:rFonts w:ascii="Times New Roman" w:hAnsi="Times New Roman" w:cs="Times New Roman"/>
          <w:lang w:val="en-GB"/>
        </w:rPr>
        <w:t>relative market powe</w:t>
      </w:r>
      <w:r w:rsidR="008C098F" w:rsidRPr="00FA54ED">
        <w:rPr>
          <w:rFonts w:ascii="Times New Roman" w:hAnsi="Times New Roman" w:cs="Times New Roman"/>
          <w:lang w:val="en-GB"/>
        </w:rPr>
        <w:t xml:space="preserve">r doctrine addressed a </w:t>
      </w:r>
      <w:r w:rsidR="00A839C7" w:rsidRPr="00FA54ED">
        <w:rPr>
          <w:rFonts w:ascii="Times New Roman" w:hAnsi="Times New Roman" w:cs="Times New Roman"/>
          <w:lang w:val="en-GB"/>
        </w:rPr>
        <w:t>gap in traditional competition law, establishing a new analytical framework for vertical relation</w:t>
      </w:r>
      <w:r w:rsidR="008C098F" w:rsidRPr="00FA54ED">
        <w:rPr>
          <w:rFonts w:ascii="Times New Roman" w:hAnsi="Times New Roman" w:cs="Times New Roman"/>
          <w:lang w:val="en-GB"/>
        </w:rPr>
        <w:t>ship dependencies beyond</w:t>
      </w:r>
      <w:r w:rsidR="00A839C7" w:rsidRPr="00FA54ED">
        <w:rPr>
          <w:rFonts w:ascii="Times New Roman" w:hAnsi="Times New Roman" w:cs="Times New Roman"/>
          <w:lang w:val="en-GB"/>
        </w:rPr>
        <w:t xml:space="preserve"> conventional market definition constraints.</w:t>
      </w:r>
    </w:p>
    <w:p w14:paraId="54643C56" w14:textId="7D5E3488" w:rsidR="00A839C7" w:rsidRPr="00FA54ED" w:rsidRDefault="00A839C7" w:rsidP="009A2A10">
      <w:pPr>
        <w:pStyle w:val="Stext"/>
        <w:rPr>
          <w:rFonts w:ascii="Times New Roman" w:hAnsi="Times New Roman" w:cs="Times New Roman"/>
          <w:lang w:val="en-GB"/>
        </w:rPr>
      </w:pPr>
      <w:r w:rsidRPr="00FA54ED">
        <w:rPr>
          <w:rFonts w:ascii="Times New Roman" w:hAnsi="Times New Roman" w:cs="Times New Roman"/>
          <w:lang w:val="en-GB"/>
        </w:rPr>
        <w:t>The case illustrates the fundamental limitation of absolute dominance analysis in industries characterized by exclusive distribution rights and product differentiation. Despite Constantin's insufficient market share for traditional dominance, the Court recognized that exclusive licensing creates structural dependencies that can</w:t>
      </w:r>
      <w:r w:rsidR="008C098F" w:rsidRPr="00FA54ED">
        <w:rPr>
          <w:rFonts w:ascii="Times New Roman" w:hAnsi="Times New Roman" w:cs="Times New Roman"/>
          <w:lang w:val="en-GB"/>
        </w:rPr>
        <w:t xml:space="preserve"> potentially</w:t>
      </w:r>
      <w:r w:rsidRPr="00FA54ED">
        <w:rPr>
          <w:rFonts w:ascii="Times New Roman" w:hAnsi="Times New Roman" w:cs="Times New Roman"/>
          <w:lang w:val="en-GB"/>
        </w:rPr>
        <w:t xml:space="preserve"> be</w:t>
      </w:r>
      <w:r w:rsidR="008C098F" w:rsidRPr="00FA54ED">
        <w:rPr>
          <w:rFonts w:ascii="Times New Roman" w:hAnsi="Times New Roman" w:cs="Times New Roman"/>
          <w:lang w:val="en-GB"/>
        </w:rPr>
        <w:t xml:space="preserve"> exploited even though there exists competition on a broader market. This represents a shift from market structure analysis toward economic reality assessment, focusing on actual competitive constraints rather than abstract market boundaries.</w:t>
      </w:r>
    </w:p>
    <w:p w14:paraId="00AA4001" w14:textId="6095E53E" w:rsidR="00A839C7" w:rsidRPr="00FA54ED" w:rsidRDefault="00A839C7" w:rsidP="009A2A10">
      <w:pPr>
        <w:pStyle w:val="Stext"/>
        <w:rPr>
          <w:rFonts w:ascii="Times New Roman" w:hAnsi="Times New Roman" w:cs="Times New Roman"/>
          <w:lang w:val="en-GB"/>
        </w:rPr>
      </w:pPr>
      <w:r w:rsidRPr="00FA54ED">
        <w:rPr>
          <w:rFonts w:ascii="Times New Roman" w:hAnsi="Times New Roman" w:cs="Times New Roman"/>
          <w:lang w:val="en-GB"/>
        </w:rPr>
        <w:t>The Court's finding that Constantin's delivery ban was disproportionate to the underlying contractual dispute introduce</w:t>
      </w:r>
      <w:r w:rsidR="009A787F" w:rsidRPr="00FA54ED">
        <w:rPr>
          <w:rFonts w:ascii="Times New Roman" w:hAnsi="Times New Roman" w:cs="Times New Roman"/>
          <w:lang w:val="en-GB"/>
        </w:rPr>
        <w:t>d</w:t>
      </w:r>
      <w:r w:rsidRPr="00FA54ED">
        <w:rPr>
          <w:rFonts w:ascii="Times New Roman" w:hAnsi="Times New Roman" w:cs="Times New Roman"/>
          <w:lang w:val="en-GB"/>
        </w:rPr>
        <w:t xml:space="preserve"> a crucial proportionality test for relative market power abuse. This prevents dominant parties from leveraging their </w:t>
      </w:r>
      <w:r w:rsidR="009A787F" w:rsidRPr="00FA54ED">
        <w:rPr>
          <w:rFonts w:ascii="Times New Roman" w:hAnsi="Times New Roman" w:cs="Times New Roman"/>
          <w:lang w:val="en-GB"/>
        </w:rPr>
        <w:t xml:space="preserve">superior negotiating </w:t>
      </w:r>
      <w:r w:rsidRPr="00FA54ED">
        <w:rPr>
          <w:rFonts w:ascii="Times New Roman" w:hAnsi="Times New Roman" w:cs="Times New Roman"/>
          <w:lang w:val="en-GB"/>
        </w:rPr>
        <w:t>position to extract disproportionate remedies for unrelated contractual disagreements.</w:t>
      </w:r>
    </w:p>
    <w:p w14:paraId="207A3B45" w14:textId="38674182" w:rsidR="00A839C7" w:rsidRPr="00FA54ED" w:rsidRDefault="00A839C7" w:rsidP="009A2A10">
      <w:pPr>
        <w:pStyle w:val="Stext"/>
        <w:rPr>
          <w:rFonts w:ascii="Times New Roman" w:hAnsi="Times New Roman" w:cs="Times New Roman"/>
          <w:lang w:val="en-GB"/>
        </w:rPr>
      </w:pPr>
      <w:r w:rsidRPr="00FA54ED">
        <w:rPr>
          <w:rFonts w:ascii="Times New Roman" w:hAnsi="Times New Roman" w:cs="Times New Roman"/>
          <w:lang w:val="en-GB"/>
        </w:rPr>
        <w:t>By recognizing how exclusive distribution systems create exploitable dependencies, the case es</w:t>
      </w:r>
      <w:r w:rsidR="00FA54ED">
        <w:rPr>
          <w:rFonts w:ascii="Times New Roman" w:hAnsi="Times New Roman" w:cs="Times New Roman"/>
          <w:lang w:val="en-GB"/>
        </w:rPr>
        <w:t>tablishes a framework for analys</w:t>
      </w:r>
      <w:r w:rsidRPr="00FA54ED">
        <w:rPr>
          <w:rFonts w:ascii="Times New Roman" w:hAnsi="Times New Roman" w:cs="Times New Roman"/>
          <w:lang w:val="en-GB"/>
        </w:rPr>
        <w:t>ing competition in industries where traditional substitutability analysis fails to capture genuine competitive constraints. This approach proves particularly valuable in creative industries, distribution networks, and other sectors characterized by exclusive dealing arrangements.</w:t>
      </w:r>
    </w:p>
    <w:p w14:paraId="40187626" w14:textId="71AF1BDD" w:rsidR="00992A49" w:rsidRPr="00FA54ED" w:rsidRDefault="0048558F" w:rsidP="00F67680">
      <w:pPr>
        <w:pStyle w:val="Sheading2"/>
        <w:numPr>
          <w:ilvl w:val="1"/>
          <w:numId w:val="25"/>
        </w:numPr>
        <w:ind w:left="567" w:hanging="567"/>
        <w:rPr>
          <w:rFonts w:ascii="Times New Roman" w:hAnsi="Times New Roman" w:cs="Times New Roman"/>
          <w:b/>
          <w:bCs/>
          <w:i/>
          <w:iCs/>
          <w:lang w:val="en-GB"/>
        </w:rPr>
      </w:pPr>
      <w:r w:rsidRPr="00FA54ED">
        <w:rPr>
          <w:rFonts w:ascii="Times New Roman" w:hAnsi="Times New Roman" w:cs="Times New Roman"/>
          <w:b/>
          <w:bCs/>
          <w:lang w:val="en-GB"/>
        </w:rPr>
        <w:t xml:space="preserve">OGH 18.07.2000 </w:t>
      </w:r>
      <w:r w:rsidR="00992A49" w:rsidRPr="00FA54ED">
        <w:rPr>
          <w:rFonts w:ascii="Times New Roman" w:hAnsi="Times New Roman" w:cs="Times New Roman"/>
          <w:b/>
          <w:bCs/>
          <w:lang w:val="en-GB"/>
        </w:rPr>
        <w:t>4 Ob 114/00v</w:t>
      </w:r>
      <w:r w:rsidRPr="00FA54ED">
        <w:rPr>
          <w:rFonts w:ascii="Times New Roman" w:hAnsi="Times New Roman" w:cs="Times New Roman"/>
          <w:b/>
          <w:bCs/>
          <w:lang w:val="en-GB"/>
        </w:rPr>
        <w:t xml:space="preserve"> – </w:t>
      </w:r>
      <w:proofErr w:type="spellStart"/>
      <w:r w:rsidRPr="00FA54ED">
        <w:rPr>
          <w:rFonts w:ascii="Times New Roman" w:hAnsi="Times New Roman" w:cs="Times New Roman"/>
          <w:b/>
          <w:bCs/>
          <w:i/>
          <w:iCs/>
          <w:lang w:val="en-GB"/>
        </w:rPr>
        <w:t>Filmverleih</w:t>
      </w:r>
      <w:proofErr w:type="spellEnd"/>
      <w:r w:rsidRPr="00FA54ED">
        <w:rPr>
          <w:rFonts w:ascii="Times New Roman" w:hAnsi="Times New Roman" w:cs="Times New Roman"/>
          <w:b/>
          <w:bCs/>
          <w:i/>
          <w:iCs/>
          <w:lang w:val="en-GB"/>
        </w:rPr>
        <w:t xml:space="preserve"> II</w:t>
      </w:r>
    </w:p>
    <w:p w14:paraId="0BF649BF" w14:textId="381A75BB" w:rsidR="00992A49" w:rsidRPr="00FA54ED" w:rsidRDefault="00992A49" w:rsidP="009A2A10">
      <w:pPr>
        <w:pStyle w:val="Stext"/>
        <w:rPr>
          <w:rFonts w:ascii="Times New Roman" w:hAnsi="Times New Roman" w:cs="Times New Roman"/>
          <w:lang w:val="en-GB"/>
        </w:rPr>
      </w:pPr>
      <w:bookmarkStart w:id="1" w:name="_Hlk200448289"/>
      <w:r w:rsidRPr="00FA54ED">
        <w:rPr>
          <w:rFonts w:ascii="Times New Roman" w:hAnsi="Times New Roman" w:cs="Times New Roman"/>
          <w:lang w:val="en-GB"/>
        </w:rPr>
        <w:t xml:space="preserve">In this subsequent </w:t>
      </w:r>
      <w:r w:rsidR="00F67680" w:rsidRPr="00FA54ED">
        <w:rPr>
          <w:rFonts w:ascii="Times New Roman" w:hAnsi="Times New Roman" w:cs="Times New Roman"/>
          <w:lang w:val="en-GB"/>
        </w:rPr>
        <w:t xml:space="preserve">case to </w:t>
      </w:r>
      <w:proofErr w:type="spellStart"/>
      <w:r w:rsidR="00F67680" w:rsidRPr="00FA54ED">
        <w:rPr>
          <w:rFonts w:ascii="Times New Roman" w:hAnsi="Times New Roman" w:cs="Times New Roman"/>
          <w:i/>
          <w:iCs/>
          <w:lang w:val="en-GB"/>
        </w:rPr>
        <w:t>Filmverleih</w:t>
      </w:r>
      <w:proofErr w:type="spellEnd"/>
      <w:r w:rsidR="00F67680" w:rsidRPr="00FA54ED">
        <w:rPr>
          <w:rFonts w:ascii="Times New Roman" w:hAnsi="Times New Roman" w:cs="Times New Roman"/>
          <w:i/>
          <w:iCs/>
          <w:lang w:val="en-GB"/>
        </w:rPr>
        <w:t xml:space="preserve"> I</w:t>
      </w:r>
      <w:r w:rsidR="00F67680" w:rsidRPr="00FA54ED">
        <w:rPr>
          <w:rFonts w:ascii="Times New Roman" w:hAnsi="Times New Roman" w:cs="Times New Roman"/>
          <w:lang w:val="en-GB"/>
        </w:rPr>
        <w:t xml:space="preserve">, </w:t>
      </w:r>
      <w:bookmarkEnd w:id="1"/>
      <w:r w:rsidR="00ED10F3" w:rsidRPr="00FA54ED">
        <w:rPr>
          <w:rFonts w:ascii="Times New Roman" w:hAnsi="Times New Roman" w:cs="Times New Roman"/>
          <w:lang w:val="en-GB"/>
        </w:rPr>
        <w:t>t</w:t>
      </w:r>
      <w:r w:rsidR="00CC71AF" w:rsidRPr="00FA54ED">
        <w:rPr>
          <w:rFonts w:ascii="Times New Roman" w:hAnsi="Times New Roman" w:cs="Times New Roman"/>
          <w:lang w:val="en-GB"/>
        </w:rPr>
        <w:t>he OGH</w:t>
      </w:r>
      <w:r w:rsidRPr="00FA54ED">
        <w:rPr>
          <w:rFonts w:ascii="Times New Roman" w:hAnsi="Times New Roman" w:cs="Times New Roman"/>
          <w:lang w:val="en-GB"/>
        </w:rPr>
        <w:t xml:space="preserve"> </w:t>
      </w:r>
      <w:r w:rsidR="00ED10F3" w:rsidRPr="00FA54ED">
        <w:rPr>
          <w:rFonts w:ascii="Times New Roman" w:hAnsi="Times New Roman" w:cs="Times New Roman"/>
          <w:lang w:val="en-GB"/>
        </w:rPr>
        <w:t xml:space="preserve">argued </w:t>
      </w:r>
      <w:r w:rsidRPr="00FA54ED">
        <w:rPr>
          <w:rFonts w:ascii="Times New Roman" w:hAnsi="Times New Roman" w:cs="Times New Roman"/>
          <w:lang w:val="en-GB"/>
        </w:rPr>
        <w:t xml:space="preserve">that particularly promising films (blockbusters) can be </w:t>
      </w:r>
      <w:r w:rsidR="00F67680" w:rsidRPr="00FA54ED">
        <w:rPr>
          <w:rFonts w:ascii="Times New Roman" w:hAnsi="Times New Roman" w:cs="Times New Roman"/>
          <w:lang w:val="en-GB"/>
        </w:rPr>
        <w:t xml:space="preserve">viewed </w:t>
      </w:r>
      <w:r w:rsidRPr="00FA54ED">
        <w:rPr>
          <w:rFonts w:ascii="Times New Roman" w:hAnsi="Times New Roman" w:cs="Times New Roman"/>
          <w:lang w:val="en-GB"/>
        </w:rPr>
        <w:t xml:space="preserve">as separate markets. A key factor in affirming </w:t>
      </w:r>
      <w:r w:rsidR="00F67680" w:rsidRPr="00FA54ED">
        <w:rPr>
          <w:rFonts w:ascii="Times New Roman" w:hAnsi="Times New Roman" w:cs="Times New Roman"/>
          <w:lang w:val="en-GB"/>
        </w:rPr>
        <w:t xml:space="preserve">Constantin's </w:t>
      </w:r>
      <w:r w:rsidRPr="00FA54ED">
        <w:rPr>
          <w:rFonts w:ascii="Times New Roman" w:hAnsi="Times New Roman" w:cs="Times New Roman"/>
          <w:lang w:val="en-GB"/>
        </w:rPr>
        <w:t xml:space="preserve">obligation to </w:t>
      </w:r>
      <w:r w:rsidR="00F67680" w:rsidRPr="00FA54ED">
        <w:rPr>
          <w:rFonts w:ascii="Times New Roman" w:hAnsi="Times New Roman" w:cs="Times New Roman"/>
          <w:lang w:val="en-GB"/>
        </w:rPr>
        <w:t xml:space="preserve">supply </w:t>
      </w:r>
      <w:r w:rsidRPr="00FA54ED">
        <w:rPr>
          <w:rFonts w:ascii="Times New Roman" w:hAnsi="Times New Roman" w:cs="Times New Roman"/>
          <w:lang w:val="en-GB"/>
        </w:rPr>
        <w:t xml:space="preserve">was that the case involved </w:t>
      </w:r>
      <w:r w:rsidR="000C2AD0" w:rsidRPr="00FA54ED">
        <w:rPr>
          <w:rFonts w:ascii="Times New Roman" w:hAnsi="Times New Roman" w:cs="Times New Roman"/>
          <w:lang w:val="en-GB"/>
        </w:rPr>
        <w:t>"</w:t>
      </w:r>
      <w:r w:rsidRPr="00FA54ED">
        <w:rPr>
          <w:rFonts w:ascii="Times New Roman" w:hAnsi="Times New Roman" w:cs="Times New Roman"/>
          <w:lang w:val="en-GB"/>
        </w:rPr>
        <w:t>promising first-run release</w:t>
      </w:r>
      <w:r w:rsidR="00F67680" w:rsidRPr="00FA54ED">
        <w:rPr>
          <w:rFonts w:ascii="Times New Roman" w:hAnsi="Times New Roman" w:cs="Times New Roman"/>
          <w:lang w:val="en-GB"/>
        </w:rPr>
        <w:t>s</w:t>
      </w:r>
      <w:r w:rsidR="000C2AD0" w:rsidRPr="00FA54ED">
        <w:rPr>
          <w:rFonts w:ascii="Times New Roman" w:hAnsi="Times New Roman" w:cs="Times New Roman"/>
          <w:lang w:val="en-GB"/>
        </w:rPr>
        <w:t xml:space="preserve">" </w:t>
      </w:r>
      <w:r w:rsidRPr="00FA54ED">
        <w:rPr>
          <w:rFonts w:ascii="Times New Roman" w:hAnsi="Times New Roman" w:cs="Times New Roman"/>
          <w:lang w:val="en-GB"/>
        </w:rPr>
        <w:t xml:space="preserve">which, if withheld, would result in the loss of substantial revenues </w:t>
      </w:r>
      <w:r w:rsidR="00F67680" w:rsidRPr="00FA54ED">
        <w:rPr>
          <w:rFonts w:ascii="Times New Roman" w:hAnsi="Times New Roman" w:cs="Times New Roman"/>
          <w:lang w:val="en-GB"/>
        </w:rPr>
        <w:t>form</w:t>
      </w:r>
      <w:r w:rsidR="009A787F" w:rsidRPr="00FA54ED">
        <w:rPr>
          <w:rFonts w:ascii="Times New Roman" w:hAnsi="Times New Roman" w:cs="Times New Roman"/>
          <w:lang w:val="en-GB"/>
        </w:rPr>
        <w:t>ing</w:t>
      </w:r>
      <w:r w:rsidR="00F67680" w:rsidRPr="00FA54ED">
        <w:rPr>
          <w:rFonts w:ascii="Times New Roman" w:hAnsi="Times New Roman" w:cs="Times New Roman"/>
          <w:lang w:val="en-GB"/>
        </w:rPr>
        <w:t xml:space="preserve"> part of </w:t>
      </w:r>
      <w:r w:rsidRPr="00FA54ED">
        <w:rPr>
          <w:rFonts w:ascii="Times New Roman" w:hAnsi="Times New Roman" w:cs="Times New Roman"/>
          <w:lang w:val="en-GB"/>
        </w:rPr>
        <w:t>the cinema operators’ business planning</w:t>
      </w:r>
      <w:r w:rsidR="009A787F" w:rsidRPr="00FA54ED">
        <w:rPr>
          <w:rFonts w:ascii="Times New Roman" w:hAnsi="Times New Roman" w:cs="Times New Roman"/>
          <w:lang w:val="en-GB"/>
        </w:rPr>
        <w:t>,</w:t>
      </w:r>
      <w:r w:rsidRPr="00FA54ED">
        <w:rPr>
          <w:rFonts w:ascii="Times New Roman" w:hAnsi="Times New Roman" w:cs="Times New Roman"/>
          <w:lang w:val="en-GB"/>
        </w:rPr>
        <w:t xml:space="preserve"> and </w:t>
      </w:r>
      <w:r w:rsidR="00F67680" w:rsidRPr="00FA54ED">
        <w:rPr>
          <w:rFonts w:ascii="Times New Roman" w:hAnsi="Times New Roman" w:cs="Times New Roman"/>
          <w:lang w:val="en-GB"/>
        </w:rPr>
        <w:t xml:space="preserve">which </w:t>
      </w:r>
      <w:r w:rsidR="009A787F" w:rsidRPr="00FA54ED">
        <w:rPr>
          <w:rFonts w:ascii="Times New Roman" w:hAnsi="Times New Roman" w:cs="Times New Roman"/>
          <w:lang w:val="en-GB"/>
        </w:rPr>
        <w:t>a</w:t>
      </w:r>
      <w:r w:rsidRPr="00FA54ED">
        <w:rPr>
          <w:rFonts w:ascii="Times New Roman" w:hAnsi="Times New Roman" w:cs="Times New Roman"/>
          <w:lang w:val="en-GB"/>
        </w:rPr>
        <w:t>re essential for the continued operation of</w:t>
      </w:r>
      <w:r w:rsidR="00F67680" w:rsidRPr="00FA54ED">
        <w:rPr>
          <w:rFonts w:ascii="Times New Roman" w:hAnsi="Times New Roman" w:cs="Times New Roman"/>
          <w:lang w:val="en-GB"/>
        </w:rPr>
        <w:t xml:space="preserve"> the movie theatres</w:t>
      </w:r>
      <w:r w:rsidRPr="00FA54ED">
        <w:rPr>
          <w:rFonts w:ascii="Times New Roman" w:hAnsi="Times New Roman" w:cs="Times New Roman"/>
          <w:lang w:val="en-GB"/>
        </w:rPr>
        <w:t>. This was assessed as a serious economic disadvantage within the meaning of §</w:t>
      </w:r>
      <w:r w:rsidR="00C10E66" w:rsidRPr="00FA54ED">
        <w:rPr>
          <w:rFonts w:ascii="Times New Roman" w:hAnsi="Times New Roman" w:cs="Times New Roman"/>
          <w:lang w:val="en-GB"/>
        </w:rPr>
        <w:t> </w:t>
      </w:r>
      <w:r w:rsidR="000B0F62" w:rsidRPr="00FA54ED">
        <w:rPr>
          <w:rFonts w:ascii="Times New Roman" w:hAnsi="Times New Roman" w:cs="Times New Roman"/>
          <w:lang w:val="en-GB"/>
        </w:rPr>
        <w:t>4a</w:t>
      </w:r>
      <w:r w:rsidRPr="00FA54ED">
        <w:rPr>
          <w:rFonts w:ascii="Times New Roman" w:hAnsi="Times New Roman" w:cs="Times New Roman"/>
          <w:lang w:val="en-GB"/>
        </w:rPr>
        <w:t xml:space="preserve"> Cartel Act, </w:t>
      </w:r>
      <w:r w:rsidR="00C10E66" w:rsidRPr="00FA54ED">
        <w:rPr>
          <w:rFonts w:ascii="Times New Roman" w:hAnsi="Times New Roman" w:cs="Times New Roman"/>
          <w:lang w:val="en-GB"/>
        </w:rPr>
        <w:t xml:space="preserve">and as a factor forcing </w:t>
      </w:r>
      <w:r w:rsidRPr="00FA54ED">
        <w:rPr>
          <w:rFonts w:ascii="Times New Roman" w:hAnsi="Times New Roman" w:cs="Times New Roman"/>
          <w:lang w:val="en-GB"/>
        </w:rPr>
        <w:t xml:space="preserve">the </w:t>
      </w:r>
      <w:r w:rsidR="00C10E66" w:rsidRPr="00FA54ED">
        <w:rPr>
          <w:rFonts w:ascii="Times New Roman" w:hAnsi="Times New Roman" w:cs="Times New Roman"/>
          <w:lang w:val="en-GB"/>
        </w:rPr>
        <w:t xml:space="preserve">cinema </w:t>
      </w:r>
      <w:r w:rsidRPr="00FA54ED">
        <w:rPr>
          <w:rFonts w:ascii="Times New Roman" w:hAnsi="Times New Roman" w:cs="Times New Roman"/>
          <w:lang w:val="en-GB"/>
        </w:rPr>
        <w:t xml:space="preserve">operators </w:t>
      </w:r>
      <w:r w:rsidR="00C10E66" w:rsidRPr="00FA54ED">
        <w:rPr>
          <w:rFonts w:ascii="Times New Roman" w:hAnsi="Times New Roman" w:cs="Times New Roman"/>
          <w:lang w:val="en-GB"/>
        </w:rPr>
        <w:t xml:space="preserve">to </w:t>
      </w:r>
      <w:r w:rsidRPr="00FA54ED">
        <w:rPr>
          <w:rFonts w:ascii="Times New Roman" w:hAnsi="Times New Roman" w:cs="Times New Roman"/>
          <w:lang w:val="en-GB"/>
        </w:rPr>
        <w:t>maintain their business relationship</w:t>
      </w:r>
      <w:r w:rsidR="00C10E66" w:rsidRPr="00FA54ED">
        <w:rPr>
          <w:rFonts w:ascii="Times New Roman" w:hAnsi="Times New Roman" w:cs="Times New Roman"/>
          <w:lang w:val="en-GB"/>
        </w:rPr>
        <w:t xml:space="preserve"> with Constantin</w:t>
      </w:r>
      <w:r w:rsidRPr="00FA54ED">
        <w:rPr>
          <w:rFonts w:ascii="Times New Roman" w:hAnsi="Times New Roman" w:cs="Times New Roman"/>
          <w:lang w:val="en-GB"/>
        </w:rPr>
        <w:t>.</w:t>
      </w:r>
      <w:r w:rsidR="005E0D59" w:rsidRPr="00FA54ED">
        <w:rPr>
          <w:rFonts w:ascii="Times New Roman" w:hAnsi="Times New Roman" w:cs="Times New Roman"/>
          <w:lang w:val="en-GB"/>
        </w:rPr>
        <w:t xml:space="preserve"> </w:t>
      </w:r>
      <w:r w:rsidR="00ED10F3" w:rsidRPr="00FA54ED">
        <w:rPr>
          <w:rFonts w:ascii="Times New Roman" w:hAnsi="Times New Roman" w:cs="Times New Roman"/>
          <w:lang w:val="en-GB"/>
        </w:rPr>
        <w:t xml:space="preserve">According to this </w:t>
      </w:r>
      <w:r w:rsidRPr="00FA54ED">
        <w:rPr>
          <w:rFonts w:ascii="Times New Roman" w:hAnsi="Times New Roman" w:cs="Times New Roman"/>
          <w:lang w:val="en-GB"/>
        </w:rPr>
        <w:t>decision</w:t>
      </w:r>
      <w:r w:rsidR="00ED10F3" w:rsidRPr="00FA54ED">
        <w:rPr>
          <w:rFonts w:ascii="Times New Roman" w:hAnsi="Times New Roman" w:cs="Times New Roman"/>
          <w:lang w:val="en-GB"/>
        </w:rPr>
        <w:t>,</w:t>
      </w:r>
      <w:r w:rsidRPr="00FA54ED">
        <w:rPr>
          <w:rFonts w:ascii="Times New Roman" w:hAnsi="Times New Roman" w:cs="Times New Roman"/>
          <w:lang w:val="en-GB"/>
        </w:rPr>
        <w:t xml:space="preserve"> </w:t>
      </w:r>
      <w:r w:rsidR="00ED10F3" w:rsidRPr="00FA54ED">
        <w:rPr>
          <w:rFonts w:ascii="Times New Roman" w:hAnsi="Times New Roman" w:cs="Times New Roman"/>
          <w:lang w:val="en-GB"/>
        </w:rPr>
        <w:lastRenderedPageBreak/>
        <w:t>under specific circumstances,</w:t>
      </w:r>
      <w:r w:rsidRPr="00FA54ED">
        <w:rPr>
          <w:rFonts w:ascii="Times New Roman" w:hAnsi="Times New Roman" w:cs="Times New Roman"/>
          <w:lang w:val="en-GB"/>
        </w:rPr>
        <w:t xml:space="preserve"> </w:t>
      </w:r>
      <w:r w:rsidR="00ED10F3" w:rsidRPr="00FA54ED">
        <w:rPr>
          <w:rFonts w:ascii="Times New Roman" w:hAnsi="Times New Roman" w:cs="Times New Roman"/>
          <w:lang w:val="en-GB"/>
        </w:rPr>
        <w:t xml:space="preserve">certain products may </w:t>
      </w:r>
      <w:r w:rsidRPr="00FA54ED">
        <w:rPr>
          <w:rFonts w:ascii="Times New Roman" w:hAnsi="Times New Roman" w:cs="Times New Roman"/>
          <w:lang w:val="en-GB"/>
        </w:rPr>
        <w:t>constitute a separate market solely due to their characteristics, price level, or intended use</w:t>
      </w:r>
      <w:r w:rsidR="00ED10F3" w:rsidRPr="00FA54ED">
        <w:rPr>
          <w:rFonts w:ascii="Times New Roman" w:hAnsi="Times New Roman" w:cs="Times New Roman"/>
          <w:lang w:val="en-GB"/>
        </w:rPr>
        <w:t xml:space="preserve">, </w:t>
      </w:r>
      <w:r w:rsidRPr="00FA54ED">
        <w:rPr>
          <w:rFonts w:ascii="Times New Roman" w:hAnsi="Times New Roman" w:cs="Times New Roman"/>
          <w:lang w:val="en-GB"/>
        </w:rPr>
        <w:t xml:space="preserve">particularly when </w:t>
      </w:r>
      <w:r w:rsidR="009A787F" w:rsidRPr="00FA54ED">
        <w:rPr>
          <w:rFonts w:ascii="Times New Roman" w:hAnsi="Times New Roman" w:cs="Times New Roman"/>
          <w:lang w:val="en-GB"/>
        </w:rPr>
        <w:t xml:space="preserve">they benefit from </w:t>
      </w:r>
      <w:r w:rsidR="00C10E66" w:rsidRPr="00FA54ED">
        <w:rPr>
          <w:rFonts w:ascii="Times New Roman" w:hAnsi="Times New Roman" w:cs="Times New Roman"/>
          <w:lang w:val="en-GB"/>
        </w:rPr>
        <w:t xml:space="preserve">strong </w:t>
      </w:r>
      <w:r w:rsidRPr="00FA54ED">
        <w:rPr>
          <w:rFonts w:ascii="Times New Roman" w:hAnsi="Times New Roman" w:cs="Times New Roman"/>
          <w:lang w:val="en-GB"/>
        </w:rPr>
        <w:t>consumer preferences.</w:t>
      </w:r>
    </w:p>
    <w:p w14:paraId="348759DB" w14:textId="26B48754" w:rsidR="00876623" w:rsidRPr="00FA54ED" w:rsidRDefault="00C10E66" w:rsidP="009A2A10">
      <w:pPr>
        <w:pStyle w:val="Stext"/>
        <w:rPr>
          <w:rFonts w:ascii="Times New Roman" w:hAnsi="Times New Roman" w:cs="Times New Roman"/>
          <w:lang w:val="en-GB"/>
        </w:rPr>
      </w:pPr>
      <w:r w:rsidRPr="00FA54ED">
        <w:rPr>
          <w:rFonts w:ascii="Times New Roman" w:hAnsi="Times New Roman" w:cs="Times New Roman"/>
          <w:bCs/>
          <w:i/>
          <w:lang w:val="en-GB"/>
        </w:rPr>
        <w:t>Conclusion:</w:t>
      </w:r>
      <w:r w:rsidR="00C22F7F" w:rsidRPr="00FA54ED">
        <w:rPr>
          <w:rFonts w:ascii="Times New Roman" w:hAnsi="Times New Roman" w:cs="Times New Roman"/>
          <w:b/>
          <w:bCs/>
          <w:lang w:val="en-GB"/>
        </w:rPr>
        <w:t xml:space="preserve"> </w:t>
      </w:r>
      <w:r w:rsidR="00C22F7F" w:rsidRPr="00FA54ED">
        <w:rPr>
          <w:rFonts w:ascii="Times New Roman" w:hAnsi="Times New Roman" w:cs="Times New Roman"/>
          <w:bCs/>
          <w:lang w:val="en-GB"/>
        </w:rPr>
        <w:t xml:space="preserve">The case </w:t>
      </w:r>
      <w:proofErr w:type="spellStart"/>
      <w:r w:rsidR="00C22F7F" w:rsidRPr="00FA54ED">
        <w:rPr>
          <w:rFonts w:ascii="Times New Roman" w:hAnsi="Times New Roman" w:cs="Times New Roman"/>
          <w:bCs/>
          <w:i/>
          <w:iCs/>
          <w:lang w:val="en-GB"/>
        </w:rPr>
        <w:t>Filmverleih</w:t>
      </w:r>
      <w:proofErr w:type="spellEnd"/>
      <w:r w:rsidR="00C22F7F" w:rsidRPr="00FA54ED">
        <w:rPr>
          <w:rFonts w:ascii="Times New Roman" w:hAnsi="Times New Roman" w:cs="Times New Roman"/>
          <w:bCs/>
          <w:i/>
          <w:iCs/>
          <w:lang w:val="en-GB"/>
        </w:rPr>
        <w:t xml:space="preserve"> II</w:t>
      </w:r>
      <w:r w:rsidR="00876623" w:rsidRPr="00FA54ED">
        <w:rPr>
          <w:rFonts w:ascii="Times New Roman" w:hAnsi="Times New Roman" w:cs="Times New Roman"/>
          <w:bCs/>
          <w:lang w:val="en-GB"/>
        </w:rPr>
        <w:t xml:space="preserve"> shows</w:t>
      </w:r>
      <w:r w:rsidR="00C22F7F" w:rsidRPr="00FA54ED">
        <w:rPr>
          <w:rFonts w:ascii="Times New Roman" w:hAnsi="Times New Roman" w:cs="Times New Roman"/>
          <w:bCs/>
          <w:lang w:val="en-GB"/>
        </w:rPr>
        <w:t xml:space="preserve"> the</w:t>
      </w:r>
      <w:r w:rsidR="00876623" w:rsidRPr="00FA54ED">
        <w:rPr>
          <w:rFonts w:ascii="Times New Roman" w:hAnsi="Times New Roman" w:cs="Times New Roman"/>
          <w:bCs/>
          <w:lang w:val="en-GB"/>
        </w:rPr>
        <w:t xml:space="preserve"> importance</w:t>
      </w:r>
      <w:r w:rsidR="00DE1919" w:rsidRPr="00FA54ED">
        <w:rPr>
          <w:rFonts w:ascii="Times New Roman" w:hAnsi="Times New Roman" w:cs="Times New Roman"/>
          <w:bCs/>
          <w:lang w:val="en-GB"/>
        </w:rPr>
        <w:t xml:space="preserve"> to distinguish between the two key analytical steps of the economic delineation of the market on the one hand and the subsequent analysis of (relative) market power on the other hand</w:t>
      </w:r>
      <w:r w:rsidR="00876623" w:rsidRPr="00FA54ED">
        <w:rPr>
          <w:rFonts w:ascii="Times New Roman" w:hAnsi="Times New Roman" w:cs="Times New Roman"/>
          <w:bCs/>
          <w:lang w:val="en-GB"/>
        </w:rPr>
        <w:t xml:space="preserve">. </w:t>
      </w:r>
      <w:r w:rsidR="00FA54ED">
        <w:rPr>
          <w:rFonts w:ascii="Times New Roman" w:hAnsi="Times New Roman" w:cs="Times New Roman"/>
          <w:bCs/>
          <w:lang w:val="en-GB"/>
        </w:rPr>
        <w:t>The task of analys</w:t>
      </w:r>
      <w:r w:rsidR="00DE1919" w:rsidRPr="00FA54ED">
        <w:rPr>
          <w:rFonts w:ascii="Times New Roman" w:hAnsi="Times New Roman" w:cs="Times New Roman"/>
          <w:bCs/>
          <w:lang w:val="en-GB"/>
        </w:rPr>
        <w:t>ing a firm’s potential to ascertain market po</w:t>
      </w:r>
      <w:r w:rsidR="00E7039B" w:rsidRPr="00FA54ED">
        <w:rPr>
          <w:rFonts w:ascii="Times New Roman" w:hAnsi="Times New Roman" w:cs="Times New Roman"/>
          <w:bCs/>
          <w:lang w:val="en-GB"/>
        </w:rPr>
        <w:t>wer in relation to another firm</w:t>
      </w:r>
      <w:r w:rsidR="00DE1919" w:rsidRPr="00FA54ED">
        <w:rPr>
          <w:rFonts w:ascii="Times New Roman" w:hAnsi="Times New Roman" w:cs="Times New Roman"/>
          <w:bCs/>
          <w:lang w:val="en-GB"/>
        </w:rPr>
        <w:t xml:space="preserve"> should not be confused with an alteration of the market definition e.g.</w:t>
      </w:r>
      <w:r w:rsidR="00A94BD5" w:rsidRPr="00FA54ED">
        <w:rPr>
          <w:rFonts w:ascii="Times New Roman" w:hAnsi="Times New Roman" w:cs="Times New Roman"/>
          <w:bCs/>
          <w:lang w:val="en-GB"/>
        </w:rPr>
        <w:t xml:space="preserve"> the definition of</w:t>
      </w:r>
      <w:r w:rsidR="00DE1919" w:rsidRPr="00FA54ED">
        <w:rPr>
          <w:rFonts w:ascii="Times New Roman" w:hAnsi="Times New Roman" w:cs="Times New Roman"/>
          <w:bCs/>
          <w:lang w:val="en-GB"/>
        </w:rPr>
        <w:t xml:space="preserve"> </w:t>
      </w:r>
      <w:r w:rsidR="00A94BD5" w:rsidRPr="00FA54ED">
        <w:rPr>
          <w:rFonts w:ascii="Times New Roman" w:hAnsi="Times New Roman" w:cs="Times New Roman"/>
          <w:bCs/>
          <w:lang w:val="en-GB"/>
        </w:rPr>
        <w:t>markets in a narrow</w:t>
      </w:r>
      <w:r w:rsidR="009A787F" w:rsidRPr="00FA54ED">
        <w:rPr>
          <w:rFonts w:ascii="Times New Roman" w:hAnsi="Times New Roman" w:cs="Times New Roman"/>
          <w:bCs/>
          <w:lang w:val="en-GB"/>
        </w:rPr>
        <w:t>er</w:t>
      </w:r>
      <w:r w:rsidR="00A94BD5" w:rsidRPr="00FA54ED">
        <w:rPr>
          <w:rFonts w:ascii="Times New Roman" w:hAnsi="Times New Roman" w:cs="Times New Roman"/>
          <w:bCs/>
          <w:lang w:val="en-GB"/>
        </w:rPr>
        <w:t xml:space="preserve"> sense</w:t>
      </w:r>
      <w:r w:rsidR="00DE1919" w:rsidRPr="00FA54ED">
        <w:rPr>
          <w:rFonts w:ascii="Times New Roman" w:hAnsi="Times New Roman" w:cs="Times New Roman"/>
          <w:bCs/>
          <w:lang w:val="en-GB"/>
        </w:rPr>
        <w:t xml:space="preserve">. </w:t>
      </w:r>
    </w:p>
    <w:p w14:paraId="648BBF9D" w14:textId="6940B56A" w:rsidR="003F660E" w:rsidRPr="00FA54ED" w:rsidRDefault="003F660E" w:rsidP="00C10E66">
      <w:pPr>
        <w:pStyle w:val="Sheading2"/>
        <w:numPr>
          <w:ilvl w:val="1"/>
          <w:numId w:val="25"/>
        </w:numPr>
        <w:ind w:left="567" w:hanging="567"/>
        <w:rPr>
          <w:rFonts w:ascii="Times New Roman" w:hAnsi="Times New Roman" w:cs="Times New Roman"/>
          <w:b/>
          <w:bCs/>
          <w:i/>
          <w:iCs/>
          <w:lang w:val="en-GB"/>
        </w:rPr>
      </w:pPr>
      <w:bookmarkStart w:id="2" w:name="_Hlk199860956"/>
      <w:r w:rsidRPr="00FA54ED">
        <w:rPr>
          <w:rFonts w:ascii="Times New Roman" w:hAnsi="Times New Roman" w:cs="Times New Roman"/>
          <w:b/>
          <w:bCs/>
          <w:lang w:val="en-GB"/>
        </w:rPr>
        <w:t>OGH a</w:t>
      </w:r>
      <w:r w:rsidR="0048558F" w:rsidRPr="00FA54ED">
        <w:rPr>
          <w:rFonts w:ascii="Times New Roman" w:hAnsi="Times New Roman" w:cs="Times New Roman"/>
          <w:b/>
          <w:bCs/>
          <w:lang w:val="en-GB"/>
        </w:rPr>
        <w:t>s</w:t>
      </w:r>
      <w:r w:rsidRPr="00FA54ED">
        <w:rPr>
          <w:rFonts w:ascii="Times New Roman" w:hAnsi="Times New Roman" w:cs="Times New Roman"/>
          <w:b/>
          <w:bCs/>
          <w:lang w:val="en-GB"/>
        </w:rPr>
        <w:t xml:space="preserve"> KOG 01.07.2002 16 Ok 5/02 - </w:t>
      </w:r>
      <w:r w:rsidRPr="00FA54ED">
        <w:rPr>
          <w:rFonts w:ascii="Times New Roman" w:hAnsi="Times New Roman" w:cs="Times New Roman"/>
          <w:b/>
          <w:bCs/>
          <w:i/>
          <w:iCs/>
          <w:lang w:val="en-GB"/>
        </w:rPr>
        <w:t>Village Cinemas</w:t>
      </w:r>
    </w:p>
    <w:bookmarkEnd w:id="2"/>
    <w:p w14:paraId="40D6CD7B" w14:textId="49162D26" w:rsidR="00992A49" w:rsidRPr="00FA54ED" w:rsidRDefault="00992A49" w:rsidP="009A2A10">
      <w:pPr>
        <w:pStyle w:val="Stext"/>
        <w:rPr>
          <w:rFonts w:ascii="Times New Roman" w:hAnsi="Times New Roman" w:cs="Times New Roman"/>
          <w:lang w:val="en-GB"/>
        </w:rPr>
      </w:pPr>
      <w:r w:rsidRPr="00FA54ED">
        <w:rPr>
          <w:rFonts w:ascii="Times New Roman" w:hAnsi="Times New Roman" w:cs="Times New Roman"/>
          <w:lang w:val="en-GB"/>
        </w:rPr>
        <w:t xml:space="preserve">In </w:t>
      </w:r>
      <w:r w:rsidR="00360701" w:rsidRPr="00FA54ED">
        <w:rPr>
          <w:rFonts w:ascii="Times New Roman" w:hAnsi="Times New Roman" w:cs="Times New Roman"/>
          <w:lang w:val="en-GB"/>
        </w:rPr>
        <w:t xml:space="preserve">this case as well, a movie theatre operator requested an injunction to be regularly supplied by Constantin with film copies. However, in this case, the order sought was not restricted to </w:t>
      </w:r>
      <w:r w:rsidRPr="00FA54ED">
        <w:rPr>
          <w:rFonts w:ascii="Times New Roman" w:hAnsi="Times New Roman" w:cs="Times New Roman"/>
          <w:lang w:val="en-GB"/>
        </w:rPr>
        <w:t>promising first-run releases.</w:t>
      </w:r>
    </w:p>
    <w:p w14:paraId="03B69BAE" w14:textId="6E3C51C8" w:rsidR="00360701" w:rsidRPr="00FA54ED" w:rsidRDefault="005E0D59" w:rsidP="009A2A10">
      <w:pPr>
        <w:pStyle w:val="Stext"/>
        <w:rPr>
          <w:rFonts w:ascii="Times New Roman" w:hAnsi="Times New Roman" w:cs="Times New Roman"/>
          <w:lang w:val="en-GB"/>
        </w:rPr>
      </w:pPr>
      <w:r w:rsidRPr="00FA54ED">
        <w:rPr>
          <w:rFonts w:ascii="Times New Roman" w:hAnsi="Times New Roman" w:cs="Times New Roman"/>
          <w:bCs/>
          <w:i/>
          <w:lang w:val="en-GB"/>
        </w:rPr>
        <w:t>Facts:</w:t>
      </w:r>
      <w:r w:rsidRPr="00FA54ED">
        <w:rPr>
          <w:rFonts w:ascii="Times New Roman" w:hAnsi="Times New Roman" w:cs="Times New Roman"/>
          <w:lang w:val="en-GB"/>
        </w:rPr>
        <w:t xml:space="preserve"> </w:t>
      </w:r>
      <w:r w:rsidR="004E3CFC" w:rsidRPr="00FA54ED">
        <w:rPr>
          <w:rFonts w:ascii="Times New Roman" w:hAnsi="Times New Roman" w:cs="Times New Roman"/>
          <w:lang w:val="en-GB"/>
        </w:rPr>
        <w:t>Film distribution agreements in Austria are regularly based on “</w:t>
      </w:r>
      <w:r w:rsidR="00755380" w:rsidRPr="00FA54ED">
        <w:rPr>
          <w:rFonts w:ascii="Times New Roman" w:hAnsi="Times New Roman" w:cs="Times New Roman"/>
          <w:lang w:val="en-GB"/>
        </w:rPr>
        <w:t xml:space="preserve">Standard Film Licensing Conditions for </w:t>
      </w:r>
      <w:r w:rsidR="004E3CFC" w:rsidRPr="00FA54ED">
        <w:rPr>
          <w:rFonts w:ascii="Times New Roman" w:hAnsi="Times New Roman" w:cs="Times New Roman"/>
          <w:lang w:val="en-GB"/>
        </w:rPr>
        <w:t>Public Screenings”</w:t>
      </w:r>
      <w:r w:rsidR="00755380" w:rsidRPr="00FA54ED">
        <w:rPr>
          <w:rFonts w:ascii="Times New Roman" w:hAnsi="Times New Roman" w:cs="Times New Roman"/>
          <w:lang w:val="en-GB"/>
        </w:rPr>
        <w:t xml:space="preserve">, as established by the interest groups of film distributors and movie theatres. These conditions </w:t>
      </w:r>
      <w:r w:rsidR="004E3CFC" w:rsidRPr="00FA54ED">
        <w:rPr>
          <w:rFonts w:ascii="Times New Roman" w:hAnsi="Times New Roman" w:cs="Times New Roman"/>
          <w:lang w:val="en-GB"/>
        </w:rPr>
        <w:t xml:space="preserve">require a written film order and a response from the distributor within three weeks. In practice, orders are usually placed 2 to 6 weeks before the film’s release. The number of film copies </w:t>
      </w:r>
      <w:r w:rsidR="00755380" w:rsidRPr="00FA54ED">
        <w:rPr>
          <w:rFonts w:ascii="Times New Roman" w:hAnsi="Times New Roman" w:cs="Times New Roman"/>
          <w:lang w:val="en-GB"/>
        </w:rPr>
        <w:t xml:space="preserve">made available for first run releases </w:t>
      </w:r>
      <w:r w:rsidR="004E3CFC" w:rsidRPr="00FA54ED">
        <w:rPr>
          <w:rFonts w:ascii="Times New Roman" w:hAnsi="Times New Roman" w:cs="Times New Roman"/>
          <w:lang w:val="en-GB"/>
        </w:rPr>
        <w:t>varies depending on the film’s expected success (ranging</w:t>
      </w:r>
      <w:r w:rsidR="00755380" w:rsidRPr="00FA54ED">
        <w:rPr>
          <w:rFonts w:ascii="Times New Roman" w:hAnsi="Times New Roman" w:cs="Times New Roman"/>
          <w:lang w:val="en-GB"/>
        </w:rPr>
        <w:t>, at that time,</w:t>
      </w:r>
      <w:r w:rsidR="004E3CFC" w:rsidRPr="00FA54ED">
        <w:rPr>
          <w:rFonts w:ascii="Times New Roman" w:hAnsi="Times New Roman" w:cs="Times New Roman"/>
          <w:lang w:val="en-GB"/>
        </w:rPr>
        <w:t xml:space="preserve"> from 5 to 80 copies). Since capacity is limited, not all cinemas receive the desired copies</w:t>
      </w:r>
      <w:r w:rsidR="00755380" w:rsidRPr="00FA54ED">
        <w:rPr>
          <w:rFonts w:ascii="Times New Roman" w:hAnsi="Times New Roman" w:cs="Times New Roman"/>
          <w:lang w:val="en-GB"/>
        </w:rPr>
        <w:t xml:space="preserve">. Rather, the film distributors apply some form of quota </w:t>
      </w:r>
      <w:r w:rsidR="004E3CFC" w:rsidRPr="00FA54ED">
        <w:rPr>
          <w:rFonts w:ascii="Times New Roman" w:hAnsi="Times New Roman" w:cs="Times New Roman"/>
          <w:lang w:val="en-GB"/>
        </w:rPr>
        <w:t>allocation</w:t>
      </w:r>
      <w:r w:rsidR="00755380" w:rsidRPr="00FA54ED">
        <w:rPr>
          <w:rFonts w:ascii="Times New Roman" w:hAnsi="Times New Roman" w:cs="Times New Roman"/>
          <w:lang w:val="en-GB"/>
        </w:rPr>
        <w:t>, usually</w:t>
      </w:r>
      <w:r w:rsidR="004E3CFC" w:rsidRPr="00FA54ED">
        <w:rPr>
          <w:rFonts w:ascii="Times New Roman" w:hAnsi="Times New Roman" w:cs="Times New Roman"/>
          <w:lang w:val="en-GB"/>
        </w:rPr>
        <w:t xml:space="preserve"> based on </w:t>
      </w:r>
      <w:r w:rsidR="00755380" w:rsidRPr="00FA54ED">
        <w:rPr>
          <w:rFonts w:ascii="Times New Roman" w:hAnsi="Times New Roman" w:cs="Times New Roman"/>
          <w:lang w:val="en-GB"/>
        </w:rPr>
        <w:t>box office income (i.e</w:t>
      </w:r>
      <w:r w:rsidR="00EA3D3F" w:rsidRPr="00FA54ED">
        <w:rPr>
          <w:rFonts w:ascii="Times New Roman" w:hAnsi="Times New Roman" w:cs="Times New Roman"/>
          <w:lang w:val="en-GB"/>
        </w:rPr>
        <w:t>.</w:t>
      </w:r>
      <w:r w:rsidR="00755380" w:rsidRPr="00FA54ED">
        <w:rPr>
          <w:rFonts w:ascii="Times New Roman" w:hAnsi="Times New Roman" w:cs="Times New Roman"/>
          <w:lang w:val="en-GB"/>
        </w:rPr>
        <w:t xml:space="preserve"> cinemas with a better box office income are given preference) </w:t>
      </w:r>
      <w:r w:rsidR="004E3CFC" w:rsidRPr="00FA54ED">
        <w:rPr>
          <w:rFonts w:ascii="Times New Roman" w:hAnsi="Times New Roman" w:cs="Times New Roman"/>
          <w:lang w:val="en-GB"/>
        </w:rPr>
        <w:t>regional factors</w:t>
      </w:r>
      <w:r w:rsidR="00755380" w:rsidRPr="00FA54ED">
        <w:rPr>
          <w:rFonts w:ascii="Times New Roman" w:hAnsi="Times New Roman" w:cs="Times New Roman"/>
          <w:lang w:val="en-GB"/>
        </w:rPr>
        <w:t xml:space="preserve"> (location of the movie theatre)</w:t>
      </w:r>
      <w:r w:rsidR="004E3CFC" w:rsidRPr="00FA54ED">
        <w:rPr>
          <w:rFonts w:ascii="Times New Roman" w:hAnsi="Times New Roman" w:cs="Times New Roman"/>
          <w:lang w:val="en-GB"/>
        </w:rPr>
        <w:t>, and facilities</w:t>
      </w:r>
      <w:r w:rsidR="00755380" w:rsidRPr="00FA54ED">
        <w:rPr>
          <w:rFonts w:ascii="Times New Roman" w:hAnsi="Times New Roman" w:cs="Times New Roman"/>
          <w:lang w:val="en-GB"/>
        </w:rPr>
        <w:t xml:space="preserve"> (i.e</w:t>
      </w:r>
      <w:r w:rsidR="00EA3D3F" w:rsidRPr="00FA54ED">
        <w:rPr>
          <w:rFonts w:ascii="Times New Roman" w:hAnsi="Times New Roman" w:cs="Times New Roman"/>
          <w:lang w:val="en-GB"/>
        </w:rPr>
        <w:t>.</w:t>
      </w:r>
      <w:r w:rsidR="00755380" w:rsidRPr="00FA54ED">
        <w:rPr>
          <w:rFonts w:ascii="Times New Roman" w:hAnsi="Times New Roman" w:cs="Times New Roman"/>
          <w:lang w:val="en-GB"/>
        </w:rPr>
        <w:t xml:space="preserve"> how well the movie theatre is equipped)</w:t>
      </w:r>
      <w:r w:rsidR="004E3CFC" w:rsidRPr="00FA54ED">
        <w:rPr>
          <w:rFonts w:ascii="Times New Roman" w:hAnsi="Times New Roman" w:cs="Times New Roman"/>
          <w:lang w:val="en-GB"/>
        </w:rPr>
        <w:t>, rather than on the order date</w:t>
      </w:r>
      <w:r w:rsidR="00755380" w:rsidRPr="00FA54ED">
        <w:rPr>
          <w:rFonts w:ascii="Times New Roman" w:hAnsi="Times New Roman" w:cs="Times New Roman"/>
          <w:lang w:val="en-GB"/>
        </w:rPr>
        <w:t xml:space="preserve"> ("first come first serve")</w:t>
      </w:r>
      <w:r w:rsidR="004E3CFC" w:rsidRPr="00FA54ED">
        <w:rPr>
          <w:rFonts w:ascii="Times New Roman" w:hAnsi="Times New Roman" w:cs="Times New Roman"/>
          <w:lang w:val="en-GB"/>
        </w:rPr>
        <w:t xml:space="preserve">. The distribution fee is revenue-based and ranges between 40% and 50.1% of box office receipts. </w:t>
      </w:r>
    </w:p>
    <w:p w14:paraId="5E589102" w14:textId="6397D722" w:rsidR="004E3CFC" w:rsidRPr="00FA54ED" w:rsidRDefault="004E3CFC" w:rsidP="009A2A10">
      <w:pPr>
        <w:pStyle w:val="Stext"/>
        <w:rPr>
          <w:rFonts w:ascii="Times New Roman" w:hAnsi="Times New Roman" w:cs="Times New Roman"/>
          <w:lang w:val="en-GB"/>
        </w:rPr>
      </w:pPr>
      <w:r w:rsidRPr="00FA54ED">
        <w:rPr>
          <w:rFonts w:ascii="Times New Roman" w:hAnsi="Times New Roman" w:cs="Times New Roman"/>
          <w:lang w:val="en-GB"/>
        </w:rPr>
        <w:t xml:space="preserve">The film </w:t>
      </w:r>
      <w:proofErr w:type="spellStart"/>
      <w:r w:rsidRPr="00FA54ED">
        <w:rPr>
          <w:rFonts w:ascii="Times New Roman" w:hAnsi="Times New Roman" w:cs="Times New Roman"/>
          <w:i/>
          <w:iCs/>
          <w:lang w:val="en-GB"/>
        </w:rPr>
        <w:t>Chocolat</w:t>
      </w:r>
      <w:proofErr w:type="spellEnd"/>
      <w:r w:rsidRPr="00FA54ED">
        <w:rPr>
          <w:rFonts w:ascii="Times New Roman" w:hAnsi="Times New Roman" w:cs="Times New Roman"/>
          <w:lang w:val="en-GB"/>
        </w:rPr>
        <w:t xml:space="preserve"> was originally projected to attract 60,000 to 80,000 viewers but ultimately reached 225,000. For Austria, only 20 </w:t>
      </w:r>
      <w:r w:rsidR="00360701" w:rsidRPr="00FA54ED">
        <w:rPr>
          <w:rFonts w:ascii="Times New Roman" w:hAnsi="Times New Roman" w:cs="Times New Roman"/>
          <w:lang w:val="en-GB"/>
        </w:rPr>
        <w:t xml:space="preserve">first run release </w:t>
      </w:r>
      <w:r w:rsidRPr="00FA54ED">
        <w:rPr>
          <w:rFonts w:ascii="Times New Roman" w:hAnsi="Times New Roman" w:cs="Times New Roman"/>
          <w:lang w:val="en-GB"/>
        </w:rPr>
        <w:t xml:space="preserve">copies were </w:t>
      </w:r>
      <w:r w:rsidR="00360701" w:rsidRPr="00FA54ED">
        <w:rPr>
          <w:rFonts w:ascii="Times New Roman" w:hAnsi="Times New Roman" w:cs="Times New Roman"/>
          <w:lang w:val="en-GB"/>
        </w:rPr>
        <w:t xml:space="preserve">made </w:t>
      </w:r>
      <w:r w:rsidRPr="00FA54ED">
        <w:rPr>
          <w:rFonts w:ascii="Times New Roman" w:hAnsi="Times New Roman" w:cs="Times New Roman"/>
          <w:lang w:val="en-GB"/>
        </w:rPr>
        <w:t>available</w:t>
      </w:r>
      <w:r w:rsidR="00360701" w:rsidRPr="00FA54ED">
        <w:rPr>
          <w:rFonts w:ascii="Times New Roman" w:hAnsi="Times New Roman" w:cs="Times New Roman"/>
          <w:lang w:val="en-GB"/>
        </w:rPr>
        <w:t xml:space="preserve"> by Constantin</w:t>
      </w:r>
      <w:r w:rsidRPr="00FA54ED">
        <w:rPr>
          <w:rFonts w:ascii="Times New Roman" w:hAnsi="Times New Roman" w:cs="Times New Roman"/>
          <w:lang w:val="en-GB"/>
        </w:rPr>
        <w:t xml:space="preserve">, </w:t>
      </w:r>
      <w:r w:rsidR="00360701" w:rsidRPr="00FA54ED">
        <w:rPr>
          <w:rFonts w:ascii="Times New Roman" w:hAnsi="Times New Roman" w:cs="Times New Roman"/>
          <w:lang w:val="en-GB"/>
        </w:rPr>
        <w:t xml:space="preserve">acting as the </w:t>
      </w:r>
      <w:r w:rsidRPr="00FA54ED">
        <w:rPr>
          <w:rFonts w:ascii="Times New Roman" w:hAnsi="Times New Roman" w:cs="Times New Roman"/>
          <w:lang w:val="en-GB"/>
        </w:rPr>
        <w:t xml:space="preserve">exclusive </w:t>
      </w:r>
      <w:r w:rsidR="00360701" w:rsidRPr="00FA54ED">
        <w:rPr>
          <w:rFonts w:ascii="Times New Roman" w:hAnsi="Times New Roman" w:cs="Times New Roman"/>
          <w:lang w:val="en-GB"/>
        </w:rPr>
        <w:t xml:space="preserve">film distributor. </w:t>
      </w:r>
      <w:r w:rsidRPr="00FA54ED">
        <w:rPr>
          <w:rFonts w:ascii="Times New Roman" w:hAnsi="Times New Roman" w:cs="Times New Roman"/>
          <w:lang w:val="en-GB"/>
        </w:rPr>
        <w:t xml:space="preserve">The applicant expressed interest in securing a copy for Vienna but was only offered it on the condition that </w:t>
      </w:r>
      <w:r w:rsidR="005E0D59" w:rsidRPr="00FA54ED">
        <w:rPr>
          <w:rFonts w:ascii="Times New Roman" w:hAnsi="Times New Roman" w:cs="Times New Roman"/>
          <w:lang w:val="en-GB"/>
        </w:rPr>
        <w:t>it</w:t>
      </w:r>
      <w:r w:rsidRPr="00FA54ED">
        <w:rPr>
          <w:rFonts w:ascii="Times New Roman" w:hAnsi="Times New Roman" w:cs="Times New Roman"/>
          <w:lang w:val="en-GB"/>
        </w:rPr>
        <w:t xml:space="preserve"> also book</w:t>
      </w:r>
      <w:r w:rsidR="00360701" w:rsidRPr="00FA54ED">
        <w:rPr>
          <w:rFonts w:ascii="Times New Roman" w:hAnsi="Times New Roman" w:cs="Times New Roman"/>
          <w:lang w:val="en-GB"/>
        </w:rPr>
        <w:t>s</w:t>
      </w:r>
      <w:r w:rsidRPr="00FA54ED">
        <w:rPr>
          <w:rFonts w:ascii="Times New Roman" w:hAnsi="Times New Roman" w:cs="Times New Roman"/>
          <w:lang w:val="en-GB"/>
        </w:rPr>
        <w:t xml:space="preserve"> a copy for Wiener Neustadt, which </w:t>
      </w:r>
      <w:r w:rsidR="00360701" w:rsidRPr="00FA54ED">
        <w:rPr>
          <w:rFonts w:ascii="Times New Roman" w:hAnsi="Times New Roman" w:cs="Times New Roman"/>
          <w:lang w:val="en-GB"/>
        </w:rPr>
        <w:t xml:space="preserve">the applicant </w:t>
      </w:r>
      <w:r w:rsidRPr="00FA54ED">
        <w:rPr>
          <w:rFonts w:ascii="Times New Roman" w:hAnsi="Times New Roman" w:cs="Times New Roman"/>
          <w:lang w:val="en-GB"/>
        </w:rPr>
        <w:t xml:space="preserve">declined. </w:t>
      </w:r>
      <w:r w:rsidR="00695B45" w:rsidRPr="00FA54ED">
        <w:rPr>
          <w:rFonts w:ascii="Times New Roman" w:hAnsi="Times New Roman" w:cs="Times New Roman"/>
          <w:lang w:val="en-GB"/>
        </w:rPr>
        <w:t>Ultimately, s</w:t>
      </w:r>
      <w:r w:rsidRPr="00FA54ED">
        <w:rPr>
          <w:rFonts w:ascii="Times New Roman" w:hAnsi="Times New Roman" w:cs="Times New Roman"/>
          <w:lang w:val="en-GB"/>
        </w:rPr>
        <w:t xml:space="preserve">creenings of </w:t>
      </w:r>
      <w:proofErr w:type="spellStart"/>
      <w:r w:rsidRPr="00FA54ED">
        <w:rPr>
          <w:rFonts w:ascii="Times New Roman" w:hAnsi="Times New Roman" w:cs="Times New Roman"/>
          <w:i/>
          <w:iCs/>
          <w:lang w:val="en-GB"/>
        </w:rPr>
        <w:t>Chocolat</w:t>
      </w:r>
      <w:proofErr w:type="spellEnd"/>
      <w:r w:rsidRPr="00FA54ED">
        <w:rPr>
          <w:rFonts w:ascii="Times New Roman" w:hAnsi="Times New Roman" w:cs="Times New Roman"/>
          <w:lang w:val="en-GB"/>
        </w:rPr>
        <w:t xml:space="preserve"> in Vienna took place exclusively in cinemas belonging to the respondent.</w:t>
      </w:r>
      <w:r w:rsidR="001D0512" w:rsidRPr="00FA54ED">
        <w:rPr>
          <w:rFonts w:ascii="Times New Roman" w:hAnsi="Times New Roman" w:cs="Times New Roman"/>
          <w:lang w:val="en-GB"/>
        </w:rPr>
        <w:t xml:space="preserve"> </w:t>
      </w:r>
      <w:r w:rsidR="003F660E" w:rsidRPr="00FA54ED">
        <w:rPr>
          <w:rFonts w:ascii="Times New Roman" w:hAnsi="Times New Roman" w:cs="Times New Roman"/>
          <w:lang w:val="en-GB"/>
        </w:rPr>
        <w:t xml:space="preserve">Among the twelve </w:t>
      </w:r>
      <w:r w:rsidR="00695B45" w:rsidRPr="00FA54ED">
        <w:rPr>
          <w:rFonts w:ascii="Times New Roman" w:hAnsi="Times New Roman" w:cs="Times New Roman"/>
          <w:lang w:val="en-GB"/>
        </w:rPr>
        <w:t xml:space="preserve">Austrian </w:t>
      </w:r>
      <w:r w:rsidR="003F660E" w:rsidRPr="00FA54ED">
        <w:rPr>
          <w:rFonts w:ascii="Times New Roman" w:hAnsi="Times New Roman" w:cs="Times New Roman"/>
          <w:lang w:val="en-GB"/>
        </w:rPr>
        <w:t xml:space="preserve">film distributors, </w:t>
      </w:r>
      <w:r w:rsidR="005E0D59" w:rsidRPr="00FA54ED">
        <w:rPr>
          <w:rFonts w:ascii="Times New Roman" w:hAnsi="Times New Roman" w:cs="Times New Roman"/>
          <w:lang w:val="en-GB"/>
        </w:rPr>
        <w:t>the respondent</w:t>
      </w:r>
      <w:r w:rsidR="003F660E" w:rsidRPr="00FA54ED">
        <w:rPr>
          <w:rFonts w:ascii="Times New Roman" w:hAnsi="Times New Roman" w:cs="Times New Roman"/>
          <w:color w:val="FF0000"/>
          <w:lang w:val="en-GB"/>
        </w:rPr>
        <w:t xml:space="preserve"> </w:t>
      </w:r>
      <w:r w:rsidR="003F660E" w:rsidRPr="00FA54ED">
        <w:rPr>
          <w:rFonts w:ascii="Times New Roman" w:hAnsi="Times New Roman" w:cs="Times New Roman"/>
          <w:lang w:val="en-GB"/>
        </w:rPr>
        <w:t>ha</w:t>
      </w:r>
      <w:r w:rsidR="005E0D59" w:rsidRPr="00FA54ED">
        <w:rPr>
          <w:rFonts w:ascii="Times New Roman" w:hAnsi="Times New Roman" w:cs="Times New Roman"/>
          <w:lang w:val="en-GB"/>
        </w:rPr>
        <w:t>d</w:t>
      </w:r>
      <w:r w:rsidR="003F660E" w:rsidRPr="00FA54ED">
        <w:rPr>
          <w:rFonts w:ascii="Times New Roman" w:hAnsi="Times New Roman" w:cs="Times New Roman"/>
          <w:lang w:val="en-GB"/>
        </w:rPr>
        <w:t xml:space="preserve"> a market share of 11.6%</w:t>
      </w:r>
      <w:r w:rsidR="00695B45" w:rsidRPr="00FA54ED">
        <w:rPr>
          <w:rFonts w:ascii="Times New Roman" w:hAnsi="Times New Roman" w:cs="Times New Roman"/>
          <w:lang w:val="en-GB"/>
        </w:rPr>
        <w:t xml:space="preserve"> (measured as a percentage of box office income in the last year prior to the alleged infringement)</w:t>
      </w:r>
      <w:r w:rsidR="003F660E" w:rsidRPr="00FA54ED">
        <w:rPr>
          <w:rFonts w:ascii="Times New Roman" w:hAnsi="Times New Roman" w:cs="Times New Roman"/>
          <w:lang w:val="en-GB"/>
        </w:rPr>
        <w:t xml:space="preserve">. </w:t>
      </w:r>
    </w:p>
    <w:p w14:paraId="01D91B12" w14:textId="6E436FDE" w:rsidR="003F660E" w:rsidRPr="00FA54ED" w:rsidRDefault="003F660E" w:rsidP="009A2A10">
      <w:pPr>
        <w:pStyle w:val="Stext"/>
        <w:rPr>
          <w:rFonts w:ascii="Times New Roman" w:hAnsi="Times New Roman" w:cs="Times New Roman"/>
          <w:lang w:val="en-GB"/>
        </w:rPr>
      </w:pPr>
      <w:r w:rsidRPr="00FA54ED">
        <w:rPr>
          <w:rFonts w:ascii="Times New Roman" w:hAnsi="Times New Roman" w:cs="Times New Roman"/>
          <w:bCs/>
          <w:i/>
          <w:lang w:val="en-GB"/>
        </w:rPr>
        <w:t>Decision:</w:t>
      </w:r>
      <w:r w:rsidRPr="00FA54ED">
        <w:rPr>
          <w:rFonts w:ascii="Times New Roman" w:hAnsi="Times New Roman" w:cs="Times New Roman"/>
          <w:lang w:val="en-GB"/>
        </w:rPr>
        <w:t xml:space="preserve"> </w:t>
      </w:r>
      <w:r w:rsidR="00695B45" w:rsidRPr="00FA54ED">
        <w:rPr>
          <w:rFonts w:ascii="Times New Roman" w:hAnsi="Times New Roman" w:cs="Times New Roman"/>
          <w:lang w:val="en-GB"/>
        </w:rPr>
        <w:t xml:space="preserve">The OGH's judgment in this case continued the line of thinking established in </w:t>
      </w:r>
      <w:proofErr w:type="spellStart"/>
      <w:r w:rsidR="00695B45" w:rsidRPr="00FA54ED">
        <w:rPr>
          <w:rFonts w:ascii="Times New Roman" w:hAnsi="Times New Roman" w:cs="Times New Roman"/>
          <w:i/>
          <w:iCs/>
          <w:lang w:val="en-GB"/>
        </w:rPr>
        <w:t>Filmverleih</w:t>
      </w:r>
      <w:proofErr w:type="spellEnd"/>
      <w:r w:rsidR="00695B45" w:rsidRPr="00FA54ED">
        <w:rPr>
          <w:rFonts w:ascii="Times New Roman" w:hAnsi="Times New Roman" w:cs="Times New Roman"/>
          <w:i/>
          <w:iCs/>
          <w:lang w:val="en-GB"/>
        </w:rPr>
        <w:t xml:space="preserve"> I and II</w:t>
      </w:r>
      <w:r w:rsidR="00695B45" w:rsidRPr="00FA54ED">
        <w:rPr>
          <w:rFonts w:ascii="Times New Roman" w:hAnsi="Times New Roman" w:cs="Times New Roman"/>
          <w:lang w:val="en-GB"/>
        </w:rPr>
        <w:t xml:space="preserve">, but with a different outcome. While the court affirmed that the applicant is economically dependent on the exclusive film distributor regarding blockbusters, it found that </w:t>
      </w:r>
      <w:r w:rsidR="00AE234F" w:rsidRPr="00FA54ED">
        <w:rPr>
          <w:rFonts w:ascii="Times New Roman" w:hAnsi="Times New Roman" w:cs="Times New Roman"/>
          <w:lang w:val="en-GB"/>
        </w:rPr>
        <w:t xml:space="preserve">the applicant had </w:t>
      </w:r>
      <w:r w:rsidR="00695B45" w:rsidRPr="00FA54ED">
        <w:rPr>
          <w:rFonts w:ascii="Times New Roman" w:hAnsi="Times New Roman" w:cs="Times New Roman"/>
          <w:lang w:val="en-GB"/>
        </w:rPr>
        <w:t xml:space="preserve">sufficient </w:t>
      </w:r>
      <w:r w:rsidR="002B3BC0" w:rsidRPr="00FA54ED">
        <w:rPr>
          <w:rFonts w:ascii="Times New Roman" w:hAnsi="Times New Roman" w:cs="Times New Roman"/>
          <w:lang w:val="en-GB"/>
        </w:rPr>
        <w:t xml:space="preserve">alternative sources of supply </w:t>
      </w:r>
      <w:r w:rsidR="00695B45" w:rsidRPr="00FA54ED">
        <w:rPr>
          <w:rFonts w:ascii="Times New Roman" w:hAnsi="Times New Roman" w:cs="Times New Roman"/>
          <w:lang w:val="en-GB"/>
        </w:rPr>
        <w:t xml:space="preserve">for "regular" films. As </w:t>
      </w:r>
      <w:proofErr w:type="spellStart"/>
      <w:r w:rsidR="00751A44" w:rsidRPr="00FA54ED">
        <w:rPr>
          <w:rFonts w:ascii="Times New Roman" w:hAnsi="Times New Roman" w:cs="Times New Roman"/>
          <w:i/>
          <w:iCs/>
          <w:lang w:val="en-GB"/>
        </w:rPr>
        <w:t>Chocolat</w:t>
      </w:r>
      <w:proofErr w:type="spellEnd"/>
      <w:r w:rsidR="00695B45" w:rsidRPr="00FA54ED">
        <w:rPr>
          <w:rFonts w:ascii="Times New Roman" w:hAnsi="Times New Roman" w:cs="Times New Roman"/>
          <w:lang w:val="en-GB"/>
        </w:rPr>
        <w:t>, prior to its release,</w:t>
      </w:r>
      <w:r w:rsidR="00751A44" w:rsidRPr="00FA54ED">
        <w:rPr>
          <w:rFonts w:ascii="Times New Roman" w:hAnsi="Times New Roman" w:cs="Times New Roman"/>
          <w:lang w:val="en-GB"/>
        </w:rPr>
        <w:t xml:space="preserve"> was by no means considered within the industry to be particularly promising</w:t>
      </w:r>
      <w:r w:rsidR="00AE234F" w:rsidRPr="00FA54ED">
        <w:rPr>
          <w:rFonts w:ascii="Times New Roman" w:hAnsi="Times New Roman" w:cs="Times New Roman"/>
          <w:lang w:val="en-GB"/>
        </w:rPr>
        <w:t>,</w:t>
      </w:r>
      <w:r w:rsidR="00751A44" w:rsidRPr="00FA54ED">
        <w:rPr>
          <w:rFonts w:ascii="Times New Roman" w:hAnsi="Times New Roman" w:cs="Times New Roman"/>
          <w:lang w:val="en-GB"/>
        </w:rPr>
        <w:t xml:space="preserve"> </w:t>
      </w:r>
      <w:r w:rsidR="00AE234F" w:rsidRPr="00FA54ED">
        <w:rPr>
          <w:rFonts w:ascii="Times New Roman" w:hAnsi="Times New Roman" w:cs="Times New Roman"/>
          <w:lang w:val="en-GB"/>
        </w:rPr>
        <w:t>the court denied that Constantin possessed relative market power.</w:t>
      </w:r>
    </w:p>
    <w:p w14:paraId="688F0EB9" w14:textId="3A8A5FC1" w:rsidR="003F660E" w:rsidRPr="00FA54ED" w:rsidRDefault="00FD37A8" w:rsidP="009A2A10">
      <w:pPr>
        <w:pStyle w:val="Stext"/>
        <w:rPr>
          <w:rFonts w:ascii="Times New Roman" w:hAnsi="Times New Roman" w:cs="Times New Roman"/>
          <w:lang w:val="en-GB"/>
        </w:rPr>
      </w:pPr>
      <w:r w:rsidRPr="00FA54ED">
        <w:rPr>
          <w:rFonts w:ascii="Times New Roman" w:hAnsi="Times New Roman" w:cs="Times New Roman"/>
          <w:lang w:val="en-GB"/>
        </w:rPr>
        <w:t xml:space="preserve">The OGH </w:t>
      </w:r>
      <w:r w:rsidR="00AE234F" w:rsidRPr="00FA54ED">
        <w:rPr>
          <w:rFonts w:ascii="Times New Roman" w:hAnsi="Times New Roman" w:cs="Times New Roman"/>
          <w:lang w:val="en-GB"/>
        </w:rPr>
        <w:t xml:space="preserve">went on to examine whether Constantin enjoys absolute market power. In doing so, the court examined the available </w:t>
      </w:r>
      <w:r w:rsidR="003F660E" w:rsidRPr="00FA54ED">
        <w:rPr>
          <w:rFonts w:ascii="Times New Roman" w:hAnsi="Times New Roman" w:cs="Times New Roman"/>
          <w:lang w:val="en-GB"/>
        </w:rPr>
        <w:t xml:space="preserve">sources </w:t>
      </w:r>
      <w:r w:rsidR="00AE234F" w:rsidRPr="00FA54ED">
        <w:rPr>
          <w:rFonts w:ascii="Times New Roman" w:hAnsi="Times New Roman" w:cs="Times New Roman"/>
          <w:lang w:val="en-GB"/>
        </w:rPr>
        <w:t xml:space="preserve">of supply </w:t>
      </w:r>
      <w:r w:rsidR="003F660E" w:rsidRPr="00FA54ED">
        <w:rPr>
          <w:rFonts w:ascii="Times New Roman" w:hAnsi="Times New Roman" w:cs="Times New Roman"/>
          <w:lang w:val="en-GB"/>
        </w:rPr>
        <w:t xml:space="preserve">in the </w:t>
      </w:r>
      <w:r w:rsidR="00AE234F" w:rsidRPr="00FA54ED">
        <w:rPr>
          <w:rFonts w:ascii="Times New Roman" w:hAnsi="Times New Roman" w:cs="Times New Roman"/>
          <w:lang w:val="en-GB"/>
        </w:rPr>
        <w:t xml:space="preserve">overall film </w:t>
      </w:r>
      <w:r w:rsidR="003F660E" w:rsidRPr="00FA54ED">
        <w:rPr>
          <w:rFonts w:ascii="Times New Roman" w:hAnsi="Times New Roman" w:cs="Times New Roman"/>
          <w:lang w:val="en-GB"/>
        </w:rPr>
        <w:t>distribution market</w:t>
      </w:r>
      <w:r w:rsidR="00AE234F" w:rsidRPr="00FA54ED">
        <w:rPr>
          <w:rFonts w:ascii="Times New Roman" w:hAnsi="Times New Roman" w:cs="Times New Roman"/>
          <w:lang w:val="en-GB"/>
        </w:rPr>
        <w:t>, i.e</w:t>
      </w:r>
      <w:r w:rsidR="00EA3D3F" w:rsidRPr="00FA54ED">
        <w:rPr>
          <w:rFonts w:ascii="Times New Roman" w:hAnsi="Times New Roman" w:cs="Times New Roman"/>
          <w:lang w:val="en-GB"/>
        </w:rPr>
        <w:t>.</w:t>
      </w:r>
      <w:r w:rsidR="00AE234F" w:rsidRPr="00FA54ED">
        <w:rPr>
          <w:rFonts w:ascii="Times New Roman" w:hAnsi="Times New Roman" w:cs="Times New Roman"/>
          <w:lang w:val="en-GB"/>
        </w:rPr>
        <w:t xml:space="preserve"> looking upon "regular" films.</w:t>
      </w:r>
      <w:r w:rsidR="006E4BA0" w:rsidRPr="00FA54ED">
        <w:rPr>
          <w:rFonts w:ascii="Times New Roman" w:hAnsi="Times New Roman" w:cs="Times New Roman"/>
          <w:lang w:val="en-GB"/>
        </w:rPr>
        <w:t xml:space="preserve"> As</w:t>
      </w:r>
      <w:r w:rsidR="00AE234F" w:rsidRPr="00FA54ED">
        <w:rPr>
          <w:rFonts w:ascii="Times New Roman" w:hAnsi="Times New Roman" w:cs="Times New Roman"/>
          <w:lang w:val="en-GB"/>
        </w:rPr>
        <w:t xml:space="preserve"> </w:t>
      </w:r>
      <w:r w:rsidR="003F660E" w:rsidRPr="00FA54ED">
        <w:rPr>
          <w:rFonts w:ascii="Times New Roman" w:hAnsi="Times New Roman" w:cs="Times New Roman"/>
          <w:lang w:val="en-GB"/>
        </w:rPr>
        <w:t xml:space="preserve">on the </w:t>
      </w:r>
      <w:r w:rsidR="00ED10F3" w:rsidRPr="00FA54ED">
        <w:rPr>
          <w:rFonts w:ascii="Times New Roman" w:hAnsi="Times New Roman" w:cs="Times New Roman"/>
          <w:lang w:val="en-GB"/>
        </w:rPr>
        <w:t xml:space="preserve">overall </w:t>
      </w:r>
      <w:r w:rsidR="003F660E" w:rsidRPr="00FA54ED">
        <w:rPr>
          <w:rFonts w:ascii="Times New Roman" w:hAnsi="Times New Roman" w:cs="Times New Roman"/>
          <w:lang w:val="en-GB"/>
        </w:rPr>
        <w:t>market for film distribut</w:t>
      </w:r>
      <w:r w:rsidR="00AE234F" w:rsidRPr="00FA54ED">
        <w:rPr>
          <w:rFonts w:ascii="Times New Roman" w:hAnsi="Times New Roman" w:cs="Times New Roman"/>
          <w:lang w:val="en-GB"/>
        </w:rPr>
        <w:t>ion</w:t>
      </w:r>
      <w:r w:rsidR="003F660E" w:rsidRPr="00FA54ED">
        <w:rPr>
          <w:rFonts w:ascii="Times New Roman" w:hAnsi="Times New Roman" w:cs="Times New Roman"/>
          <w:lang w:val="en-GB"/>
        </w:rPr>
        <w:t xml:space="preserve">, the </w:t>
      </w:r>
      <w:r w:rsidR="00AE234F" w:rsidRPr="00FA54ED">
        <w:rPr>
          <w:rFonts w:ascii="Times New Roman" w:hAnsi="Times New Roman" w:cs="Times New Roman"/>
          <w:lang w:val="en-GB"/>
        </w:rPr>
        <w:t>legal presumption for (collective) dominance was not met</w:t>
      </w:r>
      <w:r w:rsidR="006E4BA0" w:rsidRPr="00FA54ED">
        <w:rPr>
          <w:rFonts w:ascii="Times New Roman" w:hAnsi="Times New Roman" w:cs="Times New Roman"/>
          <w:lang w:val="en-GB"/>
        </w:rPr>
        <w:t>, the injunction was denied</w:t>
      </w:r>
      <w:r w:rsidR="00AE234F" w:rsidRPr="00FA54ED">
        <w:rPr>
          <w:rFonts w:ascii="Times New Roman" w:hAnsi="Times New Roman" w:cs="Times New Roman"/>
          <w:lang w:val="en-GB"/>
        </w:rPr>
        <w:t>.</w:t>
      </w:r>
    </w:p>
    <w:p w14:paraId="2029534A" w14:textId="065B594C" w:rsidR="004E3C1E" w:rsidRPr="00FA54ED" w:rsidRDefault="006E4BA0" w:rsidP="009A2A10">
      <w:pPr>
        <w:pStyle w:val="Stext"/>
        <w:rPr>
          <w:rFonts w:ascii="Times New Roman" w:hAnsi="Times New Roman" w:cs="Times New Roman"/>
          <w:lang w:val="en-GB"/>
        </w:rPr>
      </w:pPr>
      <w:r w:rsidRPr="00FA54ED">
        <w:rPr>
          <w:rFonts w:ascii="Times New Roman" w:hAnsi="Times New Roman" w:cs="Times New Roman"/>
          <w:bCs/>
          <w:i/>
          <w:lang w:val="en-GB"/>
        </w:rPr>
        <w:t>Conclusion:</w:t>
      </w:r>
      <w:r w:rsidRPr="00FA54ED">
        <w:rPr>
          <w:rFonts w:ascii="Times New Roman" w:hAnsi="Times New Roman" w:cs="Times New Roman"/>
          <w:b/>
          <w:bCs/>
          <w:lang w:val="en-GB"/>
        </w:rPr>
        <w:t xml:space="preserve"> </w:t>
      </w:r>
      <w:r w:rsidR="004E3C1E" w:rsidRPr="00FA54ED">
        <w:rPr>
          <w:rFonts w:ascii="Times New Roman" w:hAnsi="Times New Roman" w:cs="Times New Roman"/>
          <w:lang w:val="en-GB"/>
        </w:rPr>
        <w:t xml:space="preserve">This case demonstrates the analytical pitfalls that arise when market </w:t>
      </w:r>
      <w:r w:rsidR="009277A8" w:rsidRPr="00FA54ED">
        <w:rPr>
          <w:rFonts w:ascii="Times New Roman" w:hAnsi="Times New Roman" w:cs="Times New Roman"/>
          <w:lang w:val="en-GB"/>
        </w:rPr>
        <w:t xml:space="preserve">definition </w:t>
      </w:r>
      <w:r w:rsidR="004E3C1E" w:rsidRPr="00FA54ED">
        <w:rPr>
          <w:rFonts w:ascii="Times New Roman" w:hAnsi="Times New Roman" w:cs="Times New Roman"/>
          <w:lang w:val="en-GB"/>
        </w:rPr>
        <w:t>is conflated with market power assessment, particularly in the context of essenti</w:t>
      </w:r>
      <w:r w:rsidR="00B9003B" w:rsidRPr="00FA54ED">
        <w:rPr>
          <w:rFonts w:ascii="Times New Roman" w:hAnsi="Times New Roman" w:cs="Times New Roman"/>
          <w:lang w:val="en-GB"/>
        </w:rPr>
        <w:t xml:space="preserve">al facility-type scenarios. </w:t>
      </w:r>
      <w:r w:rsidR="004E3C1E" w:rsidRPr="00FA54ED">
        <w:rPr>
          <w:rFonts w:ascii="Times New Roman" w:hAnsi="Times New Roman" w:cs="Times New Roman"/>
          <w:lang w:val="en-GB"/>
        </w:rPr>
        <w:t>The court applied a bifurcated approach</w:t>
      </w:r>
      <w:r w:rsidR="009277A8" w:rsidRPr="00FA54ED">
        <w:rPr>
          <w:rFonts w:ascii="Times New Roman" w:hAnsi="Times New Roman" w:cs="Times New Roman"/>
          <w:lang w:val="en-GB"/>
        </w:rPr>
        <w:t>,</w:t>
      </w:r>
      <w:r w:rsidR="004E3C1E" w:rsidRPr="00FA54ED">
        <w:rPr>
          <w:rFonts w:ascii="Times New Roman" w:hAnsi="Times New Roman" w:cs="Times New Roman"/>
          <w:lang w:val="en-GB"/>
        </w:rPr>
        <w:t xml:space="preserve"> acknowledging the applicant's economic dependence on Constantin for "blockbusters" (suggesting a narrow market for premium content) while simultaneously examining market power across the broader "regular films"</w:t>
      </w:r>
      <w:r w:rsidR="009277A8" w:rsidRPr="00FA54ED">
        <w:rPr>
          <w:rFonts w:ascii="Times New Roman" w:hAnsi="Times New Roman" w:cs="Times New Roman"/>
          <w:lang w:val="en-GB"/>
        </w:rPr>
        <w:t xml:space="preserve"> segment</w:t>
      </w:r>
      <w:r w:rsidR="004E3C1E" w:rsidRPr="00FA54ED">
        <w:rPr>
          <w:rFonts w:ascii="Times New Roman" w:hAnsi="Times New Roman" w:cs="Times New Roman"/>
          <w:lang w:val="en-GB"/>
        </w:rPr>
        <w:t xml:space="preserve">. </w:t>
      </w:r>
    </w:p>
    <w:p w14:paraId="2EC042F7" w14:textId="565D4EA6" w:rsidR="004E3C1E" w:rsidRPr="00FA54ED" w:rsidRDefault="004E3C1E" w:rsidP="009A2A10">
      <w:pPr>
        <w:pStyle w:val="Stext"/>
        <w:rPr>
          <w:rFonts w:ascii="Times New Roman" w:hAnsi="Times New Roman" w:cs="Times New Roman"/>
          <w:lang w:val="en-GB"/>
        </w:rPr>
      </w:pPr>
      <w:r w:rsidRPr="00FA54ED">
        <w:rPr>
          <w:rFonts w:ascii="Times New Roman" w:hAnsi="Times New Roman" w:cs="Times New Roman"/>
          <w:lang w:val="en-GB"/>
        </w:rPr>
        <w:lastRenderedPageBreak/>
        <w:t xml:space="preserve">The court's finding that </w:t>
      </w:r>
      <w:proofErr w:type="spellStart"/>
      <w:r w:rsidRPr="00FA54ED">
        <w:rPr>
          <w:rFonts w:ascii="Times New Roman" w:hAnsi="Times New Roman" w:cs="Times New Roman"/>
          <w:i/>
          <w:lang w:val="en-GB"/>
        </w:rPr>
        <w:t>Chocolat</w:t>
      </w:r>
      <w:proofErr w:type="spellEnd"/>
      <w:r w:rsidRPr="00FA54ED">
        <w:rPr>
          <w:rFonts w:ascii="Times New Roman" w:hAnsi="Times New Roman" w:cs="Times New Roman"/>
          <w:lang w:val="en-GB"/>
        </w:rPr>
        <w:t xml:space="preserve"> was</w:t>
      </w:r>
      <w:r w:rsidR="009277A8" w:rsidRPr="00FA54ED">
        <w:rPr>
          <w:rFonts w:ascii="Times New Roman" w:hAnsi="Times New Roman" w:cs="Times New Roman"/>
          <w:lang w:val="en-GB"/>
        </w:rPr>
        <w:t xml:space="preserve"> </w:t>
      </w:r>
      <w:r w:rsidRPr="00FA54ED">
        <w:rPr>
          <w:rFonts w:ascii="Times New Roman" w:hAnsi="Times New Roman" w:cs="Times New Roman"/>
          <w:lang w:val="en-GB"/>
        </w:rPr>
        <w:t>n</w:t>
      </w:r>
      <w:r w:rsidR="009277A8" w:rsidRPr="00FA54ED">
        <w:rPr>
          <w:rFonts w:ascii="Times New Roman" w:hAnsi="Times New Roman" w:cs="Times New Roman"/>
          <w:lang w:val="en-GB"/>
        </w:rPr>
        <w:t>o</w:t>
      </w:r>
      <w:r w:rsidRPr="00FA54ED">
        <w:rPr>
          <w:rFonts w:ascii="Times New Roman" w:hAnsi="Times New Roman" w:cs="Times New Roman"/>
          <w:lang w:val="en-GB"/>
        </w:rPr>
        <w:t>t considered "particularly promising" prior to release (</w:t>
      </w:r>
      <w:r w:rsidR="009277A8" w:rsidRPr="00FA54ED">
        <w:rPr>
          <w:rFonts w:ascii="Times New Roman" w:hAnsi="Times New Roman" w:cs="Times New Roman"/>
          <w:lang w:val="en-GB"/>
        </w:rPr>
        <w:t xml:space="preserve">i.e. in an </w:t>
      </w:r>
      <w:proofErr w:type="gramStart"/>
      <w:r w:rsidRPr="00FA54ED">
        <w:rPr>
          <w:rFonts w:ascii="Times New Roman" w:hAnsi="Times New Roman" w:cs="Times New Roman"/>
          <w:lang w:val="en-GB"/>
        </w:rPr>
        <w:t>ex</w:t>
      </w:r>
      <w:r w:rsidR="009277A8" w:rsidRPr="00FA54ED">
        <w:rPr>
          <w:rFonts w:ascii="Times New Roman" w:hAnsi="Times New Roman" w:cs="Times New Roman"/>
          <w:lang w:val="en-GB"/>
        </w:rPr>
        <w:t xml:space="preserve"> </w:t>
      </w:r>
      <w:r w:rsidRPr="00FA54ED">
        <w:rPr>
          <w:rFonts w:ascii="Times New Roman" w:hAnsi="Times New Roman" w:cs="Times New Roman"/>
          <w:lang w:val="en-GB"/>
        </w:rPr>
        <w:t>ante</w:t>
      </w:r>
      <w:proofErr w:type="gramEnd"/>
      <w:r w:rsidRPr="00FA54ED">
        <w:rPr>
          <w:rFonts w:ascii="Times New Roman" w:hAnsi="Times New Roman" w:cs="Times New Roman"/>
          <w:lang w:val="en-GB"/>
        </w:rPr>
        <w:t xml:space="preserve"> assessment)</w:t>
      </w:r>
      <w:r w:rsidR="009277A8" w:rsidRPr="00FA54ED">
        <w:rPr>
          <w:rFonts w:ascii="Times New Roman" w:hAnsi="Times New Roman" w:cs="Times New Roman"/>
          <w:lang w:val="en-GB"/>
        </w:rPr>
        <w:t>, leading to a</w:t>
      </w:r>
      <w:r w:rsidRPr="00FA54ED">
        <w:rPr>
          <w:rFonts w:ascii="Times New Roman" w:hAnsi="Times New Roman" w:cs="Times New Roman"/>
          <w:lang w:val="en-GB"/>
        </w:rPr>
        <w:t xml:space="preserve"> den</w:t>
      </w:r>
      <w:r w:rsidR="009277A8" w:rsidRPr="00FA54ED">
        <w:rPr>
          <w:rFonts w:ascii="Times New Roman" w:hAnsi="Times New Roman" w:cs="Times New Roman"/>
          <w:lang w:val="en-GB"/>
        </w:rPr>
        <w:t>ial</w:t>
      </w:r>
      <w:r w:rsidRPr="00FA54ED">
        <w:rPr>
          <w:rFonts w:ascii="Times New Roman" w:hAnsi="Times New Roman" w:cs="Times New Roman"/>
          <w:lang w:val="en-GB"/>
        </w:rPr>
        <w:t xml:space="preserve"> </w:t>
      </w:r>
      <w:r w:rsidR="009277A8" w:rsidRPr="00FA54ED">
        <w:rPr>
          <w:rFonts w:ascii="Times New Roman" w:hAnsi="Times New Roman" w:cs="Times New Roman"/>
          <w:lang w:val="en-GB"/>
        </w:rPr>
        <w:t xml:space="preserve">of </w:t>
      </w:r>
      <w:r w:rsidRPr="00FA54ED">
        <w:rPr>
          <w:rFonts w:ascii="Times New Roman" w:hAnsi="Times New Roman" w:cs="Times New Roman"/>
          <w:lang w:val="en-GB"/>
        </w:rPr>
        <w:t>relative market power, while the film's actual success (225,000 viewers vs. projected 60,000</w:t>
      </w:r>
      <w:r w:rsidR="009277A8" w:rsidRPr="00FA54ED">
        <w:rPr>
          <w:rFonts w:ascii="Times New Roman" w:hAnsi="Times New Roman" w:cs="Times New Roman"/>
          <w:lang w:val="en-GB"/>
        </w:rPr>
        <w:t xml:space="preserve"> </w:t>
      </w:r>
      <w:r w:rsidRPr="00FA54ED">
        <w:rPr>
          <w:rFonts w:ascii="Times New Roman" w:hAnsi="Times New Roman" w:cs="Times New Roman"/>
          <w:lang w:val="en-GB"/>
        </w:rPr>
        <w:t>-</w:t>
      </w:r>
      <w:r w:rsidR="009277A8" w:rsidRPr="00FA54ED">
        <w:rPr>
          <w:rFonts w:ascii="Times New Roman" w:hAnsi="Times New Roman" w:cs="Times New Roman"/>
          <w:lang w:val="en-GB"/>
        </w:rPr>
        <w:t xml:space="preserve"> </w:t>
      </w:r>
      <w:r w:rsidRPr="00FA54ED">
        <w:rPr>
          <w:rFonts w:ascii="Times New Roman" w:hAnsi="Times New Roman" w:cs="Times New Roman"/>
          <w:lang w:val="en-GB"/>
        </w:rPr>
        <w:t>80,000) demonstrated Constantin's control over a valuable asset (ex post reality), highlights the temporal mismatch in the analysis.</w:t>
      </w:r>
    </w:p>
    <w:p w14:paraId="1244DAD4" w14:textId="66FFEFDF" w:rsidR="004E3C1E" w:rsidRPr="00FA54ED" w:rsidRDefault="004E3C1E" w:rsidP="009A2A10">
      <w:pPr>
        <w:pStyle w:val="Stext"/>
        <w:rPr>
          <w:rFonts w:ascii="Times New Roman" w:hAnsi="Times New Roman" w:cs="Times New Roman"/>
          <w:lang w:val="en-GB"/>
        </w:rPr>
      </w:pPr>
      <w:r w:rsidRPr="00FA54ED">
        <w:rPr>
          <w:rFonts w:ascii="Times New Roman" w:hAnsi="Times New Roman" w:cs="Times New Roman"/>
          <w:lang w:val="en-GB"/>
        </w:rPr>
        <w:t xml:space="preserve">By treating blockbusters as a separate category </w:t>
      </w:r>
      <w:r w:rsidR="009277A8" w:rsidRPr="00FA54ED">
        <w:rPr>
          <w:rFonts w:ascii="Times New Roman" w:hAnsi="Times New Roman" w:cs="Times New Roman"/>
          <w:lang w:val="en-GB"/>
        </w:rPr>
        <w:t xml:space="preserve">when </w:t>
      </w:r>
      <w:r w:rsidRPr="00FA54ED">
        <w:rPr>
          <w:rFonts w:ascii="Times New Roman" w:hAnsi="Times New Roman" w:cs="Times New Roman"/>
          <w:lang w:val="en-GB"/>
        </w:rPr>
        <w:t>applying general market analysis, the court failed to recognize that market power can be exercised selectively</w:t>
      </w:r>
      <w:r w:rsidR="009277A8" w:rsidRPr="00FA54ED">
        <w:rPr>
          <w:rFonts w:ascii="Times New Roman" w:hAnsi="Times New Roman" w:cs="Times New Roman"/>
          <w:lang w:val="en-GB"/>
        </w:rPr>
        <w:t>.</w:t>
      </w:r>
      <w:r w:rsidRPr="00FA54ED">
        <w:rPr>
          <w:rFonts w:ascii="Times New Roman" w:hAnsi="Times New Roman" w:cs="Times New Roman"/>
          <w:lang w:val="en-GB"/>
        </w:rPr>
        <w:t xml:space="preserve"> Constantin's ability to foreclose Vienna entirely for </w:t>
      </w:r>
      <w:proofErr w:type="spellStart"/>
      <w:r w:rsidRPr="00FA54ED">
        <w:rPr>
          <w:rFonts w:ascii="Times New Roman" w:hAnsi="Times New Roman" w:cs="Times New Roman"/>
          <w:i/>
          <w:lang w:val="en-GB"/>
        </w:rPr>
        <w:t>Chocolat</w:t>
      </w:r>
      <w:proofErr w:type="spellEnd"/>
      <w:r w:rsidRPr="00FA54ED">
        <w:rPr>
          <w:rFonts w:ascii="Times New Roman" w:hAnsi="Times New Roman" w:cs="Times New Roman"/>
          <w:i/>
          <w:lang w:val="en-GB"/>
        </w:rPr>
        <w:t xml:space="preserve"> </w:t>
      </w:r>
      <w:r w:rsidRPr="00FA54ED">
        <w:rPr>
          <w:rFonts w:ascii="Times New Roman" w:hAnsi="Times New Roman" w:cs="Times New Roman"/>
          <w:lang w:val="en-GB"/>
        </w:rPr>
        <w:t xml:space="preserve">demonstrated precisely the kind of leverage that </w:t>
      </w:r>
      <w:r w:rsidR="009277A8" w:rsidRPr="00FA54ED">
        <w:rPr>
          <w:rFonts w:ascii="Times New Roman" w:hAnsi="Times New Roman" w:cs="Times New Roman"/>
          <w:lang w:val="en-GB"/>
        </w:rPr>
        <w:t xml:space="preserve">the </w:t>
      </w:r>
      <w:r w:rsidRPr="00FA54ED">
        <w:rPr>
          <w:rFonts w:ascii="Times New Roman" w:hAnsi="Times New Roman" w:cs="Times New Roman"/>
          <w:lang w:val="en-GB"/>
        </w:rPr>
        <w:t>relative market power doctrine is designed to address.</w:t>
      </w:r>
    </w:p>
    <w:p w14:paraId="59103D99" w14:textId="5D0160AD" w:rsidR="004E3C1E" w:rsidRPr="00FA54ED" w:rsidRDefault="0058772F" w:rsidP="0058772F">
      <w:pPr>
        <w:pStyle w:val="Stext"/>
        <w:ind w:left="567" w:hanging="567"/>
        <w:rPr>
          <w:rFonts w:ascii="Times New Roman" w:hAnsi="Times New Roman" w:cs="Times New Roman"/>
          <w:lang w:val="en-GB"/>
        </w:rPr>
      </w:pPr>
      <w:r w:rsidRPr="00FA54ED">
        <w:rPr>
          <w:rFonts w:ascii="Times New Roman" w:hAnsi="Times New Roman" w:cs="Times New Roman"/>
          <w:b/>
          <w:bCs/>
          <w:lang w:val="en-GB"/>
        </w:rPr>
        <w:t>2.4</w:t>
      </w:r>
      <w:r w:rsidRPr="00FA54ED">
        <w:rPr>
          <w:rFonts w:ascii="Times New Roman" w:hAnsi="Times New Roman" w:cs="Times New Roman"/>
          <w:b/>
          <w:bCs/>
          <w:lang w:val="en-GB"/>
        </w:rPr>
        <w:tab/>
      </w:r>
      <w:r w:rsidR="004E3C1E" w:rsidRPr="00FA54ED">
        <w:rPr>
          <w:rFonts w:ascii="Times New Roman" w:hAnsi="Times New Roman" w:cs="Times New Roman"/>
          <w:b/>
          <w:bCs/>
          <w:lang w:val="en-GB"/>
        </w:rPr>
        <w:t>OGH as</w:t>
      </w:r>
      <w:r w:rsidR="00B9003B" w:rsidRPr="00FA54ED">
        <w:rPr>
          <w:rFonts w:ascii="Times New Roman" w:hAnsi="Times New Roman" w:cs="Times New Roman"/>
          <w:b/>
          <w:bCs/>
          <w:lang w:val="en-GB"/>
        </w:rPr>
        <w:t xml:space="preserve"> KOG 04.04.2005 16</w:t>
      </w:r>
      <w:r w:rsidR="004E3C1E" w:rsidRPr="00FA54ED">
        <w:rPr>
          <w:rFonts w:ascii="Times New Roman" w:hAnsi="Times New Roman" w:cs="Times New Roman"/>
          <w:b/>
          <w:bCs/>
          <w:lang w:val="en-GB"/>
        </w:rPr>
        <w:t xml:space="preserve">Ok 20/04 – </w:t>
      </w:r>
      <w:r w:rsidR="004E3C1E" w:rsidRPr="00FA54ED">
        <w:rPr>
          <w:rFonts w:ascii="Times New Roman" w:hAnsi="Times New Roman" w:cs="Times New Roman"/>
          <w:b/>
          <w:bCs/>
          <w:i/>
          <w:iCs/>
          <w:lang w:val="en-GB"/>
        </w:rPr>
        <w:t>Multiplex</w:t>
      </w:r>
    </w:p>
    <w:p w14:paraId="3E19EE71" w14:textId="77777777" w:rsidR="004E3C1E" w:rsidRPr="00FA54ED" w:rsidRDefault="006E4BA0" w:rsidP="009A2A10">
      <w:pPr>
        <w:pStyle w:val="Stext"/>
        <w:rPr>
          <w:rFonts w:ascii="Times New Roman" w:hAnsi="Times New Roman" w:cs="Times New Roman"/>
          <w:lang w:val="en-GB"/>
        </w:rPr>
      </w:pPr>
      <w:r w:rsidRPr="00FA54ED">
        <w:rPr>
          <w:rFonts w:ascii="Times New Roman" w:hAnsi="Times New Roman" w:cs="Times New Roman"/>
          <w:lang w:val="en-GB"/>
        </w:rPr>
        <w:t>This is another case in the film industry where movie theatre operators requested an injunction to be regularly supplied by Constantin with film copies.</w:t>
      </w:r>
    </w:p>
    <w:p w14:paraId="769166F5" w14:textId="77777777" w:rsidR="004E3C1E" w:rsidRPr="00FA54ED" w:rsidRDefault="00243736" w:rsidP="009A2A10">
      <w:pPr>
        <w:pStyle w:val="Stext"/>
        <w:rPr>
          <w:rFonts w:ascii="Times New Roman" w:hAnsi="Times New Roman" w:cs="Times New Roman"/>
          <w:lang w:val="en-GB"/>
        </w:rPr>
      </w:pPr>
      <w:r w:rsidRPr="00FA54ED">
        <w:rPr>
          <w:rFonts w:ascii="Times New Roman" w:hAnsi="Times New Roman" w:cs="Times New Roman"/>
          <w:bCs/>
          <w:i/>
          <w:lang w:val="en-GB"/>
        </w:rPr>
        <w:t>Facts:</w:t>
      </w:r>
      <w:r w:rsidR="00C93FB0" w:rsidRPr="00FA54ED">
        <w:rPr>
          <w:rFonts w:ascii="Times New Roman" w:hAnsi="Times New Roman" w:cs="Times New Roman"/>
          <w:b/>
          <w:bCs/>
          <w:lang w:val="en-GB"/>
        </w:rPr>
        <w:t xml:space="preserve"> </w:t>
      </w:r>
      <w:r w:rsidR="00C93FB0" w:rsidRPr="00FA54ED">
        <w:rPr>
          <w:rFonts w:ascii="Times New Roman" w:hAnsi="Times New Roman" w:cs="Times New Roman"/>
          <w:lang w:val="en-GB"/>
        </w:rPr>
        <w:t>The applicants are various operators</w:t>
      </w:r>
      <w:r w:rsidR="00CA6182" w:rsidRPr="00FA54ED">
        <w:rPr>
          <w:rFonts w:ascii="Times New Roman" w:hAnsi="Times New Roman" w:cs="Times New Roman"/>
          <w:lang w:val="en-GB"/>
        </w:rPr>
        <w:t xml:space="preserve"> </w:t>
      </w:r>
      <w:r w:rsidR="006E4BA0" w:rsidRPr="00FA54ED">
        <w:rPr>
          <w:rFonts w:ascii="Times New Roman" w:hAnsi="Times New Roman" w:cs="Times New Roman"/>
          <w:lang w:val="en-GB"/>
        </w:rPr>
        <w:t xml:space="preserve">of </w:t>
      </w:r>
      <w:r w:rsidR="00CA6182" w:rsidRPr="00FA54ED">
        <w:rPr>
          <w:rFonts w:ascii="Times New Roman" w:hAnsi="Times New Roman" w:cs="Times New Roman"/>
          <w:lang w:val="en-GB"/>
        </w:rPr>
        <w:t>large cinemas (Multiplexe</w:t>
      </w:r>
      <w:r w:rsidR="006E4BA0" w:rsidRPr="00FA54ED">
        <w:rPr>
          <w:rFonts w:ascii="Times New Roman" w:hAnsi="Times New Roman" w:cs="Times New Roman"/>
          <w:lang w:val="en-GB"/>
        </w:rPr>
        <w:t>s</w:t>
      </w:r>
      <w:r w:rsidR="00CA6182" w:rsidRPr="00FA54ED">
        <w:rPr>
          <w:rFonts w:ascii="Times New Roman" w:hAnsi="Times New Roman" w:cs="Times New Roman"/>
          <w:lang w:val="en-GB"/>
        </w:rPr>
        <w:t>)</w:t>
      </w:r>
      <w:r w:rsidR="00C93FB0" w:rsidRPr="00FA54ED">
        <w:rPr>
          <w:rFonts w:ascii="Times New Roman" w:hAnsi="Times New Roman" w:cs="Times New Roman"/>
          <w:lang w:val="en-GB"/>
        </w:rPr>
        <w:t>. The first respondent operates a film distribution business throughout Austria</w:t>
      </w:r>
      <w:r w:rsidR="00DA7490" w:rsidRPr="00FA54ED">
        <w:rPr>
          <w:rFonts w:ascii="Times New Roman" w:hAnsi="Times New Roman" w:cs="Times New Roman"/>
          <w:lang w:val="en-GB"/>
        </w:rPr>
        <w:t xml:space="preserve"> (Constantin)</w:t>
      </w:r>
      <w:r w:rsidR="00C93FB0" w:rsidRPr="00FA54ED">
        <w:rPr>
          <w:rFonts w:ascii="Times New Roman" w:hAnsi="Times New Roman" w:cs="Times New Roman"/>
          <w:lang w:val="en-GB"/>
        </w:rPr>
        <w:t>. It holds 98% of the shares in the second respondent and all of the shares in the third respondent, both of which operate cinemas across the entire federal territory.</w:t>
      </w:r>
      <w:r w:rsidR="00501BE9" w:rsidRPr="00FA54ED">
        <w:rPr>
          <w:rFonts w:ascii="Times New Roman" w:hAnsi="Times New Roman" w:cs="Times New Roman"/>
          <w:b/>
          <w:bCs/>
          <w:lang w:val="en-GB"/>
        </w:rPr>
        <w:t xml:space="preserve"> </w:t>
      </w:r>
      <w:r w:rsidR="004620D5" w:rsidRPr="00FA54ED">
        <w:rPr>
          <w:rFonts w:ascii="Times New Roman" w:hAnsi="Times New Roman" w:cs="Times New Roman"/>
          <w:lang w:val="en-GB"/>
        </w:rPr>
        <w:t xml:space="preserve">The respondent did not attain a market share that would give rise to the legal presumption of </w:t>
      </w:r>
      <w:r w:rsidR="006E4BA0" w:rsidRPr="00FA54ED">
        <w:rPr>
          <w:rFonts w:ascii="Times New Roman" w:hAnsi="Times New Roman" w:cs="Times New Roman"/>
          <w:lang w:val="en-GB"/>
        </w:rPr>
        <w:t xml:space="preserve">absolute </w:t>
      </w:r>
      <w:r w:rsidR="004620D5" w:rsidRPr="00FA54ED">
        <w:rPr>
          <w:rFonts w:ascii="Times New Roman" w:hAnsi="Times New Roman" w:cs="Times New Roman"/>
          <w:lang w:val="en-GB"/>
        </w:rPr>
        <w:t xml:space="preserve">market dominance. </w:t>
      </w:r>
    </w:p>
    <w:p w14:paraId="599853F2" w14:textId="77777777" w:rsidR="004E3C1E" w:rsidRPr="00FA54ED" w:rsidRDefault="003C00F9" w:rsidP="009A2A10">
      <w:pPr>
        <w:pStyle w:val="Stext"/>
        <w:rPr>
          <w:rFonts w:ascii="Times New Roman" w:hAnsi="Times New Roman" w:cs="Times New Roman"/>
          <w:lang w:val="en-GB"/>
        </w:rPr>
      </w:pPr>
      <w:r w:rsidRPr="00FA54ED">
        <w:rPr>
          <w:rFonts w:ascii="Times New Roman" w:hAnsi="Times New Roman" w:cs="Times New Roman"/>
          <w:lang w:val="en-GB"/>
        </w:rPr>
        <w:t xml:space="preserve">The </w:t>
      </w:r>
      <w:r w:rsidR="00F73662" w:rsidRPr="00FA54ED">
        <w:rPr>
          <w:rFonts w:ascii="Times New Roman" w:hAnsi="Times New Roman" w:cs="Times New Roman"/>
          <w:lang w:val="en-GB"/>
        </w:rPr>
        <w:t xml:space="preserve">dispute raised in the proceedings </w:t>
      </w:r>
      <w:r w:rsidRPr="00FA54ED">
        <w:rPr>
          <w:rFonts w:ascii="Times New Roman" w:hAnsi="Times New Roman" w:cs="Times New Roman"/>
          <w:lang w:val="en-GB"/>
        </w:rPr>
        <w:t xml:space="preserve">was the supply of new films to </w:t>
      </w:r>
      <w:r w:rsidR="00C93FB0" w:rsidRPr="00FA54ED">
        <w:rPr>
          <w:rFonts w:ascii="Times New Roman" w:hAnsi="Times New Roman" w:cs="Times New Roman"/>
          <w:lang w:val="en-GB"/>
        </w:rPr>
        <w:t>the applicants</w:t>
      </w:r>
      <w:r w:rsidRPr="00FA54ED">
        <w:rPr>
          <w:rFonts w:ascii="Times New Roman" w:hAnsi="Times New Roman" w:cs="Times New Roman"/>
          <w:lang w:val="en-GB"/>
        </w:rPr>
        <w:t>, which typically operate with at least eight screens and require a continuous flow of attractive film</w:t>
      </w:r>
      <w:r w:rsidR="00F73662" w:rsidRPr="00FA54ED">
        <w:rPr>
          <w:rFonts w:ascii="Times New Roman" w:hAnsi="Times New Roman" w:cs="Times New Roman"/>
          <w:lang w:val="en-GB"/>
        </w:rPr>
        <w:t>s</w:t>
      </w:r>
      <w:r w:rsidRPr="00FA54ED">
        <w:rPr>
          <w:rFonts w:ascii="Times New Roman" w:hAnsi="Times New Roman" w:cs="Times New Roman"/>
          <w:lang w:val="en-GB"/>
        </w:rPr>
        <w:t xml:space="preserve"> to remain commercially viable.</w:t>
      </w:r>
      <w:r w:rsidR="007D5293" w:rsidRPr="00FA54ED">
        <w:rPr>
          <w:rFonts w:ascii="Times New Roman" w:hAnsi="Times New Roman" w:cs="Times New Roman"/>
          <w:b/>
          <w:bCs/>
          <w:lang w:val="en-GB"/>
        </w:rPr>
        <w:t xml:space="preserve"> </w:t>
      </w:r>
      <w:r w:rsidR="007D5293" w:rsidRPr="00FA54ED">
        <w:rPr>
          <w:rFonts w:ascii="Times New Roman" w:hAnsi="Times New Roman" w:cs="Times New Roman"/>
          <w:lang w:val="en-GB"/>
        </w:rPr>
        <w:t xml:space="preserve">The </w:t>
      </w:r>
      <w:r w:rsidR="00C93FB0" w:rsidRPr="00FA54ED">
        <w:rPr>
          <w:rFonts w:ascii="Times New Roman" w:hAnsi="Times New Roman" w:cs="Times New Roman"/>
          <w:lang w:val="en-GB"/>
        </w:rPr>
        <w:t>applicants</w:t>
      </w:r>
      <w:r w:rsidR="007D5293" w:rsidRPr="00FA54ED">
        <w:rPr>
          <w:rFonts w:ascii="Times New Roman" w:hAnsi="Times New Roman" w:cs="Times New Roman"/>
          <w:lang w:val="en-GB"/>
        </w:rPr>
        <w:t xml:space="preserve"> </w:t>
      </w:r>
      <w:r w:rsidR="00F73662" w:rsidRPr="00FA54ED">
        <w:rPr>
          <w:rFonts w:ascii="Times New Roman" w:hAnsi="Times New Roman" w:cs="Times New Roman"/>
          <w:lang w:val="en-GB"/>
        </w:rPr>
        <w:t xml:space="preserve">argued </w:t>
      </w:r>
      <w:r w:rsidR="007D5293" w:rsidRPr="00FA54ED">
        <w:rPr>
          <w:rFonts w:ascii="Times New Roman" w:hAnsi="Times New Roman" w:cs="Times New Roman"/>
          <w:lang w:val="en-GB"/>
        </w:rPr>
        <w:t xml:space="preserve">that </w:t>
      </w:r>
      <w:r w:rsidR="00F73662" w:rsidRPr="00FA54ED">
        <w:rPr>
          <w:rFonts w:ascii="Times New Roman" w:hAnsi="Times New Roman" w:cs="Times New Roman"/>
          <w:lang w:val="en-GB"/>
        </w:rPr>
        <w:t xml:space="preserve">Constantin, as a </w:t>
      </w:r>
      <w:r w:rsidR="007D5293" w:rsidRPr="00FA54ED">
        <w:rPr>
          <w:rFonts w:ascii="Times New Roman" w:hAnsi="Times New Roman" w:cs="Times New Roman"/>
          <w:lang w:val="en-GB"/>
        </w:rPr>
        <w:t>group</w:t>
      </w:r>
      <w:r w:rsidR="00F73662" w:rsidRPr="00FA54ED">
        <w:rPr>
          <w:rFonts w:ascii="Times New Roman" w:hAnsi="Times New Roman" w:cs="Times New Roman"/>
          <w:lang w:val="en-GB"/>
        </w:rPr>
        <w:t>,</w:t>
      </w:r>
      <w:r w:rsidR="007D5293" w:rsidRPr="00FA54ED">
        <w:rPr>
          <w:rFonts w:ascii="Times New Roman" w:hAnsi="Times New Roman" w:cs="Times New Roman"/>
          <w:lang w:val="en-GB"/>
        </w:rPr>
        <w:t xml:space="preserve"> </w:t>
      </w:r>
      <w:r w:rsidR="00F73662" w:rsidRPr="00FA54ED">
        <w:rPr>
          <w:rFonts w:ascii="Times New Roman" w:hAnsi="Times New Roman" w:cs="Times New Roman"/>
          <w:lang w:val="en-GB"/>
        </w:rPr>
        <w:t xml:space="preserve">was </w:t>
      </w:r>
      <w:r w:rsidR="007D5293" w:rsidRPr="00FA54ED">
        <w:rPr>
          <w:rFonts w:ascii="Times New Roman" w:hAnsi="Times New Roman" w:cs="Times New Roman"/>
          <w:lang w:val="en-GB"/>
        </w:rPr>
        <w:t>domina</w:t>
      </w:r>
      <w:r w:rsidR="00F73662" w:rsidRPr="00FA54ED">
        <w:rPr>
          <w:rFonts w:ascii="Times New Roman" w:hAnsi="Times New Roman" w:cs="Times New Roman"/>
          <w:lang w:val="en-GB"/>
        </w:rPr>
        <w:t>ting</w:t>
      </w:r>
      <w:r w:rsidR="007D5293" w:rsidRPr="00FA54ED">
        <w:rPr>
          <w:rFonts w:ascii="Times New Roman" w:hAnsi="Times New Roman" w:cs="Times New Roman"/>
          <w:lang w:val="en-GB"/>
        </w:rPr>
        <w:t xml:space="preserve"> </w:t>
      </w:r>
      <w:r w:rsidR="00F73662" w:rsidRPr="00FA54ED">
        <w:rPr>
          <w:rFonts w:ascii="Times New Roman" w:hAnsi="Times New Roman" w:cs="Times New Roman"/>
          <w:lang w:val="en-GB"/>
        </w:rPr>
        <w:t xml:space="preserve">both </w:t>
      </w:r>
      <w:r w:rsidR="007D5293" w:rsidRPr="00FA54ED">
        <w:rPr>
          <w:rFonts w:ascii="Times New Roman" w:hAnsi="Times New Roman" w:cs="Times New Roman"/>
          <w:lang w:val="en-GB"/>
        </w:rPr>
        <w:t xml:space="preserve">the Austrian market </w:t>
      </w:r>
      <w:r w:rsidR="00F73662" w:rsidRPr="00FA54ED">
        <w:rPr>
          <w:rFonts w:ascii="Times New Roman" w:hAnsi="Times New Roman" w:cs="Times New Roman"/>
          <w:lang w:val="en-GB"/>
        </w:rPr>
        <w:t xml:space="preserve">for </w:t>
      </w:r>
      <w:r w:rsidR="007D5293" w:rsidRPr="00FA54ED">
        <w:rPr>
          <w:rFonts w:ascii="Times New Roman" w:hAnsi="Times New Roman" w:cs="Times New Roman"/>
          <w:lang w:val="en-GB"/>
        </w:rPr>
        <w:t xml:space="preserve">film distribution </w:t>
      </w:r>
      <w:r w:rsidR="00F73662" w:rsidRPr="00FA54ED">
        <w:rPr>
          <w:rFonts w:ascii="Times New Roman" w:hAnsi="Times New Roman" w:cs="Times New Roman"/>
          <w:lang w:val="en-GB"/>
        </w:rPr>
        <w:t xml:space="preserve">as well </w:t>
      </w:r>
      <w:r w:rsidR="007D5293" w:rsidRPr="00FA54ED">
        <w:rPr>
          <w:rFonts w:ascii="Times New Roman" w:hAnsi="Times New Roman" w:cs="Times New Roman"/>
          <w:lang w:val="en-GB"/>
        </w:rPr>
        <w:t xml:space="preserve">as </w:t>
      </w:r>
      <w:r w:rsidR="00F73662" w:rsidRPr="00FA54ED">
        <w:rPr>
          <w:rFonts w:ascii="Times New Roman" w:hAnsi="Times New Roman" w:cs="Times New Roman"/>
          <w:lang w:val="en-GB"/>
        </w:rPr>
        <w:t>the movie theatre market</w:t>
      </w:r>
      <w:r w:rsidR="007D5293" w:rsidRPr="00FA54ED">
        <w:rPr>
          <w:rFonts w:ascii="Times New Roman" w:hAnsi="Times New Roman" w:cs="Times New Roman"/>
          <w:lang w:val="en-GB"/>
        </w:rPr>
        <w:t xml:space="preserve">. According to the </w:t>
      </w:r>
      <w:r w:rsidR="00C93FB0" w:rsidRPr="00FA54ED">
        <w:rPr>
          <w:rFonts w:ascii="Times New Roman" w:hAnsi="Times New Roman" w:cs="Times New Roman"/>
          <w:lang w:val="en-GB"/>
        </w:rPr>
        <w:t>applicants</w:t>
      </w:r>
      <w:r w:rsidR="007D5293" w:rsidRPr="00FA54ED">
        <w:rPr>
          <w:rFonts w:ascii="Times New Roman" w:hAnsi="Times New Roman" w:cs="Times New Roman"/>
          <w:lang w:val="en-GB"/>
        </w:rPr>
        <w:t xml:space="preserve">, the </w:t>
      </w:r>
      <w:r w:rsidR="00F73662" w:rsidRPr="00FA54ED">
        <w:rPr>
          <w:rFonts w:ascii="Times New Roman" w:hAnsi="Times New Roman" w:cs="Times New Roman"/>
          <w:lang w:val="en-GB"/>
        </w:rPr>
        <w:t xml:space="preserve">respondents </w:t>
      </w:r>
      <w:r w:rsidR="007D5293" w:rsidRPr="00FA54ED">
        <w:rPr>
          <w:rFonts w:ascii="Times New Roman" w:hAnsi="Times New Roman" w:cs="Times New Roman"/>
          <w:lang w:val="en-GB"/>
        </w:rPr>
        <w:t xml:space="preserve">continuously abused </w:t>
      </w:r>
      <w:r w:rsidR="00F73662" w:rsidRPr="00FA54ED">
        <w:rPr>
          <w:rFonts w:ascii="Times New Roman" w:hAnsi="Times New Roman" w:cs="Times New Roman"/>
          <w:lang w:val="en-GB"/>
        </w:rPr>
        <w:t xml:space="preserve">their relative </w:t>
      </w:r>
      <w:r w:rsidR="007D5293" w:rsidRPr="00FA54ED">
        <w:rPr>
          <w:rFonts w:ascii="Times New Roman" w:hAnsi="Times New Roman" w:cs="Times New Roman"/>
          <w:lang w:val="en-GB"/>
        </w:rPr>
        <w:t xml:space="preserve">market power </w:t>
      </w:r>
      <w:r w:rsidR="00F73662" w:rsidRPr="00FA54ED">
        <w:rPr>
          <w:rFonts w:ascii="Times New Roman" w:hAnsi="Times New Roman" w:cs="Times New Roman"/>
          <w:lang w:val="en-GB"/>
        </w:rPr>
        <w:t xml:space="preserve">over </w:t>
      </w:r>
      <w:r w:rsidR="007D5293" w:rsidRPr="00FA54ED">
        <w:rPr>
          <w:rFonts w:ascii="Times New Roman" w:hAnsi="Times New Roman" w:cs="Times New Roman"/>
          <w:lang w:val="en-GB"/>
        </w:rPr>
        <w:t xml:space="preserve">other cinema operators by, among other things, refusing to supply them with first-run films without sufficient objective justification, unduly delaying confirmations or rejections so that cinema programming </w:t>
      </w:r>
      <w:r w:rsidR="00F73662" w:rsidRPr="00FA54ED">
        <w:rPr>
          <w:rFonts w:ascii="Times New Roman" w:hAnsi="Times New Roman" w:cs="Times New Roman"/>
          <w:lang w:val="en-GB"/>
        </w:rPr>
        <w:t xml:space="preserve">could </w:t>
      </w:r>
      <w:r w:rsidR="007D5293" w:rsidRPr="00FA54ED">
        <w:rPr>
          <w:rFonts w:ascii="Times New Roman" w:hAnsi="Times New Roman" w:cs="Times New Roman"/>
          <w:lang w:val="en-GB"/>
        </w:rPr>
        <w:t>no</w:t>
      </w:r>
      <w:r w:rsidR="00F73662" w:rsidRPr="00FA54ED">
        <w:rPr>
          <w:rFonts w:ascii="Times New Roman" w:hAnsi="Times New Roman" w:cs="Times New Roman"/>
          <w:lang w:val="en-GB"/>
        </w:rPr>
        <w:t>t</w:t>
      </w:r>
      <w:r w:rsidR="007D5293" w:rsidRPr="00FA54ED">
        <w:rPr>
          <w:rFonts w:ascii="Times New Roman" w:hAnsi="Times New Roman" w:cs="Times New Roman"/>
          <w:lang w:val="en-GB"/>
        </w:rPr>
        <w:t xml:space="preserve"> be </w:t>
      </w:r>
      <w:r w:rsidR="00F73662" w:rsidRPr="00FA54ED">
        <w:rPr>
          <w:rFonts w:ascii="Times New Roman" w:hAnsi="Times New Roman" w:cs="Times New Roman"/>
          <w:lang w:val="en-GB"/>
        </w:rPr>
        <w:t xml:space="preserve">easily </w:t>
      </w:r>
      <w:r w:rsidR="007D5293" w:rsidRPr="00FA54ED">
        <w:rPr>
          <w:rFonts w:ascii="Times New Roman" w:hAnsi="Times New Roman" w:cs="Times New Roman"/>
          <w:lang w:val="en-GB"/>
        </w:rPr>
        <w:t>planned, and, in cases where films are supplied, imposing unreasonable conditions.</w:t>
      </w:r>
    </w:p>
    <w:p w14:paraId="194D7382" w14:textId="1A53672B" w:rsidR="004E3C1E" w:rsidRPr="00FA54ED" w:rsidRDefault="00243736" w:rsidP="009A2A10">
      <w:pPr>
        <w:pStyle w:val="Stext"/>
        <w:rPr>
          <w:rFonts w:ascii="Times New Roman" w:hAnsi="Times New Roman" w:cs="Times New Roman"/>
          <w:lang w:val="en-GB"/>
        </w:rPr>
      </w:pPr>
      <w:r w:rsidRPr="00FA54ED">
        <w:rPr>
          <w:rFonts w:ascii="Times New Roman" w:hAnsi="Times New Roman" w:cs="Times New Roman"/>
          <w:bCs/>
          <w:i/>
          <w:lang w:val="en-GB"/>
        </w:rPr>
        <w:t>Decision:</w:t>
      </w:r>
      <w:r w:rsidR="001C1A82" w:rsidRPr="00FA54ED">
        <w:rPr>
          <w:rFonts w:ascii="Times New Roman" w:hAnsi="Times New Roman" w:cs="Times New Roman"/>
          <w:lang w:val="en-GB"/>
        </w:rPr>
        <w:t xml:space="preserve"> The Cartel Court </w:t>
      </w:r>
      <w:r w:rsidR="00F73662" w:rsidRPr="00FA54ED">
        <w:rPr>
          <w:rFonts w:ascii="Times New Roman" w:hAnsi="Times New Roman" w:cs="Times New Roman"/>
          <w:lang w:val="en-GB"/>
        </w:rPr>
        <w:t xml:space="preserve">established </w:t>
      </w:r>
      <w:r w:rsidR="001C1A82" w:rsidRPr="00FA54ED">
        <w:rPr>
          <w:rFonts w:ascii="Times New Roman" w:hAnsi="Times New Roman" w:cs="Times New Roman"/>
          <w:lang w:val="en-GB"/>
        </w:rPr>
        <w:t>that</w:t>
      </w:r>
      <w:r w:rsidR="00AE7B9E" w:rsidRPr="00FA54ED">
        <w:rPr>
          <w:rFonts w:ascii="Times New Roman" w:hAnsi="Times New Roman" w:cs="Times New Roman"/>
          <w:lang w:val="en-GB"/>
        </w:rPr>
        <w:t xml:space="preserve"> for each first-run release, only a limited number of film copies are </w:t>
      </w:r>
      <w:r w:rsidR="00F73662" w:rsidRPr="00FA54ED">
        <w:rPr>
          <w:rFonts w:ascii="Times New Roman" w:hAnsi="Times New Roman" w:cs="Times New Roman"/>
          <w:lang w:val="en-GB"/>
        </w:rPr>
        <w:t xml:space="preserve">made </w:t>
      </w:r>
      <w:r w:rsidR="00AE7B9E" w:rsidRPr="00FA54ED">
        <w:rPr>
          <w:rFonts w:ascii="Times New Roman" w:hAnsi="Times New Roman" w:cs="Times New Roman"/>
          <w:lang w:val="en-GB"/>
        </w:rPr>
        <w:t>available to the Austrian market. The number of copies primarily depends on the revenue expectations associated with the film. The market is divided into three segments: blockbusters, the mid-range segment, and the art house/niche segment.</w:t>
      </w:r>
      <w:r w:rsidR="00AE7B9E" w:rsidRPr="00FA54ED">
        <w:rPr>
          <w:rFonts w:ascii="Times New Roman" w:hAnsi="Times New Roman" w:cs="Times New Roman"/>
          <w:b/>
          <w:bCs/>
          <w:i/>
          <w:iCs/>
          <w:lang w:val="en-GB"/>
        </w:rPr>
        <w:t xml:space="preserve"> </w:t>
      </w:r>
      <w:r w:rsidR="00AE7B9E" w:rsidRPr="00FA54ED">
        <w:rPr>
          <w:rFonts w:ascii="Times New Roman" w:hAnsi="Times New Roman" w:cs="Times New Roman"/>
          <w:lang w:val="en-GB"/>
        </w:rPr>
        <w:t>I</w:t>
      </w:r>
      <w:r w:rsidR="001C1A82" w:rsidRPr="00FA54ED">
        <w:rPr>
          <w:rFonts w:ascii="Times New Roman" w:hAnsi="Times New Roman" w:cs="Times New Roman"/>
          <w:lang w:val="en-GB"/>
        </w:rPr>
        <w:t xml:space="preserve">n the </w:t>
      </w:r>
      <w:r w:rsidR="00D02CFE" w:rsidRPr="00FA54ED">
        <w:rPr>
          <w:rFonts w:ascii="Times New Roman" w:hAnsi="Times New Roman" w:cs="Times New Roman"/>
          <w:lang w:val="en-GB"/>
        </w:rPr>
        <w:t>mid-range</w:t>
      </w:r>
      <w:r w:rsidR="001C1A82" w:rsidRPr="00FA54ED">
        <w:rPr>
          <w:rFonts w:ascii="Times New Roman" w:hAnsi="Times New Roman" w:cs="Times New Roman"/>
          <w:lang w:val="en-GB"/>
        </w:rPr>
        <w:t xml:space="preserve"> segment, which is of interest to commercial cinema operators and comprises films released with at least 10 copies, the </w:t>
      </w:r>
      <w:r w:rsidR="00C93FB0" w:rsidRPr="00FA54ED">
        <w:rPr>
          <w:rFonts w:ascii="Times New Roman" w:hAnsi="Times New Roman" w:cs="Times New Roman"/>
          <w:lang w:val="en-GB"/>
        </w:rPr>
        <w:t>respondent</w:t>
      </w:r>
      <w:r w:rsidR="001C1A82" w:rsidRPr="00FA54ED">
        <w:rPr>
          <w:rFonts w:ascii="Times New Roman" w:hAnsi="Times New Roman" w:cs="Times New Roman"/>
          <w:lang w:val="en-GB"/>
        </w:rPr>
        <w:t xml:space="preserve"> annually distributes the largest number of films. Competition between </w:t>
      </w:r>
      <w:r w:rsidR="00F73662" w:rsidRPr="00FA54ED">
        <w:rPr>
          <w:rFonts w:ascii="Times New Roman" w:hAnsi="Times New Roman" w:cs="Times New Roman"/>
          <w:lang w:val="en-GB"/>
        </w:rPr>
        <w:t xml:space="preserve">movie theatres </w:t>
      </w:r>
      <w:r w:rsidR="001C1A82" w:rsidRPr="00FA54ED">
        <w:rPr>
          <w:rFonts w:ascii="Times New Roman" w:hAnsi="Times New Roman" w:cs="Times New Roman"/>
          <w:lang w:val="en-GB"/>
        </w:rPr>
        <w:t xml:space="preserve">is based </w:t>
      </w:r>
      <w:r w:rsidR="00DB4910" w:rsidRPr="00FA54ED">
        <w:rPr>
          <w:rFonts w:ascii="Times New Roman" w:hAnsi="Times New Roman" w:cs="Times New Roman"/>
          <w:lang w:val="en-GB"/>
        </w:rPr>
        <w:t xml:space="preserve">less </w:t>
      </w:r>
      <w:r w:rsidR="001C1A82" w:rsidRPr="00FA54ED">
        <w:rPr>
          <w:rFonts w:ascii="Times New Roman" w:hAnsi="Times New Roman" w:cs="Times New Roman"/>
          <w:lang w:val="en-GB"/>
        </w:rPr>
        <w:t>on ticket prices and more on film selection. Multiplex cinemas must offer a</w:t>
      </w:r>
      <w:r w:rsidR="00F73662" w:rsidRPr="00FA54ED">
        <w:rPr>
          <w:rFonts w:ascii="Times New Roman" w:hAnsi="Times New Roman" w:cs="Times New Roman"/>
          <w:lang w:val="en-GB"/>
        </w:rPr>
        <w:t>n attractive</w:t>
      </w:r>
      <w:r w:rsidR="001C1A82" w:rsidRPr="00FA54ED">
        <w:rPr>
          <w:rFonts w:ascii="Times New Roman" w:hAnsi="Times New Roman" w:cs="Times New Roman"/>
          <w:lang w:val="en-GB"/>
        </w:rPr>
        <w:t xml:space="preserve"> "film mix" in order to remain economically viable.</w:t>
      </w:r>
      <w:r w:rsidR="00EF6BCE" w:rsidRPr="00FA54ED">
        <w:rPr>
          <w:rFonts w:ascii="Times New Roman" w:hAnsi="Times New Roman" w:cs="Times New Roman"/>
          <w:lang w:val="en-GB"/>
        </w:rPr>
        <w:t xml:space="preserve"> </w:t>
      </w:r>
      <w:r w:rsidR="003C00F9" w:rsidRPr="00FA54ED">
        <w:rPr>
          <w:rFonts w:ascii="Times New Roman" w:hAnsi="Times New Roman" w:cs="Times New Roman"/>
          <w:lang w:val="en-GB"/>
        </w:rPr>
        <w:t>The competitive environment fo</w:t>
      </w:r>
      <w:r w:rsidR="00E940A1">
        <w:rPr>
          <w:rFonts w:ascii="Times New Roman" w:hAnsi="Times New Roman" w:cs="Times New Roman"/>
          <w:lang w:val="en-GB"/>
        </w:rPr>
        <w:t>r first-run films is characteris</w:t>
      </w:r>
      <w:r w:rsidR="003C00F9" w:rsidRPr="00FA54ED">
        <w:rPr>
          <w:rFonts w:ascii="Times New Roman" w:hAnsi="Times New Roman" w:cs="Times New Roman"/>
          <w:lang w:val="en-GB"/>
        </w:rPr>
        <w:t xml:space="preserve">ed by very narrow timeframes. Only a small number of new films are released each week, and these films </w:t>
      </w:r>
      <w:proofErr w:type="gramStart"/>
      <w:r w:rsidR="003C00F9" w:rsidRPr="00FA54ED">
        <w:rPr>
          <w:rFonts w:ascii="Times New Roman" w:hAnsi="Times New Roman" w:cs="Times New Roman"/>
          <w:lang w:val="en-GB"/>
        </w:rPr>
        <w:t>compete with each other</w:t>
      </w:r>
      <w:proofErr w:type="gramEnd"/>
      <w:r w:rsidR="003C00F9" w:rsidRPr="00FA54ED">
        <w:rPr>
          <w:rFonts w:ascii="Times New Roman" w:hAnsi="Times New Roman" w:cs="Times New Roman"/>
          <w:lang w:val="en-GB"/>
        </w:rPr>
        <w:t xml:space="preserve"> for only a short period</w:t>
      </w:r>
      <w:r w:rsidR="00F73662" w:rsidRPr="00FA54ED">
        <w:rPr>
          <w:rFonts w:ascii="Times New Roman" w:hAnsi="Times New Roman" w:cs="Times New Roman"/>
          <w:lang w:val="en-GB"/>
        </w:rPr>
        <w:t xml:space="preserve"> of time, </w:t>
      </w:r>
      <w:r w:rsidR="003C00F9" w:rsidRPr="00FA54ED">
        <w:rPr>
          <w:rFonts w:ascii="Times New Roman" w:hAnsi="Times New Roman" w:cs="Times New Roman"/>
          <w:lang w:val="en-GB"/>
        </w:rPr>
        <w:t>often just a few weeks</w:t>
      </w:r>
      <w:r w:rsidR="00F73662" w:rsidRPr="00FA54ED">
        <w:rPr>
          <w:rFonts w:ascii="Times New Roman" w:hAnsi="Times New Roman" w:cs="Times New Roman"/>
          <w:lang w:val="en-GB"/>
        </w:rPr>
        <w:t xml:space="preserve">, </w:t>
      </w:r>
      <w:r w:rsidR="003C00F9" w:rsidRPr="00FA54ED">
        <w:rPr>
          <w:rFonts w:ascii="Times New Roman" w:hAnsi="Times New Roman" w:cs="Times New Roman"/>
          <w:lang w:val="en-GB"/>
        </w:rPr>
        <w:t xml:space="preserve">before they are replaced by newer titles. Film </w:t>
      </w:r>
      <w:r w:rsidR="00F73662" w:rsidRPr="00FA54ED">
        <w:rPr>
          <w:rFonts w:ascii="Times New Roman" w:hAnsi="Times New Roman" w:cs="Times New Roman"/>
          <w:lang w:val="en-GB"/>
        </w:rPr>
        <w:t>studios</w:t>
      </w:r>
      <w:r w:rsidR="003C00F9" w:rsidRPr="00FA54ED">
        <w:rPr>
          <w:rFonts w:ascii="Times New Roman" w:hAnsi="Times New Roman" w:cs="Times New Roman"/>
          <w:lang w:val="en-GB"/>
        </w:rPr>
        <w:t>, for strategic reasons, avoid releasing films of the same genre at the same time, even if those films are of only average commercial potential. As a result, cinemas are frequently left with very few competing options at any given time.</w:t>
      </w:r>
      <w:r w:rsidR="00274F88" w:rsidRPr="00FA54ED">
        <w:rPr>
          <w:rFonts w:ascii="Times New Roman" w:hAnsi="Times New Roman" w:cs="Times New Roman"/>
          <w:b/>
          <w:bCs/>
          <w:i/>
          <w:iCs/>
          <w:lang w:val="en-GB"/>
        </w:rPr>
        <w:t xml:space="preserve"> </w:t>
      </w:r>
      <w:r w:rsidR="00411E6A" w:rsidRPr="00FA54ED">
        <w:rPr>
          <w:rFonts w:ascii="Times New Roman" w:hAnsi="Times New Roman" w:cs="Times New Roman"/>
          <w:lang w:val="en-GB"/>
        </w:rPr>
        <w:t>The Court found that the respondent distributor released nearly one commercially exploitable film each week throughout the year. This consistent and regular presence in the market meant that cinemas were effectively dependent on the distributor’s offerings all year round. As a result, the Court concluded that the distributor held a dominant position</w:t>
      </w:r>
      <w:r w:rsidR="00932F49" w:rsidRPr="00FA54ED">
        <w:rPr>
          <w:rFonts w:ascii="Times New Roman" w:hAnsi="Times New Roman" w:cs="Times New Roman"/>
          <w:lang w:val="en-GB"/>
        </w:rPr>
        <w:t xml:space="preserve">, </w:t>
      </w:r>
      <w:r w:rsidR="00411E6A" w:rsidRPr="00FA54ED">
        <w:rPr>
          <w:rFonts w:ascii="Times New Roman" w:hAnsi="Times New Roman" w:cs="Times New Roman"/>
          <w:lang w:val="en-GB"/>
        </w:rPr>
        <w:t xml:space="preserve">not </w:t>
      </w:r>
      <w:r w:rsidR="00932F49" w:rsidRPr="00FA54ED">
        <w:rPr>
          <w:rFonts w:ascii="Times New Roman" w:hAnsi="Times New Roman" w:cs="Times New Roman"/>
          <w:lang w:val="en-GB"/>
        </w:rPr>
        <w:t xml:space="preserve">only </w:t>
      </w:r>
      <w:r w:rsidR="00411E6A" w:rsidRPr="00FA54ED">
        <w:rPr>
          <w:rFonts w:ascii="Times New Roman" w:hAnsi="Times New Roman" w:cs="Times New Roman"/>
          <w:lang w:val="en-GB"/>
        </w:rPr>
        <w:t>in narrow, weekly market segments, but in the broader context of the entire year</w:t>
      </w:r>
      <w:r w:rsidR="00AE7B9E" w:rsidRPr="00FA54ED">
        <w:rPr>
          <w:rFonts w:ascii="Times New Roman" w:hAnsi="Times New Roman" w:cs="Times New Roman"/>
          <w:lang w:val="en-GB"/>
        </w:rPr>
        <w:t xml:space="preserve">. </w:t>
      </w:r>
      <w:r w:rsidR="00932F49" w:rsidRPr="00FA54ED">
        <w:rPr>
          <w:rFonts w:ascii="Times New Roman" w:hAnsi="Times New Roman" w:cs="Times New Roman"/>
          <w:lang w:val="en-GB"/>
        </w:rPr>
        <w:t xml:space="preserve">These findings indicate </w:t>
      </w:r>
      <w:r w:rsidR="00AE7B9E" w:rsidRPr="00FA54ED">
        <w:rPr>
          <w:rFonts w:ascii="Times New Roman" w:hAnsi="Times New Roman" w:cs="Times New Roman"/>
          <w:lang w:val="en-GB"/>
        </w:rPr>
        <w:t>that m</w:t>
      </w:r>
      <w:r w:rsidR="00411E6A" w:rsidRPr="00FA54ED">
        <w:rPr>
          <w:rFonts w:ascii="Times New Roman" w:hAnsi="Times New Roman" w:cs="Times New Roman"/>
          <w:lang w:val="en-GB"/>
        </w:rPr>
        <w:t xml:space="preserve">arket dominance can exist even without a </w:t>
      </w:r>
      <w:r w:rsidR="00932F49" w:rsidRPr="00FA54ED">
        <w:rPr>
          <w:rFonts w:ascii="Times New Roman" w:hAnsi="Times New Roman" w:cs="Times New Roman"/>
          <w:lang w:val="en-GB"/>
        </w:rPr>
        <w:t xml:space="preserve">particularly high </w:t>
      </w:r>
      <w:r w:rsidR="00411E6A" w:rsidRPr="00FA54ED">
        <w:rPr>
          <w:rFonts w:ascii="Times New Roman" w:hAnsi="Times New Roman" w:cs="Times New Roman"/>
          <w:lang w:val="en-GB"/>
        </w:rPr>
        <w:t xml:space="preserve">market share, </w:t>
      </w:r>
      <w:r w:rsidR="00932F49" w:rsidRPr="00FA54ED">
        <w:rPr>
          <w:rFonts w:ascii="Times New Roman" w:hAnsi="Times New Roman" w:cs="Times New Roman"/>
          <w:lang w:val="en-GB"/>
        </w:rPr>
        <w:t xml:space="preserve">notably </w:t>
      </w:r>
      <w:r w:rsidR="00411E6A" w:rsidRPr="00FA54ED">
        <w:rPr>
          <w:rFonts w:ascii="Times New Roman" w:hAnsi="Times New Roman" w:cs="Times New Roman"/>
          <w:lang w:val="en-GB"/>
        </w:rPr>
        <w:t>when customers</w:t>
      </w:r>
      <w:r w:rsidR="00932F49" w:rsidRPr="00FA54ED">
        <w:rPr>
          <w:rFonts w:ascii="Times New Roman" w:hAnsi="Times New Roman" w:cs="Times New Roman"/>
          <w:lang w:val="en-GB"/>
        </w:rPr>
        <w:t xml:space="preserve"> (here: </w:t>
      </w:r>
      <w:r w:rsidR="00411E6A" w:rsidRPr="00FA54ED">
        <w:rPr>
          <w:rFonts w:ascii="Times New Roman" w:hAnsi="Times New Roman" w:cs="Times New Roman"/>
          <w:lang w:val="en-GB"/>
        </w:rPr>
        <w:t>cinema</w:t>
      </w:r>
      <w:r w:rsidR="00932F49" w:rsidRPr="00FA54ED">
        <w:rPr>
          <w:rFonts w:ascii="Times New Roman" w:hAnsi="Times New Roman" w:cs="Times New Roman"/>
          <w:lang w:val="en-GB"/>
        </w:rPr>
        <w:t xml:space="preserve">) </w:t>
      </w:r>
      <w:r w:rsidR="00411E6A" w:rsidRPr="00FA54ED">
        <w:rPr>
          <w:rFonts w:ascii="Times New Roman" w:hAnsi="Times New Roman" w:cs="Times New Roman"/>
          <w:lang w:val="en-GB"/>
        </w:rPr>
        <w:t xml:space="preserve">have limited alternatives and face structural dependency. </w:t>
      </w:r>
      <w:r w:rsidR="00932F49" w:rsidRPr="00FA54ED">
        <w:rPr>
          <w:rFonts w:ascii="Times New Roman" w:hAnsi="Times New Roman" w:cs="Times New Roman"/>
          <w:lang w:val="en-GB"/>
        </w:rPr>
        <w:t xml:space="preserve">The case underlines </w:t>
      </w:r>
      <w:r w:rsidR="00411E6A" w:rsidRPr="00FA54ED">
        <w:rPr>
          <w:rFonts w:ascii="Times New Roman" w:hAnsi="Times New Roman" w:cs="Times New Roman"/>
          <w:lang w:val="en-GB"/>
        </w:rPr>
        <w:t xml:space="preserve">that dominance may be based on a combination of consistent market presence and the economic realities of </w:t>
      </w:r>
      <w:r w:rsidR="00932F49" w:rsidRPr="00FA54ED">
        <w:rPr>
          <w:rFonts w:ascii="Times New Roman" w:hAnsi="Times New Roman" w:cs="Times New Roman"/>
          <w:lang w:val="en-GB"/>
        </w:rPr>
        <w:t xml:space="preserve">a particular </w:t>
      </w:r>
      <w:r w:rsidR="00411E6A" w:rsidRPr="00FA54ED">
        <w:rPr>
          <w:rFonts w:ascii="Times New Roman" w:hAnsi="Times New Roman" w:cs="Times New Roman"/>
          <w:lang w:val="en-GB"/>
        </w:rPr>
        <w:t>industry.</w:t>
      </w:r>
    </w:p>
    <w:p w14:paraId="74E73878" w14:textId="533CC51B" w:rsidR="004E3C1E" w:rsidRPr="00FA54ED" w:rsidRDefault="00932F49" w:rsidP="009A2A10">
      <w:pPr>
        <w:pStyle w:val="Stext"/>
        <w:rPr>
          <w:rFonts w:ascii="Times New Roman" w:hAnsi="Times New Roman" w:cs="Times New Roman"/>
          <w:lang w:val="en-GB"/>
        </w:rPr>
      </w:pPr>
      <w:r w:rsidRPr="00FA54ED">
        <w:rPr>
          <w:rFonts w:ascii="Times New Roman" w:hAnsi="Times New Roman" w:cs="Times New Roman"/>
          <w:lang w:val="en-GB"/>
        </w:rPr>
        <w:lastRenderedPageBreak/>
        <w:t xml:space="preserve">On appeal, </w:t>
      </w:r>
      <w:r w:rsidR="00D02CFE" w:rsidRPr="00FA54ED">
        <w:rPr>
          <w:rFonts w:ascii="Times New Roman" w:hAnsi="Times New Roman" w:cs="Times New Roman"/>
          <w:lang w:val="en-GB"/>
        </w:rPr>
        <w:t xml:space="preserve">the OGH largely </w:t>
      </w:r>
      <w:r w:rsidRPr="00FA54ED">
        <w:rPr>
          <w:rFonts w:ascii="Times New Roman" w:hAnsi="Times New Roman" w:cs="Times New Roman"/>
          <w:lang w:val="en-GB"/>
        </w:rPr>
        <w:t xml:space="preserve">confirmed </w:t>
      </w:r>
      <w:r w:rsidR="00D02CFE" w:rsidRPr="00FA54ED">
        <w:rPr>
          <w:rFonts w:ascii="Times New Roman" w:hAnsi="Times New Roman" w:cs="Times New Roman"/>
          <w:lang w:val="en-GB"/>
        </w:rPr>
        <w:t xml:space="preserve">the assessment made by the Cartel Court. The respondent was </w:t>
      </w:r>
      <w:r w:rsidRPr="00FA54ED">
        <w:rPr>
          <w:rFonts w:ascii="Times New Roman" w:hAnsi="Times New Roman" w:cs="Times New Roman"/>
          <w:lang w:val="en-GB"/>
        </w:rPr>
        <w:t xml:space="preserve">considered to be </w:t>
      </w:r>
      <w:r w:rsidR="00D02CFE" w:rsidRPr="00FA54ED">
        <w:rPr>
          <w:rFonts w:ascii="Times New Roman" w:hAnsi="Times New Roman" w:cs="Times New Roman"/>
          <w:lang w:val="en-GB"/>
        </w:rPr>
        <w:t>dominant within the meaning of §</w:t>
      </w:r>
      <w:r w:rsidRPr="00FA54ED">
        <w:rPr>
          <w:rFonts w:ascii="Times New Roman" w:hAnsi="Times New Roman" w:cs="Times New Roman"/>
          <w:lang w:val="en-GB"/>
        </w:rPr>
        <w:t> </w:t>
      </w:r>
      <w:r w:rsidR="00D02CFE" w:rsidRPr="00FA54ED">
        <w:rPr>
          <w:rFonts w:ascii="Times New Roman" w:hAnsi="Times New Roman" w:cs="Times New Roman"/>
          <w:lang w:val="en-GB"/>
        </w:rPr>
        <w:t>4a Cartel Act in the relevant market segment, which in this case was the mid-range segment of commercial film distribution.</w:t>
      </w:r>
      <w:r w:rsidRPr="00FA54ED">
        <w:rPr>
          <w:rFonts w:ascii="Times New Roman" w:hAnsi="Times New Roman" w:cs="Times New Roman"/>
          <w:lang w:val="en-GB"/>
        </w:rPr>
        <w:t xml:space="preserve"> The injunction granted by the Cartel Court against Constantin's abusive behavio</w:t>
      </w:r>
      <w:r w:rsidR="00E940A1">
        <w:rPr>
          <w:rFonts w:ascii="Times New Roman" w:hAnsi="Times New Roman" w:cs="Times New Roman"/>
          <w:lang w:val="en-GB"/>
        </w:rPr>
        <w:t>u</w:t>
      </w:r>
      <w:r w:rsidRPr="00FA54ED">
        <w:rPr>
          <w:rFonts w:ascii="Times New Roman" w:hAnsi="Times New Roman" w:cs="Times New Roman"/>
          <w:lang w:val="en-GB"/>
        </w:rPr>
        <w:t>r was upheld.</w:t>
      </w:r>
    </w:p>
    <w:p w14:paraId="628F7BF0" w14:textId="01640AA2" w:rsidR="00DB4910" w:rsidRPr="00FA54ED" w:rsidRDefault="0053272B" w:rsidP="009A2A10">
      <w:pPr>
        <w:pStyle w:val="Stext"/>
        <w:rPr>
          <w:rFonts w:ascii="Times New Roman" w:hAnsi="Times New Roman" w:cs="Times New Roman"/>
          <w:lang w:val="en-GB"/>
        </w:rPr>
      </w:pPr>
      <w:r w:rsidRPr="00FA54ED">
        <w:rPr>
          <w:rFonts w:ascii="Times New Roman" w:hAnsi="Times New Roman" w:cs="Times New Roman"/>
          <w:bCs/>
          <w:i/>
          <w:lang w:val="en-GB"/>
        </w:rPr>
        <w:t>Conclusion:</w:t>
      </w:r>
      <w:r w:rsidRPr="00FA54ED">
        <w:rPr>
          <w:rFonts w:ascii="Times New Roman" w:hAnsi="Times New Roman" w:cs="Times New Roman"/>
          <w:b/>
          <w:bCs/>
          <w:lang w:val="en-GB"/>
        </w:rPr>
        <w:t xml:space="preserve"> </w:t>
      </w:r>
      <w:r w:rsidR="00DB4910" w:rsidRPr="00FA54ED">
        <w:rPr>
          <w:rFonts w:ascii="Times New Roman" w:hAnsi="Times New Roman" w:cs="Times New Roman"/>
          <w:lang w:val="en-GB"/>
        </w:rPr>
        <w:t xml:space="preserve">The Multiplex case </w:t>
      </w:r>
      <w:r w:rsidR="00955558" w:rsidRPr="00FA54ED">
        <w:rPr>
          <w:rFonts w:ascii="Times New Roman" w:hAnsi="Times New Roman" w:cs="Times New Roman"/>
          <w:lang w:val="en-GB"/>
        </w:rPr>
        <w:t xml:space="preserve">showcases </w:t>
      </w:r>
      <w:r w:rsidR="00DB4910" w:rsidRPr="00FA54ED">
        <w:rPr>
          <w:rFonts w:ascii="Times New Roman" w:hAnsi="Times New Roman" w:cs="Times New Roman"/>
          <w:lang w:val="en-GB"/>
        </w:rPr>
        <w:t xml:space="preserve">a sophisticated evolution in Austrian competition law's approach to market definition and dominance assessment, effectively resolving the analytical inconsistencies evident in earlier Constantin decisions. </w:t>
      </w:r>
      <w:r w:rsidR="00955558" w:rsidRPr="00FA54ED">
        <w:rPr>
          <w:rFonts w:ascii="Times New Roman" w:hAnsi="Times New Roman" w:cs="Times New Roman"/>
          <w:lang w:val="en-GB"/>
        </w:rPr>
        <w:t xml:space="preserve">The Supreme Court decision </w:t>
      </w:r>
      <w:r w:rsidR="00DB4910" w:rsidRPr="00FA54ED">
        <w:rPr>
          <w:rFonts w:ascii="Times New Roman" w:hAnsi="Times New Roman" w:cs="Times New Roman"/>
          <w:lang w:val="en-GB"/>
        </w:rPr>
        <w:t>demonstrates how relative market power doctrine can serve as a practical tool for addressing competitive concerns in industries where traditional market definition proves inadequate.</w:t>
      </w:r>
    </w:p>
    <w:p w14:paraId="70FE3776" w14:textId="42E45274" w:rsidR="00DB4910" w:rsidRPr="00FA54ED" w:rsidRDefault="00DB4910" w:rsidP="009A2A10">
      <w:pPr>
        <w:pStyle w:val="Stext"/>
        <w:rPr>
          <w:rFonts w:ascii="Times New Roman" w:hAnsi="Times New Roman" w:cs="Times New Roman"/>
          <w:lang w:val="en-GB"/>
        </w:rPr>
      </w:pPr>
      <w:r w:rsidRPr="00FA54ED">
        <w:rPr>
          <w:rFonts w:ascii="Times New Roman" w:hAnsi="Times New Roman" w:cs="Times New Roman"/>
          <w:lang w:val="en-GB"/>
        </w:rPr>
        <w:t>Rather than struggling with static market boundaries, the Court adopted a temporally dynamic approach - recognizing that while Constantin's annual market share might not trigger dominance presumptions, its consistent weekly presence in the mid-range segment created structural dependency. This</w:t>
      </w:r>
      <w:r w:rsidR="00FC6F51" w:rsidRPr="00FA54ED">
        <w:rPr>
          <w:rFonts w:ascii="Times New Roman" w:hAnsi="Times New Roman" w:cs="Times New Roman"/>
          <w:lang w:val="en-GB"/>
        </w:rPr>
        <w:t xml:space="preserve"> dynamic market definition with a</w:t>
      </w:r>
      <w:r w:rsidRPr="00FA54ED">
        <w:rPr>
          <w:rFonts w:ascii="Times New Roman" w:hAnsi="Times New Roman" w:cs="Times New Roman"/>
          <w:lang w:val="en-GB"/>
        </w:rPr>
        <w:t xml:space="preserve"> "rolling dominance" concept acknowledges that market power can accumulate through temporal consistency rather than just market share thresholds.</w:t>
      </w:r>
    </w:p>
    <w:p w14:paraId="1193E436" w14:textId="1290948A" w:rsidR="00DB4910" w:rsidRPr="00FA54ED" w:rsidRDefault="00DB4910" w:rsidP="009A2A10">
      <w:pPr>
        <w:pStyle w:val="Stext"/>
        <w:rPr>
          <w:rFonts w:ascii="Times New Roman" w:hAnsi="Times New Roman" w:cs="Times New Roman"/>
          <w:lang w:val="en-GB"/>
        </w:rPr>
      </w:pPr>
      <w:r w:rsidRPr="00FA54ED">
        <w:rPr>
          <w:rFonts w:ascii="Times New Roman" w:hAnsi="Times New Roman" w:cs="Times New Roman"/>
          <w:lang w:val="en-GB"/>
        </w:rPr>
        <w:t>The Court's focus on the economic realities facing multiplex operators - their need for continuous film supply and limited weekly alternatives</w:t>
      </w:r>
      <w:r w:rsidR="00FC6F51" w:rsidRPr="00FA54ED">
        <w:rPr>
          <w:rFonts w:ascii="Times New Roman" w:hAnsi="Times New Roman" w:cs="Times New Roman"/>
          <w:lang w:val="en-GB"/>
        </w:rPr>
        <w:t xml:space="preserve"> and hence economic dependency</w:t>
      </w:r>
      <w:r w:rsidRPr="00FA54ED">
        <w:rPr>
          <w:rFonts w:ascii="Times New Roman" w:hAnsi="Times New Roman" w:cs="Times New Roman"/>
          <w:lang w:val="en-GB"/>
        </w:rPr>
        <w:t xml:space="preserve"> - effectively operationalized the relative market power concept. By recognizing that customers with structural dependencies face different competitive dynamics than occasional purchasers, the analysis moved beyond formalistic market share calculations toward </w:t>
      </w:r>
      <w:r w:rsidR="00FC6F51" w:rsidRPr="00FA54ED">
        <w:rPr>
          <w:rFonts w:ascii="Times New Roman" w:hAnsi="Times New Roman" w:cs="Times New Roman"/>
          <w:lang w:val="en-GB"/>
        </w:rPr>
        <w:t>a realistic</w:t>
      </w:r>
      <w:r w:rsidRPr="00FA54ED">
        <w:rPr>
          <w:rFonts w:ascii="Times New Roman" w:hAnsi="Times New Roman" w:cs="Times New Roman"/>
          <w:lang w:val="en-GB"/>
        </w:rPr>
        <w:t xml:space="preserve"> competitive assessment.</w:t>
      </w:r>
    </w:p>
    <w:p w14:paraId="0ADB3866" w14:textId="73DEFBBB" w:rsidR="00DB4910" w:rsidRPr="00FA54ED" w:rsidRDefault="00DB4910" w:rsidP="009A2A10">
      <w:pPr>
        <w:pStyle w:val="Stext"/>
        <w:rPr>
          <w:rFonts w:ascii="Times New Roman" w:hAnsi="Times New Roman" w:cs="Times New Roman"/>
          <w:lang w:val="en-GB"/>
        </w:rPr>
      </w:pPr>
      <w:r w:rsidRPr="00FA54ED">
        <w:rPr>
          <w:rFonts w:ascii="Times New Roman" w:hAnsi="Times New Roman" w:cs="Times New Roman"/>
          <w:lang w:val="en-GB"/>
        </w:rPr>
        <w:t>The decision's emphasis on film release scheduling, genre conflicts, and programming constraints demonstrates how com</w:t>
      </w:r>
      <w:r w:rsidR="00FC6F51" w:rsidRPr="00FA54ED">
        <w:rPr>
          <w:rFonts w:ascii="Times New Roman" w:hAnsi="Times New Roman" w:cs="Times New Roman"/>
          <w:lang w:val="en-GB"/>
        </w:rPr>
        <w:t>petition law can adapt to industry</w:t>
      </w:r>
      <w:r w:rsidRPr="00FA54ED">
        <w:rPr>
          <w:rFonts w:ascii="Times New Roman" w:hAnsi="Times New Roman" w:cs="Times New Roman"/>
          <w:lang w:val="en-GB"/>
        </w:rPr>
        <w:t>-specific competitive processes. The Court recognized that in creative industries with short product lifecycles and strategic release patterns, traditional substitutability analysis might miss the true competitive dynamics.</w:t>
      </w:r>
    </w:p>
    <w:p w14:paraId="7D95E77E" w14:textId="724DB3AD" w:rsidR="00DB4910" w:rsidRPr="00FA54ED" w:rsidRDefault="00955558" w:rsidP="009A2A10">
      <w:pPr>
        <w:pStyle w:val="Stext"/>
        <w:rPr>
          <w:rFonts w:ascii="Times New Roman" w:hAnsi="Times New Roman" w:cs="Times New Roman"/>
          <w:lang w:val="en-GB"/>
        </w:rPr>
      </w:pPr>
      <w:r w:rsidRPr="00FA54ED">
        <w:rPr>
          <w:rFonts w:ascii="Times New Roman" w:hAnsi="Times New Roman" w:cs="Times New Roman"/>
          <w:lang w:val="en-GB"/>
        </w:rPr>
        <w:t xml:space="preserve">The courts' decisions are </w:t>
      </w:r>
      <w:r w:rsidR="00FC6F51" w:rsidRPr="00FA54ED">
        <w:rPr>
          <w:rFonts w:ascii="Times New Roman" w:hAnsi="Times New Roman" w:cs="Times New Roman"/>
          <w:lang w:val="en-GB"/>
        </w:rPr>
        <w:t xml:space="preserve">more stringent </w:t>
      </w:r>
      <w:r w:rsidRPr="00FA54ED">
        <w:rPr>
          <w:rFonts w:ascii="Times New Roman" w:hAnsi="Times New Roman" w:cs="Times New Roman"/>
          <w:lang w:val="en-GB"/>
        </w:rPr>
        <w:t xml:space="preserve">regarding </w:t>
      </w:r>
      <w:r w:rsidR="00FC6F51" w:rsidRPr="00FA54ED">
        <w:rPr>
          <w:rFonts w:ascii="Times New Roman" w:hAnsi="Times New Roman" w:cs="Times New Roman"/>
          <w:lang w:val="en-GB"/>
        </w:rPr>
        <w:t>market definition and competitive dynamics on the defined market</w:t>
      </w:r>
      <w:r w:rsidR="00DB4910" w:rsidRPr="00FA54ED">
        <w:rPr>
          <w:rFonts w:ascii="Times New Roman" w:hAnsi="Times New Roman" w:cs="Times New Roman"/>
          <w:lang w:val="en-GB"/>
        </w:rPr>
        <w:t>. Rather than artificially narrowing market definition to find dominance or broadening it to avoid intervention, the Court developed a framework that captures genuine competitive constraints without methodological contortions. The focus on structural dependency and temporal market presence provides a more nuanced alternative to binary dominance</w:t>
      </w:r>
      <w:r w:rsidRPr="00FA54ED">
        <w:rPr>
          <w:rFonts w:ascii="Times New Roman" w:hAnsi="Times New Roman" w:cs="Times New Roman"/>
          <w:lang w:val="en-GB"/>
        </w:rPr>
        <w:t xml:space="preserve"> </w:t>
      </w:r>
      <w:r w:rsidR="00DB4910" w:rsidRPr="00FA54ED">
        <w:rPr>
          <w:rFonts w:ascii="Times New Roman" w:hAnsi="Times New Roman" w:cs="Times New Roman"/>
          <w:lang w:val="en-GB"/>
        </w:rPr>
        <w:t>/</w:t>
      </w:r>
      <w:r w:rsidRPr="00FA54ED">
        <w:rPr>
          <w:rFonts w:ascii="Times New Roman" w:hAnsi="Times New Roman" w:cs="Times New Roman"/>
          <w:lang w:val="en-GB"/>
        </w:rPr>
        <w:t xml:space="preserve"> </w:t>
      </w:r>
      <w:r w:rsidR="00DB4910" w:rsidRPr="00FA54ED">
        <w:rPr>
          <w:rFonts w:ascii="Times New Roman" w:hAnsi="Times New Roman" w:cs="Times New Roman"/>
          <w:lang w:val="en-GB"/>
        </w:rPr>
        <w:t>non-dominance determinations.</w:t>
      </w:r>
    </w:p>
    <w:p w14:paraId="6048A621" w14:textId="19E32C69" w:rsidR="00DB4910" w:rsidRPr="00FA54ED" w:rsidRDefault="00DB4910" w:rsidP="009A2A10">
      <w:pPr>
        <w:pStyle w:val="Stext"/>
        <w:rPr>
          <w:rFonts w:ascii="Times New Roman" w:hAnsi="Times New Roman" w:cs="Times New Roman"/>
          <w:lang w:val="en-GB"/>
        </w:rPr>
      </w:pPr>
      <w:r w:rsidRPr="00FA54ED">
        <w:rPr>
          <w:rFonts w:ascii="Times New Roman" w:hAnsi="Times New Roman" w:cs="Times New Roman"/>
          <w:lang w:val="en-GB"/>
        </w:rPr>
        <w:t>The Constantin line ultimately illustrates how</w:t>
      </w:r>
      <w:r w:rsidR="00895747" w:rsidRPr="00FA54ED">
        <w:rPr>
          <w:rFonts w:ascii="Times New Roman" w:hAnsi="Times New Roman" w:cs="Times New Roman"/>
          <w:lang w:val="en-GB"/>
        </w:rPr>
        <w:t xml:space="preserve"> the</w:t>
      </w:r>
      <w:r w:rsidRPr="00FA54ED">
        <w:rPr>
          <w:rFonts w:ascii="Times New Roman" w:hAnsi="Times New Roman" w:cs="Times New Roman"/>
          <w:lang w:val="en-GB"/>
        </w:rPr>
        <w:t xml:space="preserve"> relative market power doctrine can </w:t>
      </w:r>
      <w:r w:rsidR="00895747" w:rsidRPr="00FA54ED">
        <w:rPr>
          <w:rFonts w:ascii="Times New Roman" w:hAnsi="Times New Roman" w:cs="Times New Roman"/>
          <w:lang w:val="en-GB"/>
        </w:rPr>
        <w:t>aid in preserving</w:t>
      </w:r>
      <w:r w:rsidRPr="00FA54ED">
        <w:rPr>
          <w:rFonts w:ascii="Times New Roman" w:hAnsi="Times New Roman" w:cs="Times New Roman"/>
          <w:lang w:val="en-GB"/>
        </w:rPr>
        <w:t xml:space="preserve"> competitive processes in industries where traditional antitrust tools </w:t>
      </w:r>
      <w:r w:rsidR="00895747" w:rsidRPr="00FA54ED">
        <w:rPr>
          <w:rFonts w:ascii="Times New Roman" w:hAnsi="Times New Roman" w:cs="Times New Roman"/>
          <w:lang w:val="en-GB"/>
        </w:rPr>
        <w:t xml:space="preserve">are not </w:t>
      </w:r>
      <w:r w:rsidR="00955558" w:rsidRPr="00FA54ED">
        <w:rPr>
          <w:rFonts w:ascii="Times New Roman" w:hAnsi="Times New Roman" w:cs="Times New Roman"/>
          <w:lang w:val="en-GB"/>
        </w:rPr>
        <w:t xml:space="preserve">easily </w:t>
      </w:r>
      <w:r w:rsidR="00895747" w:rsidRPr="00FA54ED">
        <w:rPr>
          <w:rFonts w:ascii="Times New Roman" w:hAnsi="Times New Roman" w:cs="Times New Roman"/>
          <w:lang w:val="en-GB"/>
        </w:rPr>
        <w:t>applicable</w:t>
      </w:r>
      <w:r w:rsidRPr="00FA54ED">
        <w:rPr>
          <w:rFonts w:ascii="Times New Roman" w:hAnsi="Times New Roman" w:cs="Times New Roman"/>
          <w:lang w:val="en-GB"/>
        </w:rPr>
        <w:t>.</w:t>
      </w:r>
    </w:p>
    <w:p w14:paraId="3797332B" w14:textId="18C248AB" w:rsidR="004E0030" w:rsidRPr="00FA54ED" w:rsidRDefault="00755DB4" w:rsidP="009A2A10">
      <w:pPr>
        <w:pStyle w:val="Stext"/>
        <w:rPr>
          <w:rFonts w:ascii="Times New Roman" w:hAnsi="Times New Roman" w:cs="Times New Roman"/>
          <w:lang w:val="en-GB"/>
        </w:rPr>
      </w:pPr>
      <w:r w:rsidRPr="00FA54ED">
        <w:rPr>
          <w:rFonts w:ascii="Times New Roman" w:hAnsi="Times New Roman" w:cs="Times New Roman"/>
          <w:lang w:val="en-GB"/>
        </w:rPr>
        <w:t xml:space="preserve">Following on the </w:t>
      </w:r>
      <w:r w:rsidRPr="00FA54ED">
        <w:rPr>
          <w:rFonts w:ascii="Times New Roman" w:hAnsi="Times New Roman" w:cs="Times New Roman"/>
          <w:i/>
          <w:iCs/>
          <w:lang w:val="en-GB"/>
        </w:rPr>
        <w:t xml:space="preserve">Multiplex </w:t>
      </w:r>
      <w:r w:rsidRPr="00FA54ED">
        <w:rPr>
          <w:rFonts w:ascii="Times New Roman" w:hAnsi="Times New Roman" w:cs="Times New Roman"/>
          <w:lang w:val="en-GB"/>
        </w:rPr>
        <w:t>judgment, the</w:t>
      </w:r>
      <w:r w:rsidR="00E940A1">
        <w:rPr>
          <w:rFonts w:ascii="Times New Roman" w:hAnsi="Times New Roman" w:cs="Times New Roman"/>
          <w:lang w:val="en-GB"/>
        </w:rPr>
        <w:t xml:space="preserve"> Austrian</w:t>
      </w:r>
      <w:r w:rsidRPr="00FA54ED">
        <w:rPr>
          <w:rFonts w:ascii="Times New Roman" w:hAnsi="Times New Roman" w:cs="Times New Roman"/>
          <w:lang w:val="en-GB"/>
        </w:rPr>
        <w:t xml:space="preserve"> Federal Competition Authority </w:t>
      </w:r>
      <w:r w:rsidRPr="00E940A1">
        <w:rPr>
          <w:rFonts w:ascii="Times New Roman" w:hAnsi="Times New Roman" w:cs="Times New Roman"/>
          <w:lang w:val="en-GB"/>
        </w:rPr>
        <w:t>(</w:t>
      </w:r>
      <w:r w:rsidRPr="00E940A1">
        <w:rPr>
          <w:rFonts w:ascii="Times New Roman" w:hAnsi="Times New Roman" w:cs="Times New Roman"/>
          <w:bCs/>
          <w:lang w:val="en-GB"/>
        </w:rPr>
        <w:t>"</w:t>
      </w:r>
      <w:r w:rsidR="00E940A1" w:rsidRPr="00E940A1">
        <w:rPr>
          <w:rFonts w:ascii="Times New Roman" w:hAnsi="Times New Roman" w:cs="Times New Roman"/>
          <w:bCs/>
          <w:i/>
          <w:lang w:val="en-GB"/>
        </w:rPr>
        <w:t>A</w:t>
      </w:r>
      <w:r w:rsidRPr="00E940A1">
        <w:rPr>
          <w:rFonts w:ascii="Times New Roman" w:hAnsi="Times New Roman" w:cs="Times New Roman"/>
          <w:bCs/>
          <w:i/>
          <w:lang w:val="en-GB"/>
        </w:rPr>
        <w:t>FCA</w:t>
      </w:r>
      <w:r w:rsidRPr="00E940A1">
        <w:rPr>
          <w:rFonts w:ascii="Times New Roman" w:hAnsi="Times New Roman" w:cs="Times New Roman"/>
          <w:bCs/>
          <w:lang w:val="en-GB"/>
        </w:rPr>
        <w:t>"</w:t>
      </w:r>
      <w:r w:rsidRPr="00E940A1">
        <w:rPr>
          <w:rFonts w:ascii="Times New Roman" w:hAnsi="Times New Roman" w:cs="Times New Roman"/>
          <w:lang w:val="en-GB"/>
        </w:rPr>
        <w:t>)</w:t>
      </w:r>
      <w:r w:rsidRPr="00FA54ED">
        <w:rPr>
          <w:rFonts w:ascii="Times New Roman" w:hAnsi="Times New Roman" w:cs="Times New Roman"/>
          <w:lang w:val="en-GB"/>
        </w:rPr>
        <w:t xml:space="preserve"> brought a public enforcement case against Constantin before the Cartel Court, which resulted in fines being imposed upon Constantin (OGH as KOG 26.06.2006 16 Ok 3/06). </w:t>
      </w:r>
      <w:r w:rsidR="000B2CD2" w:rsidRPr="00FA54ED">
        <w:rPr>
          <w:rFonts w:ascii="Times New Roman" w:hAnsi="Times New Roman" w:cs="Times New Roman"/>
          <w:lang w:val="en-GB"/>
        </w:rPr>
        <w:t>In a further private enforcement case (</w:t>
      </w:r>
      <w:r w:rsidR="004E0030" w:rsidRPr="00FA54ED">
        <w:rPr>
          <w:rFonts w:ascii="Times New Roman" w:hAnsi="Times New Roman" w:cs="Times New Roman"/>
          <w:lang w:val="en-GB"/>
        </w:rPr>
        <w:t xml:space="preserve">OGH as KOG 16.07.2008 16 Ok 6/08 – </w:t>
      </w:r>
      <w:r w:rsidR="004E0030" w:rsidRPr="00FA54ED">
        <w:rPr>
          <w:rFonts w:ascii="Times New Roman" w:hAnsi="Times New Roman" w:cs="Times New Roman"/>
          <w:i/>
          <w:iCs/>
          <w:lang w:val="en-GB"/>
        </w:rPr>
        <w:t>Asterix</w:t>
      </w:r>
      <w:r w:rsidR="004E0030" w:rsidRPr="00FA54ED">
        <w:rPr>
          <w:rFonts w:ascii="Times New Roman" w:hAnsi="Times New Roman" w:cs="Times New Roman"/>
          <w:lang w:val="en-GB"/>
        </w:rPr>
        <w:t>)</w:t>
      </w:r>
      <w:r w:rsidR="000B2CD2" w:rsidRPr="00FA54ED">
        <w:rPr>
          <w:rFonts w:ascii="Times New Roman" w:hAnsi="Times New Roman" w:cs="Times New Roman"/>
          <w:lang w:val="en-GB"/>
        </w:rPr>
        <w:t>,</w:t>
      </w:r>
      <w:r w:rsidR="004E0030" w:rsidRPr="00FA54ED">
        <w:rPr>
          <w:rFonts w:ascii="Times New Roman" w:hAnsi="Times New Roman" w:cs="Times New Roman"/>
          <w:lang w:val="en-GB"/>
        </w:rPr>
        <w:t xml:space="preserve"> </w:t>
      </w:r>
      <w:r w:rsidR="000B2CD2" w:rsidRPr="00FA54ED">
        <w:rPr>
          <w:rFonts w:ascii="Times New Roman" w:hAnsi="Times New Roman" w:cs="Times New Roman"/>
          <w:lang w:val="en-GB"/>
        </w:rPr>
        <w:t xml:space="preserve">the </w:t>
      </w:r>
      <w:r w:rsidR="004E0030" w:rsidRPr="00FA54ED">
        <w:rPr>
          <w:rFonts w:ascii="Times New Roman" w:hAnsi="Times New Roman" w:cs="Times New Roman"/>
          <w:lang w:val="en-GB"/>
        </w:rPr>
        <w:t xml:space="preserve">OGH </w:t>
      </w:r>
      <w:r w:rsidR="000B2CD2" w:rsidRPr="00FA54ED">
        <w:rPr>
          <w:rFonts w:ascii="Times New Roman" w:hAnsi="Times New Roman" w:cs="Times New Roman"/>
          <w:lang w:val="en-GB"/>
        </w:rPr>
        <w:t xml:space="preserve">issued another injunction against Constantin. </w:t>
      </w:r>
      <w:r w:rsidR="004E0030" w:rsidRPr="00FA54ED">
        <w:rPr>
          <w:rFonts w:ascii="Times New Roman" w:hAnsi="Times New Roman" w:cs="Times New Roman"/>
          <w:lang w:val="en-GB"/>
        </w:rPr>
        <w:t xml:space="preserve">The matter was </w:t>
      </w:r>
      <w:r w:rsidR="000B2CD2" w:rsidRPr="00FA54ED">
        <w:rPr>
          <w:rFonts w:ascii="Times New Roman" w:hAnsi="Times New Roman" w:cs="Times New Roman"/>
          <w:lang w:val="en-GB"/>
        </w:rPr>
        <w:t xml:space="preserve">then </w:t>
      </w:r>
      <w:r w:rsidR="004E0030" w:rsidRPr="00FA54ED">
        <w:rPr>
          <w:rFonts w:ascii="Times New Roman" w:hAnsi="Times New Roman" w:cs="Times New Roman"/>
          <w:lang w:val="en-GB"/>
        </w:rPr>
        <w:t>ultimately resolved by remedies concerning Constantin's film release policy.</w:t>
      </w:r>
    </w:p>
    <w:p w14:paraId="2D5F426E" w14:textId="3AB25DAE" w:rsidR="00DB4910" w:rsidRPr="00FA54ED" w:rsidRDefault="00DB4910" w:rsidP="000B2CD2">
      <w:pPr>
        <w:pStyle w:val="SNumberedParagraph2"/>
        <w:numPr>
          <w:ilvl w:val="0"/>
          <w:numId w:val="0"/>
        </w:numPr>
        <w:ind w:left="567" w:hanging="567"/>
        <w:rPr>
          <w:rFonts w:ascii="Times New Roman" w:hAnsi="Times New Roman" w:cs="Times New Roman"/>
          <w:b/>
          <w:bCs/>
          <w:lang w:val="en-GB"/>
        </w:rPr>
      </w:pPr>
      <w:r w:rsidRPr="00FA54ED">
        <w:rPr>
          <w:rFonts w:ascii="Times New Roman" w:hAnsi="Times New Roman" w:cs="Times New Roman"/>
          <w:b/>
          <w:bCs/>
          <w:lang w:val="en-GB"/>
        </w:rPr>
        <w:t>2.</w:t>
      </w:r>
      <w:r w:rsidR="000B2CD2" w:rsidRPr="00FA54ED">
        <w:rPr>
          <w:rFonts w:ascii="Times New Roman" w:hAnsi="Times New Roman" w:cs="Times New Roman"/>
          <w:b/>
          <w:bCs/>
          <w:lang w:val="en-GB"/>
        </w:rPr>
        <w:t>5</w:t>
      </w:r>
      <w:r w:rsidRPr="00FA54ED">
        <w:rPr>
          <w:rFonts w:ascii="Times New Roman" w:hAnsi="Times New Roman" w:cs="Times New Roman"/>
          <w:b/>
          <w:bCs/>
          <w:lang w:val="en-GB"/>
        </w:rPr>
        <w:tab/>
        <w:t xml:space="preserve">OGH 15.10.2002 4 Ob 187/02g– </w:t>
      </w:r>
      <w:r w:rsidRPr="00FA54ED">
        <w:rPr>
          <w:rFonts w:ascii="Times New Roman" w:hAnsi="Times New Roman" w:cs="Times New Roman"/>
          <w:b/>
          <w:bCs/>
          <w:i/>
          <w:iCs/>
          <w:lang w:val="en-GB"/>
        </w:rPr>
        <w:t>Alfa Romeo</w:t>
      </w:r>
    </w:p>
    <w:p w14:paraId="3A8565A5" w14:textId="6D9D675A" w:rsidR="00B10E66" w:rsidRPr="00FA54ED" w:rsidRDefault="0053272B" w:rsidP="009A2A10">
      <w:pPr>
        <w:pStyle w:val="Stext"/>
        <w:rPr>
          <w:rFonts w:ascii="Times New Roman" w:hAnsi="Times New Roman" w:cs="Times New Roman"/>
          <w:lang w:val="en-GB"/>
        </w:rPr>
      </w:pPr>
      <w:r w:rsidRPr="00FA54ED">
        <w:rPr>
          <w:rFonts w:ascii="Times New Roman" w:hAnsi="Times New Roman" w:cs="Times New Roman"/>
          <w:i/>
          <w:iCs/>
          <w:lang w:val="en-GB"/>
        </w:rPr>
        <w:t xml:space="preserve">In Alfa Romeo </w:t>
      </w:r>
      <w:r w:rsidRPr="00FA54ED">
        <w:rPr>
          <w:rFonts w:ascii="Times New Roman" w:hAnsi="Times New Roman" w:cs="Times New Roman"/>
          <w:lang w:val="en-GB"/>
        </w:rPr>
        <w:t>(and also in the subsequent judgment of 20.10.2009 4 Ob 119/09t –</w:t>
      </w:r>
      <w:r w:rsidRPr="00FA54ED">
        <w:rPr>
          <w:rFonts w:ascii="Times New Roman" w:hAnsi="Times New Roman" w:cs="Times New Roman"/>
          <w:i/>
          <w:iCs/>
          <w:lang w:val="en-GB"/>
        </w:rPr>
        <w:t xml:space="preserve"> Suzuki</w:t>
      </w:r>
      <w:r w:rsidRPr="00FA54ED">
        <w:rPr>
          <w:rFonts w:ascii="Times New Roman" w:hAnsi="Times New Roman" w:cs="Times New Roman"/>
          <w:lang w:val="en-GB"/>
        </w:rPr>
        <w:t xml:space="preserve">), the OGH applied the concept of relative market power </w:t>
      </w:r>
      <w:r w:rsidR="00A77DAB" w:rsidRPr="00FA54ED">
        <w:rPr>
          <w:rFonts w:ascii="Times New Roman" w:hAnsi="Times New Roman" w:cs="Times New Roman"/>
          <w:lang w:val="en-GB"/>
        </w:rPr>
        <w:t xml:space="preserve">to the relation between authorized car dealers on the one hand and the general importers of the respective </w:t>
      </w:r>
      <w:r w:rsidR="00D37E5D" w:rsidRPr="00FA54ED">
        <w:rPr>
          <w:rFonts w:ascii="Times New Roman" w:hAnsi="Times New Roman" w:cs="Times New Roman"/>
          <w:lang w:val="en-GB"/>
        </w:rPr>
        <w:t xml:space="preserve">car </w:t>
      </w:r>
      <w:r w:rsidR="00A77DAB" w:rsidRPr="00FA54ED">
        <w:rPr>
          <w:rFonts w:ascii="Times New Roman" w:hAnsi="Times New Roman" w:cs="Times New Roman"/>
          <w:lang w:val="en-GB"/>
        </w:rPr>
        <w:t>brand</w:t>
      </w:r>
      <w:r w:rsidR="00D37E5D" w:rsidRPr="00FA54ED">
        <w:rPr>
          <w:rFonts w:ascii="Times New Roman" w:hAnsi="Times New Roman" w:cs="Times New Roman"/>
          <w:lang w:val="en-GB"/>
        </w:rPr>
        <w:t xml:space="preserve"> on the other hand</w:t>
      </w:r>
      <w:r w:rsidR="00A77DAB" w:rsidRPr="00FA54ED">
        <w:rPr>
          <w:rFonts w:ascii="Times New Roman" w:hAnsi="Times New Roman" w:cs="Times New Roman"/>
          <w:lang w:val="en-GB"/>
        </w:rPr>
        <w:t xml:space="preserve">. </w:t>
      </w:r>
      <w:r w:rsidR="00B10E66" w:rsidRPr="00FA54ED">
        <w:rPr>
          <w:rFonts w:ascii="Times New Roman" w:hAnsi="Times New Roman" w:cs="Times New Roman"/>
          <w:lang w:val="en-GB"/>
        </w:rPr>
        <w:t xml:space="preserve">The Court reiterated in </w:t>
      </w:r>
      <w:bookmarkStart w:id="3" w:name="_Hlk200031138"/>
      <w:r w:rsidR="00B10E66" w:rsidRPr="00FA54ED">
        <w:rPr>
          <w:rFonts w:ascii="Times New Roman" w:hAnsi="Times New Roman" w:cs="Times New Roman"/>
          <w:lang w:val="en-GB"/>
        </w:rPr>
        <w:t xml:space="preserve">both </w:t>
      </w:r>
      <w:r w:rsidR="00A77DAB" w:rsidRPr="00FA54ED">
        <w:rPr>
          <w:rFonts w:ascii="Times New Roman" w:hAnsi="Times New Roman" w:cs="Times New Roman"/>
          <w:lang w:val="en-GB"/>
        </w:rPr>
        <w:t xml:space="preserve">decisions </w:t>
      </w:r>
      <w:bookmarkEnd w:id="3"/>
      <w:r w:rsidR="00B10E66" w:rsidRPr="00FA54ED">
        <w:rPr>
          <w:rFonts w:ascii="Times New Roman" w:hAnsi="Times New Roman" w:cs="Times New Roman"/>
          <w:lang w:val="en-GB"/>
        </w:rPr>
        <w:t xml:space="preserve">that the availability </w:t>
      </w:r>
      <w:r w:rsidR="00B10E66" w:rsidRPr="00FA54ED">
        <w:rPr>
          <w:rFonts w:ascii="Times New Roman" w:hAnsi="Times New Roman" w:cs="Times New Roman"/>
          <w:lang w:val="en-GB"/>
        </w:rPr>
        <w:lastRenderedPageBreak/>
        <w:t xml:space="preserve">of </w:t>
      </w:r>
      <w:r w:rsidR="00A77DAB" w:rsidRPr="00FA54ED">
        <w:rPr>
          <w:rFonts w:ascii="Times New Roman" w:hAnsi="Times New Roman" w:cs="Times New Roman"/>
          <w:lang w:val="en-GB"/>
        </w:rPr>
        <w:t xml:space="preserve">alternative sources of supply for the applicant </w:t>
      </w:r>
      <w:r w:rsidR="00B10E66" w:rsidRPr="00FA54ED">
        <w:rPr>
          <w:rFonts w:ascii="Times New Roman" w:hAnsi="Times New Roman" w:cs="Times New Roman"/>
          <w:lang w:val="en-GB"/>
        </w:rPr>
        <w:t xml:space="preserve">is crucial </w:t>
      </w:r>
      <w:r w:rsidR="00A77DAB" w:rsidRPr="00FA54ED">
        <w:rPr>
          <w:rFonts w:ascii="Times New Roman" w:hAnsi="Times New Roman" w:cs="Times New Roman"/>
          <w:lang w:val="en-GB"/>
        </w:rPr>
        <w:t xml:space="preserve">for a finding of dominance in a vertical relation. </w:t>
      </w:r>
      <w:r w:rsidR="000B121D" w:rsidRPr="00FA54ED">
        <w:rPr>
          <w:rFonts w:ascii="Times New Roman" w:hAnsi="Times New Roman" w:cs="Times New Roman"/>
          <w:lang w:val="en-GB"/>
        </w:rPr>
        <w:t>The OGH instructed the court</w:t>
      </w:r>
      <w:r w:rsidR="00A77DAB" w:rsidRPr="00FA54ED">
        <w:rPr>
          <w:rFonts w:ascii="Times New Roman" w:hAnsi="Times New Roman" w:cs="Times New Roman"/>
          <w:lang w:val="en-GB"/>
        </w:rPr>
        <w:t>s</w:t>
      </w:r>
      <w:r w:rsidR="000B121D" w:rsidRPr="00FA54ED">
        <w:rPr>
          <w:rFonts w:ascii="Times New Roman" w:hAnsi="Times New Roman" w:cs="Times New Roman"/>
          <w:lang w:val="en-GB"/>
        </w:rPr>
        <w:t xml:space="preserve"> of first instance to</w:t>
      </w:r>
      <w:r w:rsidR="00B10E66" w:rsidRPr="00FA54ED">
        <w:rPr>
          <w:rFonts w:ascii="Times New Roman" w:hAnsi="Times New Roman" w:cs="Times New Roman"/>
          <w:lang w:val="en-GB"/>
        </w:rPr>
        <w:t xml:space="preserve"> examine to what extent the authorized dealer also sold vehicles from other manufacturers</w:t>
      </w:r>
      <w:r w:rsidR="00A77DAB" w:rsidRPr="00FA54ED">
        <w:rPr>
          <w:rFonts w:ascii="Times New Roman" w:hAnsi="Times New Roman" w:cs="Times New Roman"/>
          <w:lang w:val="en-GB"/>
        </w:rPr>
        <w:t>,</w:t>
      </w:r>
      <w:r w:rsidR="00B10E66" w:rsidRPr="00FA54ED">
        <w:rPr>
          <w:rFonts w:ascii="Times New Roman" w:hAnsi="Times New Roman" w:cs="Times New Roman"/>
          <w:lang w:val="en-GB"/>
        </w:rPr>
        <w:t xml:space="preserve"> and whether maintaining the business relationship with the importer </w:t>
      </w:r>
      <w:r w:rsidR="00A77DAB" w:rsidRPr="00FA54ED">
        <w:rPr>
          <w:rFonts w:ascii="Times New Roman" w:hAnsi="Times New Roman" w:cs="Times New Roman"/>
          <w:lang w:val="en-GB"/>
        </w:rPr>
        <w:t xml:space="preserve">of a specific brand </w:t>
      </w:r>
      <w:r w:rsidR="00B10E66" w:rsidRPr="00FA54ED">
        <w:rPr>
          <w:rFonts w:ascii="Times New Roman" w:hAnsi="Times New Roman" w:cs="Times New Roman"/>
          <w:lang w:val="en-GB"/>
        </w:rPr>
        <w:t>was essential to avoid serious economic disadvantages</w:t>
      </w:r>
      <w:r w:rsidR="00A77DAB" w:rsidRPr="00FA54ED">
        <w:rPr>
          <w:rFonts w:ascii="Times New Roman" w:hAnsi="Times New Roman" w:cs="Times New Roman"/>
          <w:lang w:val="en-GB"/>
        </w:rPr>
        <w:t>, even if the brand as such has no particularly high share on the overall Austrian car market.</w:t>
      </w:r>
    </w:p>
    <w:p w14:paraId="6F1322D2" w14:textId="77777777" w:rsidR="009B042C" w:rsidRPr="00FA54ED" w:rsidRDefault="009B042C" w:rsidP="009A2A10">
      <w:pPr>
        <w:pStyle w:val="Stext"/>
        <w:rPr>
          <w:rFonts w:ascii="Times New Roman" w:hAnsi="Times New Roman" w:cs="Times New Roman"/>
          <w:lang w:val="en-GB"/>
        </w:rPr>
      </w:pPr>
      <w:r w:rsidRPr="00FA54ED">
        <w:rPr>
          <w:rFonts w:ascii="Times New Roman" w:hAnsi="Times New Roman" w:cs="Times New Roman"/>
          <w:bCs/>
          <w:i/>
          <w:lang w:val="en-GB"/>
        </w:rPr>
        <w:t>Conclusion:</w:t>
      </w:r>
      <w:r w:rsidRPr="00FA54ED">
        <w:rPr>
          <w:rFonts w:ascii="Times New Roman" w:hAnsi="Times New Roman" w:cs="Times New Roman"/>
          <w:lang w:val="en-GB"/>
        </w:rPr>
        <w:t xml:space="preserve"> </w:t>
      </w:r>
      <w:r w:rsidR="00DB4910" w:rsidRPr="00FA54ED">
        <w:rPr>
          <w:rFonts w:ascii="Times New Roman" w:hAnsi="Times New Roman" w:cs="Times New Roman"/>
          <w:lang w:val="en-GB"/>
        </w:rPr>
        <w:t>The Alfa Romeo and Suzuki cases crystallize the core economic concept underlying Austrian courts' assessm</w:t>
      </w:r>
      <w:r w:rsidRPr="00FA54ED">
        <w:rPr>
          <w:rFonts w:ascii="Times New Roman" w:hAnsi="Times New Roman" w:cs="Times New Roman"/>
          <w:lang w:val="en-GB"/>
        </w:rPr>
        <w:t xml:space="preserve">ent of relative market power: </w:t>
      </w:r>
      <w:r w:rsidR="00DB4910" w:rsidRPr="00FA54ED">
        <w:rPr>
          <w:rFonts w:ascii="Times New Roman" w:hAnsi="Times New Roman" w:cs="Times New Roman"/>
          <w:lang w:val="en-GB"/>
        </w:rPr>
        <w:t>economic dependency arising from relationship-specific i</w:t>
      </w:r>
      <w:r w:rsidRPr="00FA54ED">
        <w:rPr>
          <w:rFonts w:ascii="Times New Roman" w:hAnsi="Times New Roman" w:cs="Times New Roman"/>
          <w:lang w:val="en-GB"/>
        </w:rPr>
        <w:t>nvestments and switching costs</w:t>
      </w:r>
      <w:r w:rsidR="00DB4910" w:rsidRPr="00FA54ED">
        <w:rPr>
          <w:rFonts w:ascii="Times New Roman" w:hAnsi="Times New Roman" w:cs="Times New Roman"/>
          <w:lang w:val="en-GB"/>
        </w:rPr>
        <w:t>, rather than traditional market share-based dominance analysis.</w:t>
      </w:r>
    </w:p>
    <w:p w14:paraId="671329C4" w14:textId="2521C91A" w:rsidR="00DB4910" w:rsidRPr="00FA54ED" w:rsidRDefault="00DB4910" w:rsidP="009A2A10">
      <w:pPr>
        <w:pStyle w:val="Stext"/>
        <w:rPr>
          <w:rFonts w:ascii="Times New Roman" w:hAnsi="Times New Roman" w:cs="Times New Roman"/>
          <w:lang w:val="en-GB"/>
        </w:rPr>
      </w:pPr>
      <w:r w:rsidRPr="00FA54ED">
        <w:rPr>
          <w:rFonts w:ascii="Times New Roman" w:hAnsi="Times New Roman" w:cs="Times New Roman"/>
          <w:lang w:val="en-GB"/>
        </w:rPr>
        <w:t>These decisions establish that relative market power hinges on whether terminating a specific business relationship would impose "serious economic disadvantages" on the dependent party</w:t>
      </w:r>
      <w:r w:rsidR="00A004E1" w:rsidRPr="00FA54ED">
        <w:rPr>
          <w:rFonts w:ascii="Times New Roman" w:hAnsi="Times New Roman" w:cs="Times New Roman"/>
          <w:lang w:val="en-GB"/>
        </w:rPr>
        <w:t xml:space="preserve"> and establishes economic dependency as the central test</w:t>
      </w:r>
      <w:r w:rsidRPr="00FA54ED">
        <w:rPr>
          <w:rFonts w:ascii="Times New Roman" w:hAnsi="Times New Roman" w:cs="Times New Roman"/>
          <w:lang w:val="en-GB"/>
        </w:rPr>
        <w:t>. This approach recognizes that market power can exist in bilateral relationships even where the supplier lacks significant market share in the broader market - a fundamental departure from traditional dominance analysis.</w:t>
      </w:r>
    </w:p>
    <w:p w14:paraId="7C489BD5" w14:textId="3161E9DE" w:rsidR="009B042C" w:rsidRPr="00FA54ED" w:rsidRDefault="00DB4910" w:rsidP="009A2A10">
      <w:pPr>
        <w:pStyle w:val="Stext"/>
        <w:rPr>
          <w:rFonts w:ascii="Times New Roman" w:hAnsi="Times New Roman" w:cs="Times New Roman"/>
          <w:lang w:val="en-GB"/>
        </w:rPr>
      </w:pPr>
      <w:r w:rsidRPr="00FA54ED">
        <w:rPr>
          <w:rFonts w:ascii="Times New Roman" w:hAnsi="Times New Roman" w:cs="Times New Roman"/>
          <w:lang w:val="en-GB"/>
        </w:rPr>
        <w:t>The Court's instruction to examine whether maintaining the relationship with a specific brand importer is "essential" reflects economic theory on asset specificity. Authorized dealers typically make brand-specific investments (showrooms, training, inventory, customer relationships) that cannot be easily re</w:t>
      </w:r>
      <w:r w:rsidR="00A004E1" w:rsidRPr="00FA54ED">
        <w:rPr>
          <w:rFonts w:ascii="Times New Roman" w:hAnsi="Times New Roman" w:cs="Times New Roman"/>
          <w:lang w:val="en-GB"/>
        </w:rPr>
        <w:t>branded</w:t>
      </w:r>
      <w:r w:rsidRPr="00FA54ED">
        <w:rPr>
          <w:rFonts w:ascii="Times New Roman" w:hAnsi="Times New Roman" w:cs="Times New Roman"/>
          <w:lang w:val="en-GB"/>
        </w:rPr>
        <w:t xml:space="preserve"> to other manufacturers. This creates economic lock-in effects that generate dependency regardless of the brand's overall market position.</w:t>
      </w:r>
    </w:p>
    <w:p w14:paraId="6B95373A" w14:textId="2FB3F645" w:rsidR="00DB4910" w:rsidRPr="00FA54ED" w:rsidRDefault="00DB4910" w:rsidP="009A2A10">
      <w:pPr>
        <w:pStyle w:val="Stext"/>
        <w:rPr>
          <w:rFonts w:ascii="Times New Roman" w:hAnsi="Times New Roman" w:cs="Times New Roman"/>
          <w:lang w:val="en-GB"/>
        </w:rPr>
      </w:pPr>
      <w:r w:rsidRPr="00FA54ED">
        <w:rPr>
          <w:rFonts w:ascii="Times New Roman" w:hAnsi="Times New Roman" w:cs="Times New Roman"/>
          <w:lang w:val="en-GB"/>
        </w:rPr>
        <w:t>The Court's emphasis on examining whether dealers sell vehicles from other manufacturers demonstrates understanding of portfolio effects in mitigating dependency. Dealers with diversified brand portfolios have greater bargaining power and exit options, reducing their vulnerability to exploitation by any single importer.</w:t>
      </w:r>
    </w:p>
    <w:p w14:paraId="0B425EEA" w14:textId="00514BCB" w:rsidR="00DB4910" w:rsidRPr="00FA54ED" w:rsidRDefault="00DB4910" w:rsidP="009A2A10">
      <w:pPr>
        <w:pStyle w:val="Stext"/>
        <w:rPr>
          <w:rFonts w:ascii="Times New Roman" w:hAnsi="Times New Roman" w:cs="Times New Roman"/>
          <w:lang w:val="en-GB"/>
        </w:rPr>
      </w:pPr>
      <w:r w:rsidRPr="00FA54ED">
        <w:rPr>
          <w:rFonts w:ascii="Times New Roman" w:hAnsi="Times New Roman" w:cs="Times New Roman"/>
          <w:lang w:val="en-GB"/>
        </w:rPr>
        <w:t>This framework effectively operationalizes relative market power by focusing on genuine economic constraints and dependencies rather than formalistic market definition exercises, providing a more nuanced tool for addressing vertical relationship imbalances.</w:t>
      </w:r>
    </w:p>
    <w:p w14:paraId="2ED9BCA6" w14:textId="760DE720" w:rsidR="00857441" w:rsidRPr="00FA54ED" w:rsidRDefault="00857441" w:rsidP="00D0475B">
      <w:pPr>
        <w:pStyle w:val="Sheading2"/>
        <w:numPr>
          <w:ilvl w:val="1"/>
          <w:numId w:val="29"/>
        </w:numPr>
        <w:ind w:left="567" w:hanging="567"/>
        <w:rPr>
          <w:rFonts w:ascii="Times New Roman" w:hAnsi="Times New Roman" w:cs="Times New Roman"/>
          <w:b/>
          <w:bCs/>
          <w:i/>
          <w:iCs/>
          <w:lang w:val="en-GB"/>
        </w:rPr>
      </w:pPr>
      <w:r w:rsidRPr="00FA54ED">
        <w:rPr>
          <w:rFonts w:ascii="Times New Roman" w:hAnsi="Times New Roman" w:cs="Times New Roman"/>
          <w:b/>
          <w:bCs/>
          <w:lang w:val="en-GB"/>
        </w:rPr>
        <w:t xml:space="preserve">OGH as KOG 17.02.2021 16 Ok 4/20d – </w:t>
      </w:r>
      <w:proofErr w:type="spellStart"/>
      <w:r w:rsidRPr="00FA54ED">
        <w:rPr>
          <w:rFonts w:ascii="Times New Roman" w:hAnsi="Times New Roman" w:cs="Times New Roman"/>
          <w:b/>
          <w:bCs/>
          <w:i/>
          <w:iCs/>
          <w:lang w:val="en-GB"/>
        </w:rPr>
        <w:t>Büchl</w:t>
      </w:r>
      <w:proofErr w:type="spellEnd"/>
      <w:r w:rsidRPr="00FA54ED">
        <w:rPr>
          <w:rFonts w:ascii="Times New Roman" w:hAnsi="Times New Roman" w:cs="Times New Roman"/>
          <w:b/>
          <w:bCs/>
          <w:i/>
          <w:iCs/>
          <w:lang w:val="en-GB"/>
        </w:rPr>
        <w:t>/</w:t>
      </w:r>
      <w:proofErr w:type="spellStart"/>
      <w:r w:rsidRPr="00FA54ED">
        <w:rPr>
          <w:rFonts w:ascii="Times New Roman" w:hAnsi="Times New Roman" w:cs="Times New Roman"/>
          <w:b/>
          <w:bCs/>
          <w:i/>
          <w:iCs/>
          <w:lang w:val="en-GB"/>
        </w:rPr>
        <w:t>Peugot</w:t>
      </w:r>
      <w:proofErr w:type="spellEnd"/>
    </w:p>
    <w:p w14:paraId="4793F801" w14:textId="77777777" w:rsidR="00857441" w:rsidRPr="00FA54ED" w:rsidRDefault="00857441" w:rsidP="009A2A10">
      <w:pPr>
        <w:pStyle w:val="Stext"/>
        <w:rPr>
          <w:rFonts w:ascii="Times New Roman" w:hAnsi="Times New Roman" w:cs="Times New Roman"/>
          <w:lang w:val="en-GB"/>
        </w:rPr>
      </w:pPr>
      <w:r w:rsidRPr="00FA54ED">
        <w:rPr>
          <w:rFonts w:ascii="Times New Roman" w:hAnsi="Times New Roman" w:cs="Times New Roman"/>
          <w:bCs/>
          <w:i/>
          <w:lang w:val="en-GB"/>
        </w:rPr>
        <w:t>Facts:</w:t>
      </w:r>
      <w:r w:rsidRPr="00FA54ED">
        <w:rPr>
          <w:rFonts w:ascii="Times New Roman" w:hAnsi="Times New Roman" w:cs="Times New Roman"/>
          <w:b/>
          <w:bCs/>
          <w:lang w:val="en-GB"/>
        </w:rPr>
        <w:t xml:space="preserve"> </w:t>
      </w:r>
      <w:proofErr w:type="spellStart"/>
      <w:r w:rsidRPr="00FA54ED">
        <w:rPr>
          <w:rFonts w:ascii="Times New Roman" w:hAnsi="Times New Roman" w:cs="Times New Roman"/>
          <w:lang w:val="en-GB"/>
        </w:rPr>
        <w:t>Büchl</w:t>
      </w:r>
      <w:proofErr w:type="spellEnd"/>
      <w:r w:rsidRPr="00FA54ED">
        <w:rPr>
          <w:rFonts w:ascii="Times New Roman" w:hAnsi="Times New Roman" w:cs="Times New Roman"/>
          <w:lang w:val="en-GB"/>
        </w:rPr>
        <w:t>, an authorized dealer for Peugeot vehicles, applied</w:t>
      </w:r>
      <w:bookmarkStart w:id="4" w:name="_Hlk199942373"/>
      <w:r w:rsidRPr="00FA54ED">
        <w:rPr>
          <w:rFonts w:ascii="Times New Roman" w:hAnsi="Times New Roman" w:cs="Times New Roman"/>
          <w:lang w:val="en-GB"/>
        </w:rPr>
        <w:t xml:space="preserve"> </w:t>
      </w:r>
      <w:r w:rsidR="00AA2873" w:rsidRPr="00FA54ED">
        <w:rPr>
          <w:rFonts w:ascii="Times New Roman" w:hAnsi="Times New Roman" w:cs="Times New Roman"/>
          <w:lang w:val="en-GB"/>
        </w:rPr>
        <w:t xml:space="preserve">for an injunction to </w:t>
      </w:r>
      <w:r w:rsidR="0006525A" w:rsidRPr="00FA54ED">
        <w:rPr>
          <w:rFonts w:ascii="Times New Roman" w:hAnsi="Times New Roman" w:cs="Times New Roman"/>
          <w:lang w:val="en-GB"/>
        </w:rPr>
        <w:t>terminat</w:t>
      </w:r>
      <w:r w:rsidR="00AA2873" w:rsidRPr="00FA54ED">
        <w:rPr>
          <w:rFonts w:ascii="Times New Roman" w:hAnsi="Times New Roman" w:cs="Times New Roman"/>
          <w:lang w:val="en-GB"/>
        </w:rPr>
        <w:t>e</w:t>
      </w:r>
      <w:r w:rsidR="0006525A" w:rsidRPr="00FA54ED">
        <w:rPr>
          <w:rFonts w:ascii="Times New Roman" w:hAnsi="Times New Roman" w:cs="Times New Roman"/>
          <w:lang w:val="en-GB"/>
        </w:rPr>
        <w:t xml:space="preserve"> the abuse of </w:t>
      </w:r>
      <w:r w:rsidR="00AA2873" w:rsidRPr="00FA54ED">
        <w:rPr>
          <w:rFonts w:ascii="Times New Roman" w:hAnsi="Times New Roman" w:cs="Times New Roman"/>
          <w:lang w:val="en-GB"/>
        </w:rPr>
        <w:t xml:space="preserve">a </w:t>
      </w:r>
      <w:r w:rsidR="0006525A" w:rsidRPr="00FA54ED">
        <w:rPr>
          <w:rFonts w:ascii="Times New Roman" w:hAnsi="Times New Roman" w:cs="Times New Roman"/>
          <w:lang w:val="en-GB"/>
        </w:rPr>
        <w:t xml:space="preserve">dominant market </w:t>
      </w:r>
      <w:r w:rsidR="00AA2873" w:rsidRPr="00FA54ED">
        <w:rPr>
          <w:rFonts w:ascii="Times New Roman" w:hAnsi="Times New Roman" w:cs="Times New Roman"/>
          <w:lang w:val="en-GB"/>
        </w:rPr>
        <w:t xml:space="preserve">position </w:t>
      </w:r>
      <w:r w:rsidR="0006525A" w:rsidRPr="00FA54ED">
        <w:rPr>
          <w:rFonts w:ascii="Times New Roman" w:hAnsi="Times New Roman" w:cs="Times New Roman"/>
          <w:lang w:val="en-GB"/>
        </w:rPr>
        <w:t xml:space="preserve">by the respondent, </w:t>
      </w:r>
      <w:r w:rsidR="00AA2873" w:rsidRPr="00FA54ED">
        <w:rPr>
          <w:rFonts w:ascii="Times New Roman" w:hAnsi="Times New Roman" w:cs="Times New Roman"/>
          <w:lang w:val="en-GB"/>
        </w:rPr>
        <w:t xml:space="preserve">which is </w:t>
      </w:r>
      <w:r w:rsidR="0006525A" w:rsidRPr="00FA54ED">
        <w:rPr>
          <w:rFonts w:ascii="Times New Roman" w:hAnsi="Times New Roman" w:cs="Times New Roman"/>
          <w:lang w:val="en-GB"/>
        </w:rPr>
        <w:t>the Austrian general importer for Peug</w:t>
      </w:r>
      <w:r w:rsidR="004C4F89" w:rsidRPr="00FA54ED">
        <w:rPr>
          <w:rFonts w:ascii="Times New Roman" w:hAnsi="Times New Roman" w:cs="Times New Roman"/>
          <w:lang w:val="en-GB"/>
        </w:rPr>
        <w:t>e</w:t>
      </w:r>
      <w:r w:rsidR="0006525A" w:rsidRPr="00FA54ED">
        <w:rPr>
          <w:rFonts w:ascii="Times New Roman" w:hAnsi="Times New Roman" w:cs="Times New Roman"/>
          <w:lang w:val="en-GB"/>
        </w:rPr>
        <w:t xml:space="preserve">ot vehicles. For nearly 30 years, </w:t>
      </w:r>
      <w:proofErr w:type="spellStart"/>
      <w:r w:rsidR="0006525A" w:rsidRPr="00FA54ED">
        <w:rPr>
          <w:rFonts w:ascii="Times New Roman" w:hAnsi="Times New Roman" w:cs="Times New Roman"/>
          <w:lang w:val="en-GB"/>
        </w:rPr>
        <w:t>Büchl</w:t>
      </w:r>
      <w:proofErr w:type="spellEnd"/>
      <w:r w:rsidR="0006525A" w:rsidRPr="00FA54ED">
        <w:rPr>
          <w:rFonts w:ascii="Times New Roman" w:hAnsi="Times New Roman" w:cs="Times New Roman"/>
          <w:lang w:val="en-GB"/>
        </w:rPr>
        <w:t xml:space="preserve"> ha</w:t>
      </w:r>
      <w:r w:rsidR="004C4F89" w:rsidRPr="00FA54ED">
        <w:rPr>
          <w:rFonts w:ascii="Times New Roman" w:hAnsi="Times New Roman" w:cs="Times New Roman"/>
          <w:lang w:val="en-GB"/>
        </w:rPr>
        <w:t>d</w:t>
      </w:r>
      <w:r w:rsidR="0006525A" w:rsidRPr="00FA54ED">
        <w:rPr>
          <w:rFonts w:ascii="Times New Roman" w:hAnsi="Times New Roman" w:cs="Times New Roman"/>
          <w:lang w:val="en-GB"/>
        </w:rPr>
        <w:t xml:space="preserve"> been dealing </w:t>
      </w:r>
      <w:r w:rsidR="00AA2873" w:rsidRPr="00FA54ED">
        <w:rPr>
          <w:rFonts w:ascii="Times New Roman" w:hAnsi="Times New Roman" w:cs="Times New Roman"/>
          <w:lang w:val="en-GB"/>
        </w:rPr>
        <w:t xml:space="preserve">with </w:t>
      </w:r>
      <w:r w:rsidR="0006525A" w:rsidRPr="00FA54ED">
        <w:rPr>
          <w:rFonts w:ascii="Times New Roman" w:hAnsi="Times New Roman" w:cs="Times New Roman"/>
          <w:lang w:val="en-GB"/>
        </w:rPr>
        <w:t>Peug</w:t>
      </w:r>
      <w:r w:rsidR="004C4F89" w:rsidRPr="00FA54ED">
        <w:rPr>
          <w:rFonts w:ascii="Times New Roman" w:hAnsi="Times New Roman" w:cs="Times New Roman"/>
          <w:lang w:val="en-GB"/>
        </w:rPr>
        <w:t>e</w:t>
      </w:r>
      <w:r w:rsidR="0006525A" w:rsidRPr="00FA54ED">
        <w:rPr>
          <w:rFonts w:ascii="Times New Roman" w:hAnsi="Times New Roman" w:cs="Times New Roman"/>
          <w:lang w:val="en-GB"/>
        </w:rPr>
        <w:t>ot vehicles</w:t>
      </w:r>
      <w:r w:rsidR="004C4F89" w:rsidRPr="00FA54ED">
        <w:rPr>
          <w:rFonts w:ascii="Times New Roman" w:hAnsi="Times New Roman" w:cs="Times New Roman"/>
          <w:lang w:val="en-GB"/>
        </w:rPr>
        <w:t>, as well as with other car brands</w:t>
      </w:r>
      <w:r w:rsidR="0006525A" w:rsidRPr="00FA54ED">
        <w:rPr>
          <w:rFonts w:ascii="Times New Roman" w:hAnsi="Times New Roman" w:cs="Times New Roman"/>
          <w:lang w:val="en-GB"/>
        </w:rPr>
        <w:t xml:space="preserve">. </w:t>
      </w:r>
      <w:r w:rsidR="004C4F89" w:rsidRPr="00FA54ED">
        <w:rPr>
          <w:rStyle w:val="Strong"/>
          <w:rFonts w:ascii="Times New Roman" w:hAnsi="Times New Roman" w:cs="Times New Roman"/>
          <w:b w:val="0"/>
          <w:bCs w:val="0"/>
          <w:lang w:val="en-GB"/>
        </w:rPr>
        <w:t xml:space="preserve">68% of </w:t>
      </w:r>
      <w:proofErr w:type="spellStart"/>
      <w:r w:rsidR="004C4F89" w:rsidRPr="00FA54ED">
        <w:rPr>
          <w:rStyle w:val="Strong"/>
          <w:rFonts w:ascii="Times New Roman" w:hAnsi="Times New Roman" w:cs="Times New Roman"/>
          <w:b w:val="0"/>
          <w:bCs w:val="0"/>
          <w:lang w:val="en-GB"/>
        </w:rPr>
        <w:t>Büchl's</w:t>
      </w:r>
      <w:proofErr w:type="spellEnd"/>
      <w:r w:rsidR="004C4F89" w:rsidRPr="00FA54ED">
        <w:rPr>
          <w:rStyle w:val="Strong"/>
          <w:rFonts w:ascii="Times New Roman" w:hAnsi="Times New Roman" w:cs="Times New Roman"/>
          <w:b w:val="0"/>
          <w:bCs w:val="0"/>
          <w:lang w:val="en-GB"/>
        </w:rPr>
        <w:t xml:space="preserve"> new car sales</w:t>
      </w:r>
      <w:r w:rsidR="004C4F89" w:rsidRPr="00FA54ED">
        <w:rPr>
          <w:rFonts w:ascii="Times New Roman" w:hAnsi="Times New Roman" w:cs="Times New Roman"/>
          <w:lang w:val="en-GB"/>
        </w:rPr>
        <w:t xml:space="preserve"> and </w:t>
      </w:r>
      <w:r w:rsidR="004C4F89" w:rsidRPr="00FA54ED">
        <w:rPr>
          <w:rStyle w:val="Strong"/>
          <w:rFonts w:ascii="Times New Roman" w:hAnsi="Times New Roman" w:cs="Times New Roman"/>
          <w:b w:val="0"/>
          <w:bCs w:val="0"/>
          <w:lang w:val="en-GB"/>
        </w:rPr>
        <w:t>60% of its workshop revenues</w:t>
      </w:r>
      <w:r w:rsidR="004C4F89" w:rsidRPr="00FA54ED">
        <w:rPr>
          <w:rFonts w:ascii="Times New Roman" w:hAnsi="Times New Roman" w:cs="Times New Roman"/>
          <w:lang w:val="en-GB"/>
        </w:rPr>
        <w:t xml:space="preserve"> derived from Peugeot vehicles. </w:t>
      </w:r>
      <w:r w:rsidR="0006525A" w:rsidRPr="00FA54ED">
        <w:rPr>
          <w:rFonts w:ascii="Times New Roman" w:hAnsi="Times New Roman" w:cs="Times New Roman"/>
          <w:lang w:val="en-GB"/>
        </w:rPr>
        <w:t>The application covered various aspects, including unreasonable corporate identity investments, coercion to participate in promotional campaigns, the tying of bonus payments to customer satisfaction surveys, excessive sales targets, and the handling of warranty and guarantee claims at non-cost-covering conditions.</w:t>
      </w:r>
    </w:p>
    <w:p w14:paraId="3F338B26" w14:textId="145D8AD8" w:rsidR="00857441" w:rsidRPr="00FA54ED" w:rsidRDefault="0006525A" w:rsidP="009A2A10">
      <w:pPr>
        <w:pStyle w:val="Stext"/>
        <w:rPr>
          <w:rFonts w:ascii="Times New Roman" w:hAnsi="Times New Roman" w:cs="Times New Roman"/>
          <w:lang w:val="en-GB"/>
        </w:rPr>
      </w:pPr>
      <w:r w:rsidRPr="00FA54ED">
        <w:rPr>
          <w:rFonts w:ascii="Times New Roman" w:hAnsi="Times New Roman" w:cs="Times New Roman"/>
          <w:bCs/>
          <w:i/>
          <w:lang w:val="en-GB"/>
        </w:rPr>
        <w:t>Decision:</w:t>
      </w:r>
      <w:r w:rsidRPr="00FA54ED">
        <w:rPr>
          <w:rFonts w:ascii="Times New Roman" w:hAnsi="Times New Roman" w:cs="Times New Roman"/>
          <w:lang w:val="en-GB"/>
        </w:rPr>
        <w:t xml:space="preserve"> The Cartel Court found that the loss of the respondent as a contractual partner would be </w:t>
      </w:r>
      <w:r w:rsidRPr="00FA54ED">
        <w:rPr>
          <w:rStyle w:val="Strong"/>
          <w:rFonts w:ascii="Times New Roman" w:hAnsi="Times New Roman" w:cs="Times New Roman"/>
          <w:b w:val="0"/>
          <w:bCs w:val="0"/>
          <w:lang w:val="en-GB"/>
        </w:rPr>
        <w:t>existentially threatening</w:t>
      </w:r>
      <w:r w:rsidRPr="00FA54ED">
        <w:rPr>
          <w:rFonts w:ascii="Times New Roman" w:hAnsi="Times New Roman" w:cs="Times New Roman"/>
          <w:lang w:val="en-GB"/>
        </w:rPr>
        <w:t xml:space="preserve"> for the applicant both </w:t>
      </w:r>
      <w:r w:rsidR="00AA2873" w:rsidRPr="00FA54ED">
        <w:rPr>
          <w:rFonts w:ascii="Times New Roman" w:hAnsi="Times New Roman" w:cs="Times New Roman"/>
          <w:lang w:val="en-GB"/>
        </w:rPr>
        <w:t xml:space="preserve">regarding </w:t>
      </w:r>
      <w:r w:rsidRPr="00FA54ED">
        <w:rPr>
          <w:rFonts w:ascii="Times New Roman" w:hAnsi="Times New Roman" w:cs="Times New Roman"/>
          <w:lang w:val="en-GB"/>
        </w:rPr>
        <w:t xml:space="preserve">the </w:t>
      </w:r>
      <w:r w:rsidR="00AA2873" w:rsidRPr="00FA54ED">
        <w:rPr>
          <w:rFonts w:ascii="Times New Roman" w:hAnsi="Times New Roman" w:cs="Times New Roman"/>
          <w:lang w:val="en-GB"/>
        </w:rPr>
        <w:t xml:space="preserve">sale of </w:t>
      </w:r>
      <w:r w:rsidRPr="00FA54ED">
        <w:rPr>
          <w:rFonts w:ascii="Times New Roman" w:hAnsi="Times New Roman" w:cs="Times New Roman"/>
          <w:lang w:val="en-GB"/>
        </w:rPr>
        <w:t>new car</w:t>
      </w:r>
      <w:r w:rsidR="00AA2873" w:rsidRPr="00FA54ED">
        <w:rPr>
          <w:rFonts w:ascii="Times New Roman" w:hAnsi="Times New Roman" w:cs="Times New Roman"/>
          <w:lang w:val="en-GB"/>
        </w:rPr>
        <w:t>s</w:t>
      </w:r>
      <w:r w:rsidRPr="00FA54ED">
        <w:rPr>
          <w:rFonts w:ascii="Times New Roman" w:hAnsi="Times New Roman" w:cs="Times New Roman"/>
          <w:lang w:val="en-GB"/>
        </w:rPr>
        <w:t xml:space="preserve"> </w:t>
      </w:r>
      <w:r w:rsidR="00AA2873" w:rsidRPr="00FA54ED">
        <w:rPr>
          <w:rFonts w:ascii="Times New Roman" w:hAnsi="Times New Roman" w:cs="Times New Roman"/>
          <w:lang w:val="en-GB"/>
        </w:rPr>
        <w:t xml:space="preserve">as well as after sale services, </w:t>
      </w:r>
      <w:r w:rsidRPr="00FA54ED">
        <w:rPr>
          <w:rFonts w:ascii="Times New Roman" w:hAnsi="Times New Roman" w:cs="Times New Roman"/>
          <w:lang w:val="en-GB"/>
        </w:rPr>
        <w:t>due to the associated loss of customers and the investments already made</w:t>
      </w:r>
      <w:r w:rsidR="00AA2873" w:rsidRPr="00FA54ED">
        <w:rPr>
          <w:rFonts w:ascii="Times New Roman" w:hAnsi="Times New Roman" w:cs="Times New Roman"/>
          <w:lang w:val="en-GB"/>
        </w:rPr>
        <w:t xml:space="preserve"> in the Peugeot brand</w:t>
      </w:r>
      <w:r w:rsidRPr="00FA54ED">
        <w:rPr>
          <w:rFonts w:ascii="Times New Roman" w:hAnsi="Times New Roman" w:cs="Times New Roman"/>
          <w:lang w:val="en-GB"/>
        </w:rPr>
        <w:t xml:space="preserve">. No </w:t>
      </w:r>
      <w:r w:rsidR="00AA2873" w:rsidRPr="00FA54ED">
        <w:rPr>
          <w:rFonts w:ascii="Times New Roman" w:hAnsi="Times New Roman" w:cs="Times New Roman"/>
          <w:lang w:val="en-GB"/>
        </w:rPr>
        <w:t xml:space="preserve">adequate </w:t>
      </w:r>
      <w:r w:rsidRPr="00FA54ED">
        <w:rPr>
          <w:rFonts w:ascii="Times New Roman" w:hAnsi="Times New Roman" w:cs="Times New Roman"/>
          <w:lang w:val="en-GB"/>
        </w:rPr>
        <w:t>alternative sal</w:t>
      </w:r>
      <w:r w:rsidR="00777A89" w:rsidRPr="00FA54ED">
        <w:rPr>
          <w:rFonts w:ascii="Times New Roman" w:hAnsi="Times New Roman" w:cs="Times New Roman"/>
          <w:lang w:val="en-GB"/>
        </w:rPr>
        <w:t xml:space="preserve">es or procurement channels were </w:t>
      </w:r>
      <w:r w:rsidR="00AA2873" w:rsidRPr="00FA54ED">
        <w:rPr>
          <w:rFonts w:ascii="Times New Roman" w:hAnsi="Times New Roman" w:cs="Times New Roman"/>
          <w:lang w:val="en-GB"/>
        </w:rPr>
        <w:t xml:space="preserve">deemed </w:t>
      </w:r>
      <w:r w:rsidRPr="00FA54ED">
        <w:rPr>
          <w:rFonts w:ascii="Times New Roman" w:hAnsi="Times New Roman" w:cs="Times New Roman"/>
          <w:lang w:val="en-GB"/>
        </w:rPr>
        <w:t xml:space="preserve">available. The </w:t>
      </w:r>
      <w:r w:rsidR="00AA2873" w:rsidRPr="00FA54ED">
        <w:rPr>
          <w:rFonts w:ascii="Times New Roman" w:hAnsi="Times New Roman" w:cs="Times New Roman"/>
          <w:lang w:val="en-GB"/>
        </w:rPr>
        <w:t xml:space="preserve">respondent was presumed to enjoy </w:t>
      </w:r>
      <w:r w:rsidRPr="00FA54ED">
        <w:rPr>
          <w:rStyle w:val="Strong"/>
          <w:rFonts w:ascii="Times New Roman" w:hAnsi="Times New Roman" w:cs="Times New Roman"/>
          <w:b w:val="0"/>
          <w:bCs w:val="0"/>
          <w:lang w:val="en-GB"/>
        </w:rPr>
        <w:t>relative market power</w:t>
      </w:r>
      <w:r w:rsidRPr="00FA54ED">
        <w:rPr>
          <w:rFonts w:ascii="Times New Roman" w:hAnsi="Times New Roman" w:cs="Times New Roman"/>
          <w:b/>
          <w:bCs/>
          <w:lang w:val="en-GB"/>
        </w:rPr>
        <w:t xml:space="preserve"> </w:t>
      </w:r>
      <w:r w:rsidR="00AA2873" w:rsidRPr="00FA54ED">
        <w:rPr>
          <w:rFonts w:ascii="Times New Roman" w:hAnsi="Times New Roman" w:cs="Times New Roman"/>
          <w:lang w:val="en-GB"/>
        </w:rPr>
        <w:t>over</w:t>
      </w:r>
      <w:r w:rsidR="00AA2873" w:rsidRPr="00FA54ED">
        <w:rPr>
          <w:rFonts w:ascii="Times New Roman" w:hAnsi="Times New Roman" w:cs="Times New Roman"/>
          <w:b/>
          <w:bCs/>
          <w:lang w:val="en-GB"/>
        </w:rPr>
        <w:t xml:space="preserve"> </w:t>
      </w:r>
      <w:r w:rsidRPr="00FA54ED">
        <w:rPr>
          <w:rFonts w:ascii="Times New Roman" w:hAnsi="Times New Roman" w:cs="Times New Roman"/>
          <w:lang w:val="en-GB"/>
        </w:rPr>
        <w:t>the respondent in the meaning of §</w:t>
      </w:r>
      <w:r w:rsidR="00AA2873" w:rsidRPr="00FA54ED">
        <w:rPr>
          <w:rFonts w:ascii="Times New Roman" w:hAnsi="Times New Roman" w:cs="Times New Roman"/>
          <w:lang w:val="en-GB"/>
        </w:rPr>
        <w:t> </w:t>
      </w:r>
      <w:r w:rsidRPr="00FA54ED">
        <w:rPr>
          <w:rFonts w:ascii="Times New Roman" w:hAnsi="Times New Roman" w:cs="Times New Roman"/>
          <w:lang w:val="en-GB"/>
        </w:rPr>
        <w:t>4a Cartel Act.</w:t>
      </w:r>
    </w:p>
    <w:p w14:paraId="0832BD08" w14:textId="77777777" w:rsidR="00857441" w:rsidRPr="00FA54ED" w:rsidRDefault="00AA2873" w:rsidP="009A2A10">
      <w:pPr>
        <w:pStyle w:val="Stext"/>
        <w:rPr>
          <w:rFonts w:ascii="Times New Roman" w:hAnsi="Times New Roman" w:cs="Times New Roman"/>
          <w:lang w:val="en-GB"/>
        </w:rPr>
      </w:pPr>
      <w:r w:rsidRPr="00FA54ED">
        <w:rPr>
          <w:rFonts w:ascii="Times New Roman" w:hAnsi="Times New Roman" w:cs="Times New Roman"/>
          <w:lang w:val="en-GB"/>
        </w:rPr>
        <w:t>T</w:t>
      </w:r>
      <w:r w:rsidR="0006525A" w:rsidRPr="00FA54ED">
        <w:rPr>
          <w:rFonts w:ascii="Times New Roman" w:hAnsi="Times New Roman" w:cs="Times New Roman"/>
          <w:lang w:val="en-GB"/>
        </w:rPr>
        <w:t xml:space="preserve">he OGH </w:t>
      </w:r>
      <w:r w:rsidRPr="00FA54ED">
        <w:rPr>
          <w:rFonts w:ascii="Times New Roman" w:hAnsi="Times New Roman" w:cs="Times New Roman"/>
          <w:lang w:val="en-GB"/>
        </w:rPr>
        <w:t xml:space="preserve">confirmed these findings. It added that </w:t>
      </w:r>
      <w:r w:rsidR="0006525A" w:rsidRPr="00FA54ED">
        <w:rPr>
          <w:rFonts w:ascii="Times New Roman" w:hAnsi="Times New Roman" w:cs="Times New Roman"/>
          <w:lang w:val="en-GB"/>
        </w:rPr>
        <w:t>economic disadvantages resulting from the termination of a business relationship</w:t>
      </w:r>
      <w:r w:rsidRPr="00FA54ED">
        <w:rPr>
          <w:rFonts w:ascii="Times New Roman" w:hAnsi="Times New Roman" w:cs="Times New Roman"/>
          <w:lang w:val="en-GB"/>
        </w:rPr>
        <w:t xml:space="preserve"> </w:t>
      </w:r>
      <w:r w:rsidR="0006525A" w:rsidRPr="00FA54ED">
        <w:rPr>
          <w:rFonts w:ascii="Times New Roman" w:hAnsi="Times New Roman" w:cs="Times New Roman"/>
          <w:lang w:val="en-GB"/>
        </w:rPr>
        <w:t xml:space="preserve">are to be considered serious </w:t>
      </w:r>
      <w:r w:rsidR="0006525A" w:rsidRPr="00FA54ED">
        <w:rPr>
          <w:rStyle w:val="Strong"/>
          <w:rFonts w:ascii="Times New Roman" w:hAnsi="Times New Roman" w:cs="Times New Roman"/>
          <w:b w:val="0"/>
          <w:bCs w:val="0"/>
          <w:lang w:val="en-GB"/>
        </w:rPr>
        <w:t>not only</w:t>
      </w:r>
      <w:r w:rsidR="0006525A" w:rsidRPr="00FA54ED">
        <w:rPr>
          <w:rFonts w:ascii="Times New Roman" w:hAnsi="Times New Roman" w:cs="Times New Roman"/>
          <w:lang w:val="en-GB"/>
        </w:rPr>
        <w:t xml:space="preserve"> when the very existence of a business is threatened, but </w:t>
      </w:r>
      <w:r w:rsidR="0006525A" w:rsidRPr="00FA54ED">
        <w:rPr>
          <w:rFonts w:ascii="Times New Roman" w:hAnsi="Times New Roman" w:cs="Times New Roman"/>
          <w:lang w:val="en-GB"/>
        </w:rPr>
        <w:lastRenderedPageBreak/>
        <w:t xml:space="preserve">already when </w:t>
      </w:r>
      <w:r w:rsidR="0006525A" w:rsidRPr="00FA54ED">
        <w:rPr>
          <w:rStyle w:val="Strong"/>
          <w:rFonts w:ascii="Times New Roman" w:hAnsi="Times New Roman" w:cs="Times New Roman"/>
          <w:b w:val="0"/>
          <w:bCs w:val="0"/>
          <w:lang w:val="en-GB"/>
        </w:rPr>
        <w:t>substantial losses in revenue or the loss of a significant portion of a company’s customer base</w:t>
      </w:r>
      <w:r w:rsidR="0006525A" w:rsidRPr="00FA54ED">
        <w:rPr>
          <w:rFonts w:ascii="Times New Roman" w:hAnsi="Times New Roman" w:cs="Times New Roman"/>
          <w:lang w:val="en-GB"/>
        </w:rPr>
        <w:t xml:space="preserve"> are likely to result from</w:t>
      </w:r>
      <w:r w:rsidR="004C4F89" w:rsidRPr="00FA54ED">
        <w:rPr>
          <w:rFonts w:ascii="Times New Roman" w:hAnsi="Times New Roman" w:cs="Times New Roman"/>
          <w:lang w:val="en-GB"/>
        </w:rPr>
        <w:t xml:space="preserve"> the disruption</w:t>
      </w:r>
      <w:r w:rsidR="0006525A" w:rsidRPr="00FA54ED">
        <w:rPr>
          <w:rFonts w:ascii="Times New Roman" w:hAnsi="Times New Roman" w:cs="Times New Roman"/>
          <w:lang w:val="en-GB"/>
        </w:rPr>
        <w:t xml:space="preserve">. Thus, the OGH concurred with the court of first instance that Peugeot holds a dominant position </w:t>
      </w:r>
      <w:r w:rsidR="004C4F89" w:rsidRPr="00FA54ED">
        <w:rPr>
          <w:rFonts w:ascii="Times New Roman" w:hAnsi="Times New Roman" w:cs="Times New Roman"/>
          <w:lang w:val="en-GB"/>
        </w:rPr>
        <w:t xml:space="preserve">vis-à-vis </w:t>
      </w:r>
      <w:proofErr w:type="spellStart"/>
      <w:r w:rsidR="004C4F89" w:rsidRPr="00FA54ED">
        <w:rPr>
          <w:rFonts w:ascii="Times New Roman" w:hAnsi="Times New Roman" w:cs="Times New Roman"/>
          <w:lang w:val="en-GB"/>
        </w:rPr>
        <w:t>Büchl</w:t>
      </w:r>
      <w:proofErr w:type="spellEnd"/>
      <w:r w:rsidR="004C4F89" w:rsidRPr="00FA54ED">
        <w:rPr>
          <w:rFonts w:ascii="Times New Roman" w:hAnsi="Times New Roman" w:cs="Times New Roman"/>
          <w:lang w:val="en-GB"/>
        </w:rPr>
        <w:t xml:space="preserve">. </w:t>
      </w:r>
      <w:proofErr w:type="spellStart"/>
      <w:r w:rsidR="0006525A" w:rsidRPr="00FA54ED">
        <w:rPr>
          <w:rFonts w:ascii="Times New Roman" w:hAnsi="Times New Roman" w:cs="Times New Roman"/>
          <w:lang w:val="en-GB"/>
        </w:rPr>
        <w:t>Peugot</w:t>
      </w:r>
      <w:proofErr w:type="spellEnd"/>
      <w:r w:rsidR="0006525A" w:rsidRPr="00FA54ED">
        <w:rPr>
          <w:rFonts w:ascii="Times New Roman" w:hAnsi="Times New Roman" w:cs="Times New Roman"/>
          <w:lang w:val="en-GB"/>
        </w:rPr>
        <w:t xml:space="preserve"> was ordered to cease the relevant abusive practices within three months.</w:t>
      </w:r>
    </w:p>
    <w:p w14:paraId="0441EEC5" w14:textId="77777777" w:rsidR="00857441" w:rsidRPr="00FA54ED" w:rsidRDefault="00857441" w:rsidP="009A2A10">
      <w:pPr>
        <w:pStyle w:val="Stext"/>
        <w:rPr>
          <w:rFonts w:ascii="Times New Roman" w:hAnsi="Times New Roman" w:cs="Times New Roman"/>
          <w:lang w:val="en-GB"/>
        </w:rPr>
      </w:pPr>
      <w:r w:rsidRPr="00FA54ED">
        <w:rPr>
          <w:rFonts w:ascii="Times New Roman" w:hAnsi="Times New Roman" w:cs="Times New Roman"/>
          <w:bCs/>
          <w:i/>
          <w:lang w:val="en-GB"/>
        </w:rPr>
        <w:t>Conclusion:</w:t>
      </w:r>
      <w:r w:rsidRPr="00FA54ED">
        <w:rPr>
          <w:rFonts w:ascii="Times New Roman" w:hAnsi="Times New Roman" w:cs="Times New Roman"/>
          <w:lang w:val="en-GB"/>
        </w:rPr>
        <w:t xml:space="preserve"> The </w:t>
      </w:r>
      <w:proofErr w:type="spellStart"/>
      <w:r w:rsidRPr="00FA54ED">
        <w:rPr>
          <w:rFonts w:ascii="Times New Roman" w:hAnsi="Times New Roman" w:cs="Times New Roman"/>
          <w:lang w:val="en-GB"/>
        </w:rPr>
        <w:t>Büchl</w:t>
      </w:r>
      <w:proofErr w:type="spellEnd"/>
      <w:r w:rsidRPr="00FA54ED">
        <w:rPr>
          <w:rFonts w:ascii="Times New Roman" w:hAnsi="Times New Roman" w:cs="Times New Roman"/>
          <w:lang w:val="en-GB"/>
        </w:rPr>
        <w:t xml:space="preserve"> case establishes a comprehensive operational framework for relative market power assessment, demonstrating how Austrian competition law addresses exploitative conduct in vertical relationships through a nuanced economic dependency analysis.</w:t>
      </w:r>
    </w:p>
    <w:p w14:paraId="6D54E21D" w14:textId="5644E25E" w:rsidR="00857441" w:rsidRPr="00FA54ED" w:rsidRDefault="00857441" w:rsidP="009A2A10">
      <w:pPr>
        <w:pStyle w:val="Stext"/>
        <w:rPr>
          <w:rFonts w:ascii="Times New Roman" w:hAnsi="Times New Roman" w:cs="Times New Roman"/>
          <w:lang w:val="en-GB"/>
        </w:rPr>
      </w:pPr>
      <w:r w:rsidRPr="00FA54ED">
        <w:rPr>
          <w:rFonts w:ascii="Times New Roman" w:hAnsi="Times New Roman" w:cs="Times New Roman"/>
          <w:lang w:val="en-GB"/>
        </w:rPr>
        <w:t>The case provides practical benchmarks for measuring economic dependency</w:t>
      </w:r>
      <w:r w:rsidR="00D0475B" w:rsidRPr="00FA54ED">
        <w:rPr>
          <w:rFonts w:ascii="Times New Roman" w:hAnsi="Times New Roman" w:cs="Times New Roman"/>
          <w:lang w:val="en-GB"/>
        </w:rPr>
        <w:t>,</w:t>
      </w:r>
      <w:r w:rsidRPr="00FA54ED">
        <w:rPr>
          <w:rFonts w:ascii="Times New Roman" w:hAnsi="Times New Roman" w:cs="Times New Roman"/>
          <w:lang w:val="en-GB"/>
        </w:rPr>
        <w:t xml:space="preserve"> with 68% revenue concentration in new car sales and 60% in workshop services establishing substantial (though not total) reliance. This quantified approach offers predictable guidance for assessing when vertical relationships cross the threshold into exploitable dependency.</w:t>
      </w:r>
    </w:p>
    <w:p w14:paraId="78C0B056" w14:textId="701254D6" w:rsidR="00857441" w:rsidRPr="00FA54ED" w:rsidRDefault="00857441" w:rsidP="009A2A10">
      <w:pPr>
        <w:pStyle w:val="Stext"/>
        <w:rPr>
          <w:rFonts w:ascii="Times New Roman" w:hAnsi="Times New Roman" w:cs="Times New Roman"/>
          <w:lang w:val="en-GB"/>
        </w:rPr>
      </w:pPr>
      <w:r w:rsidRPr="00FA54ED">
        <w:rPr>
          <w:rFonts w:ascii="Times New Roman" w:hAnsi="Times New Roman" w:cs="Times New Roman"/>
          <w:lang w:val="en-GB"/>
        </w:rPr>
        <w:t xml:space="preserve">The OGH's crucial clarification that serious disadvantages include </w:t>
      </w:r>
      <w:r w:rsidR="00FB4115" w:rsidRPr="00FA54ED">
        <w:rPr>
          <w:rFonts w:ascii="Times New Roman" w:hAnsi="Times New Roman" w:cs="Times New Roman"/>
          <w:lang w:val="en-GB"/>
        </w:rPr>
        <w:t>"</w:t>
      </w:r>
      <w:r w:rsidRPr="00FA54ED">
        <w:rPr>
          <w:rFonts w:ascii="Times New Roman" w:hAnsi="Times New Roman" w:cs="Times New Roman"/>
          <w:lang w:val="en-GB"/>
        </w:rPr>
        <w:t>substantial revenue losses</w:t>
      </w:r>
      <w:r w:rsidR="00FB4115" w:rsidRPr="00FA54ED">
        <w:rPr>
          <w:rFonts w:ascii="Times New Roman" w:hAnsi="Times New Roman" w:cs="Times New Roman"/>
          <w:lang w:val="en-GB"/>
        </w:rPr>
        <w:t>"</w:t>
      </w:r>
      <w:r w:rsidRPr="00FA54ED">
        <w:rPr>
          <w:rFonts w:ascii="Times New Roman" w:hAnsi="Times New Roman" w:cs="Times New Roman"/>
          <w:lang w:val="en-GB"/>
        </w:rPr>
        <w:t xml:space="preserve"> and </w:t>
      </w:r>
      <w:r w:rsidR="00FB4115" w:rsidRPr="00FA54ED">
        <w:rPr>
          <w:rFonts w:ascii="Times New Roman" w:hAnsi="Times New Roman" w:cs="Times New Roman"/>
          <w:lang w:val="en-GB"/>
        </w:rPr>
        <w:t>"</w:t>
      </w:r>
      <w:r w:rsidRPr="00FA54ED">
        <w:rPr>
          <w:rFonts w:ascii="Times New Roman" w:hAnsi="Times New Roman" w:cs="Times New Roman"/>
          <w:lang w:val="en-GB"/>
        </w:rPr>
        <w:t>significant customer base erosion</w:t>
      </w:r>
      <w:r w:rsidR="00FB4115" w:rsidRPr="00FA54ED">
        <w:rPr>
          <w:rFonts w:ascii="Times New Roman" w:hAnsi="Times New Roman" w:cs="Times New Roman"/>
          <w:lang w:val="en-GB"/>
        </w:rPr>
        <w:t>"</w:t>
      </w:r>
      <w:r w:rsidRPr="00FA54ED">
        <w:rPr>
          <w:rFonts w:ascii="Times New Roman" w:hAnsi="Times New Roman" w:cs="Times New Roman"/>
          <w:lang w:val="en-GB"/>
        </w:rPr>
        <w:t xml:space="preserve"> </w:t>
      </w:r>
      <w:r w:rsidR="00D0475B" w:rsidRPr="00FA54ED">
        <w:rPr>
          <w:rFonts w:ascii="Times New Roman" w:hAnsi="Times New Roman" w:cs="Times New Roman"/>
          <w:lang w:val="en-GB"/>
        </w:rPr>
        <w:t>–</w:t>
      </w:r>
      <w:r w:rsidRPr="00FA54ED">
        <w:rPr>
          <w:rFonts w:ascii="Times New Roman" w:hAnsi="Times New Roman" w:cs="Times New Roman"/>
          <w:lang w:val="en-GB"/>
        </w:rPr>
        <w:t xml:space="preserve"> </w:t>
      </w:r>
      <w:r w:rsidR="00D0475B" w:rsidRPr="00FA54ED">
        <w:rPr>
          <w:rFonts w:ascii="Times New Roman" w:hAnsi="Times New Roman" w:cs="Times New Roman"/>
          <w:lang w:val="en-GB"/>
        </w:rPr>
        <w:t xml:space="preserve">and </w:t>
      </w:r>
      <w:r w:rsidRPr="00FA54ED">
        <w:rPr>
          <w:rFonts w:ascii="Times New Roman" w:hAnsi="Times New Roman" w:cs="Times New Roman"/>
          <w:lang w:val="en-GB"/>
        </w:rPr>
        <w:t xml:space="preserve">not merely existential threats - significantly broadens the doctrine's protective scope. </w:t>
      </w:r>
    </w:p>
    <w:p w14:paraId="03DAED19" w14:textId="7B6C589A" w:rsidR="00857441" w:rsidRPr="00FA54ED" w:rsidRDefault="00857441" w:rsidP="009A2A10">
      <w:pPr>
        <w:pStyle w:val="Stext"/>
        <w:rPr>
          <w:rFonts w:ascii="Times New Roman" w:hAnsi="Times New Roman" w:cs="Times New Roman"/>
          <w:lang w:val="en-GB"/>
        </w:rPr>
      </w:pPr>
      <w:r w:rsidRPr="00FA54ED">
        <w:rPr>
          <w:rFonts w:ascii="Times New Roman" w:hAnsi="Times New Roman" w:cs="Times New Roman"/>
          <w:lang w:val="en-GB"/>
        </w:rPr>
        <w:t>The Court's analysis encompasses multiple dependency factors: sunk brand-specific investments, customer relationship assets, revenue concentration, relationship duration (30 years), and absence of adequate alternatives. This multi-dimensional approach captures the full spectrum of switching costs and lock-in effects that create exploitable dependencies.</w:t>
      </w:r>
    </w:p>
    <w:p w14:paraId="22CEED41" w14:textId="4768E294" w:rsidR="00857441" w:rsidRPr="00FA54ED" w:rsidRDefault="00777A89" w:rsidP="009A2A10">
      <w:pPr>
        <w:pStyle w:val="Stext"/>
        <w:rPr>
          <w:rFonts w:ascii="Times New Roman" w:hAnsi="Times New Roman" w:cs="Times New Roman"/>
          <w:lang w:val="en-GB"/>
        </w:rPr>
      </w:pPr>
      <w:r w:rsidRPr="00FA54ED">
        <w:rPr>
          <w:rFonts w:ascii="Times New Roman" w:hAnsi="Times New Roman" w:cs="Times New Roman"/>
          <w:lang w:val="en-GB"/>
        </w:rPr>
        <w:t>The</w:t>
      </w:r>
      <w:r w:rsidR="00857441" w:rsidRPr="00FA54ED">
        <w:rPr>
          <w:rFonts w:ascii="Times New Roman" w:hAnsi="Times New Roman" w:cs="Times New Roman"/>
          <w:lang w:val="en-GB"/>
        </w:rPr>
        <w:t xml:space="preserve"> Court ordered cessation of specific exploitative practices (unreasonable investments, coercive campaigns, tied bonuses, excessive targets, below-cost warranty terms) within a defined timeframe</w:t>
      </w:r>
      <w:r w:rsidRPr="00FA54ED">
        <w:rPr>
          <w:rFonts w:ascii="Times New Roman" w:hAnsi="Times New Roman" w:cs="Times New Roman"/>
          <w:lang w:val="en-GB"/>
        </w:rPr>
        <w:t xml:space="preserve"> as targeted behavioural remedies</w:t>
      </w:r>
      <w:r w:rsidR="00857441" w:rsidRPr="00FA54ED">
        <w:rPr>
          <w:rFonts w:ascii="Times New Roman" w:hAnsi="Times New Roman" w:cs="Times New Roman"/>
          <w:lang w:val="en-GB"/>
        </w:rPr>
        <w:t>. This approach preserves efficient vertical relationships while addressing harmful conduct.</w:t>
      </w:r>
    </w:p>
    <w:p w14:paraId="5BFFE7EF" w14:textId="443C7BC0" w:rsidR="00D0475B" w:rsidRPr="00FA54ED" w:rsidRDefault="00D0475B" w:rsidP="009A2A10">
      <w:pPr>
        <w:pStyle w:val="Stext"/>
        <w:rPr>
          <w:rFonts w:ascii="Times New Roman" w:hAnsi="Times New Roman" w:cs="Times New Roman"/>
          <w:lang w:val="en-GB"/>
        </w:rPr>
      </w:pPr>
      <w:r w:rsidRPr="00FA54ED">
        <w:rPr>
          <w:rFonts w:ascii="Times New Roman" w:hAnsi="Times New Roman" w:cs="Times New Roman"/>
          <w:lang w:val="en-GB"/>
        </w:rPr>
        <w:t xml:space="preserve">Following on the </w:t>
      </w:r>
      <w:proofErr w:type="spellStart"/>
      <w:r w:rsidRPr="00FA54ED">
        <w:rPr>
          <w:rFonts w:ascii="Times New Roman" w:hAnsi="Times New Roman" w:cs="Times New Roman"/>
          <w:lang w:val="en-GB"/>
        </w:rPr>
        <w:t>Büchl</w:t>
      </w:r>
      <w:proofErr w:type="spellEnd"/>
      <w:r w:rsidRPr="00FA54ED">
        <w:rPr>
          <w:rFonts w:ascii="Times New Roman" w:hAnsi="Times New Roman" w:cs="Times New Roman"/>
          <w:lang w:val="en-GB"/>
        </w:rPr>
        <w:t xml:space="preserve">-judgment, the </w:t>
      </w:r>
      <w:r w:rsidR="00E940A1">
        <w:rPr>
          <w:rFonts w:ascii="Times New Roman" w:hAnsi="Times New Roman" w:cs="Times New Roman"/>
          <w:lang w:val="en-GB"/>
        </w:rPr>
        <w:t>A</w:t>
      </w:r>
      <w:r w:rsidRPr="00FA54ED">
        <w:rPr>
          <w:rFonts w:ascii="Times New Roman" w:hAnsi="Times New Roman" w:cs="Times New Roman"/>
          <w:lang w:val="en-GB"/>
        </w:rPr>
        <w:t xml:space="preserve">FCA requested the Cartel Court to impose fines upon Stellantis, the group to which Peugeot pertains. The matter was settled in </w:t>
      </w:r>
      <w:r w:rsidR="00861F3E" w:rsidRPr="00FA54ED">
        <w:rPr>
          <w:rFonts w:ascii="Times New Roman" w:hAnsi="Times New Roman" w:cs="Times New Roman"/>
          <w:lang w:val="en-GB"/>
        </w:rPr>
        <w:t>June 2024 with a fine of EUR 15 million, the highest penalty imposed in Austrian antitrust enforcement against unilateral behaviour to date (</w:t>
      </w:r>
      <w:proofErr w:type="spellStart"/>
      <w:r w:rsidR="00861F3E" w:rsidRPr="00FA54ED">
        <w:rPr>
          <w:rFonts w:ascii="Times New Roman" w:hAnsi="Times New Roman" w:cs="Times New Roman"/>
          <w:lang w:val="en-GB"/>
        </w:rPr>
        <w:t>cf</w:t>
      </w:r>
      <w:proofErr w:type="spellEnd"/>
      <w:r w:rsidR="00861F3E" w:rsidRPr="00FA54ED">
        <w:rPr>
          <w:rFonts w:ascii="Times New Roman" w:hAnsi="Times New Roman" w:cs="Times New Roman"/>
          <w:lang w:val="en-GB"/>
        </w:rPr>
        <w:t xml:space="preserve"> Cartel Court 04.06.2024 26 kt 5/23i).</w:t>
      </w:r>
    </w:p>
    <w:bookmarkEnd w:id="4"/>
    <w:p w14:paraId="209801D8" w14:textId="5284AAC8" w:rsidR="00B73412" w:rsidRPr="00FA54ED" w:rsidRDefault="00B73412" w:rsidP="008B3E00">
      <w:pPr>
        <w:pStyle w:val="Stext"/>
        <w:numPr>
          <w:ilvl w:val="1"/>
          <w:numId w:val="29"/>
        </w:numPr>
        <w:ind w:left="567" w:hanging="567"/>
        <w:rPr>
          <w:rFonts w:ascii="Times New Roman" w:hAnsi="Times New Roman" w:cs="Times New Roman"/>
          <w:b/>
          <w:lang w:val="en-GB"/>
        </w:rPr>
      </w:pPr>
      <w:r w:rsidRPr="00FA54ED">
        <w:rPr>
          <w:rFonts w:ascii="Times New Roman" w:hAnsi="Times New Roman" w:cs="Times New Roman"/>
          <w:b/>
          <w:bCs/>
          <w:lang w:val="en-GB"/>
        </w:rPr>
        <w:t xml:space="preserve">OGH as KOG 26.06.2014 16 Ok 12/13 – </w:t>
      </w:r>
      <w:r w:rsidRPr="00FA54ED">
        <w:rPr>
          <w:rFonts w:ascii="Times New Roman" w:hAnsi="Times New Roman" w:cs="Times New Roman"/>
          <w:b/>
          <w:bCs/>
          <w:i/>
          <w:iCs/>
          <w:lang w:val="en-GB"/>
        </w:rPr>
        <w:t>Sports Direct/Asics</w:t>
      </w:r>
    </w:p>
    <w:p w14:paraId="139F95B2" w14:textId="0065E5EF" w:rsidR="00EE716E" w:rsidRPr="00FA54ED" w:rsidRDefault="00000BA4" w:rsidP="009A2A10">
      <w:pPr>
        <w:pStyle w:val="Stext"/>
        <w:rPr>
          <w:rFonts w:ascii="Times New Roman" w:hAnsi="Times New Roman" w:cs="Times New Roman"/>
          <w:lang w:val="en-GB"/>
        </w:rPr>
      </w:pPr>
      <w:r w:rsidRPr="00FA54ED">
        <w:rPr>
          <w:rFonts w:ascii="Times New Roman" w:hAnsi="Times New Roman" w:cs="Times New Roman"/>
          <w:bCs/>
          <w:i/>
          <w:lang w:val="en-GB"/>
        </w:rPr>
        <w:t>Facts:</w:t>
      </w:r>
      <w:r w:rsidRPr="00FA54ED">
        <w:rPr>
          <w:rFonts w:ascii="Times New Roman" w:hAnsi="Times New Roman" w:cs="Times New Roman"/>
          <w:b/>
          <w:bCs/>
          <w:lang w:val="en-GB"/>
        </w:rPr>
        <w:t xml:space="preserve"> </w:t>
      </w:r>
      <w:r w:rsidR="00EE716E" w:rsidRPr="00FA54ED">
        <w:rPr>
          <w:rFonts w:ascii="Times New Roman" w:hAnsi="Times New Roman" w:cs="Times New Roman"/>
          <w:lang w:val="en-GB"/>
        </w:rPr>
        <w:t>The applicant</w:t>
      </w:r>
      <w:r w:rsidR="00D62CBC" w:rsidRPr="00FA54ED">
        <w:rPr>
          <w:rFonts w:ascii="Times New Roman" w:hAnsi="Times New Roman" w:cs="Times New Roman"/>
          <w:lang w:val="en-GB"/>
        </w:rPr>
        <w:t xml:space="preserve">, </w:t>
      </w:r>
      <w:r w:rsidR="00EE716E" w:rsidRPr="00FA54ED">
        <w:rPr>
          <w:rFonts w:ascii="Times New Roman" w:hAnsi="Times New Roman" w:cs="Times New Roman"/>
          <w:lang w:val="en-GB"/>
        </w:rPr>
        <w:t>Sports Direct</w:t>
      </w:r>
      <w:r w:rsidR="005A0FE3" w:rsidRPr="00FA54ED">
        <w:rPr>
          <w:rFonts w:ascii="Times New Roman" w:hAnsi="Times New Roman" w:cs="Times New Roman"/>
          <w:lang w:val="en-GB"/>
        </w:rPr>
        <w:t xml:space="preserve"> (originally Sport </w:t>
      </w:r>
      <w:proofErr w:type="spellStart"/>
      <w:r w:rsidR="005A0FE3" w:rsidRPr="00FA54ED">
        <w:rPr>
          <w:rFonts w:ascii="Times New Roman" w:hAnsi="Times New Roman" w:cs="Times New Roman"/>
          <w:lang w:val="en-GB"/>
        </w:rPr>
        <w:t>Eybl</w:t>
      </w:r>
      <w:proofErr w:type="spellEnd"/>
      <w:r w:rsidR="005A0FE3" w:rsidRPr="00FA54ED">
        <w:rPr>
          <w:rFonts w:ascii="Times New Roman" w:hAnsi="Times New Roman" w:cs="Times New Roman"/>
          <w:lang w:val="en-GB"/>
        </w:rPr>
        <w:t>)</w:t>
      </w:r>
      <w:r w:rsidR="00D62CBC" w:rsidRPr="00FA54ED">
        <w:rPr>
          <w:rFonts w:ascii="Times New Roman" w:hAnsi="Times New Roman" w:cs="Times New Roman"/>
          <w:lang w:val="en-GB"/>
        </w:rPr>
        <w:t>,</w:t>
      </w:r>
      <w:r w:rsidR="00EE716E" w:rsidRPr="00FA54ED">
        <w:rPr>
          <w:rFonts w:ascii="Times New Roman" w:hAnsi="Times New Roman" w:cs="Times New Roman"/>
          <w:lang w:val="en-GB"/>
        </w:rPr>
        <w:t xml:space="preserve"> </w:t>
      </w:r>
      <w:r w:rsidR="00A77DAB" w:rsidRPr="00FA54ED">
        <w:rPr>
          <w:rFonts w:ascii="Times New Roman" w:hAnsi="Times New Roman" w:cs="Times New Roman"/>
          <w:lang w:val="en-GB"/>
        </w:rPr>
        <w:t>wa</w:t>
      </w:r>
      <w:r w:rsidR="00EE716E" w:rsidRPr="00FA54ED">
        <w:rPr>
          <w:rFonts w:ascii="Times New Roman" w:hAnsi="Times New Roman" w:cs="Times New Roman"/>
          <w:lang w:val="en-GB"/>
        </w:rPr>
        <w:t xml:space="preserve">s Austria’s largest sporting goods retailer, with a market share of approximately 25%, operating around 50 stores throughout the country. </w:t>
      </w:r>
      <w:r w:rsidR="00DB033A" w:rsidRPr="00FA54ED">
        <w:rPr>
          <w:rFonts w:ascii="Times New Roman" w:hAnsi="Times New Roman" w:cs="Times New Roman"/>
          <w:lang w:val="en-GB"/>
        </w:rPr>
        <w:t xml:space="preserve">The </w:t>
      </w:r>
      <w:r w:rsidR="00C93FB0" w:rsidRPr="00FA54ED">
        <w:rPr>
          <w:rFonts w:ascii="Times New Roman" w:hAnsi="Times New Roman" w:cs="Times New Roman"/>
          <w:lang w:val="en-GB"/>
        </w:rPr>
        <w:t>applicant</w:t>
      </w:r>
      <w:r w:rsidR="00D62CBC" w:rsidRPr="00FA54ED">
        <w:rPr>
          <w:rFonts w:ascii="Times New Roman" w:hAnsi="Times New Roman" w:cs="Times New Roman"/>
          <w:lang w:val="en-GB"/>
        </w:rPr>
        <w:t xml:space="preserve">, </w:t>
      </w:r>
      <w:r w:rsidR="00DB033A" w:rsidRPr="00FA54ED">
        <w:rPr>
          <w:rFonts w:ascii="Times New Roman" w:hAnsi="Times New Roman" w:cs="Times New Roman"/>
          <w:lang w:val="en-GB"/>
        </w:rPr>
        <w:t>Asics</w:t>
      </w:r>
      <w:r w:rsidR="00D62CBC" w:rsidRPr="00FA54ED">
        <w:rPr>
          <w:rFonts w:ascii="Times New Roman" w:hAnsi="Times New Roman" w:cs="Times New Roman"/>
          <w:lang w:val="en-GB"/>
        </w:rPr>
        <w:t>,</w:t>
      </w:r>
      <w:r w:rsidR="00DB033A" w:rsidRPr="00FA54ED">
        <w:rPr>
          <w:rFonts w:ascii="Times New Roman" w:hAnsi="Times New Roman" w:cs="Times New Roman"/>
          <w:lang w:val="en-GB"/>
        </w:rPr>
        <w:t xml:space="preserve"> is part of a </w:t>
      </w:r>
      <w:r w:rsidR="005A0FE3" w:rsidRPr="00FA54ED">
        <w:rPr>
          <w:rFonts w:ascii="Times New Roman" w:hAnsi="Times New Roman" w:cs="Times New Roman"/>
          <w:lang w:val="en-GB"/>
        </w:rPr>
        <w:t xml:space="preserve">group </w:t>
      </w:r>
      <w:r w:rsidR="00DB033A" w:rsidRPr="00FA54ED">
        <w:rPr>
          <w:rFonts w:ascii="Times New Roman" w:hAnsi="Times New Roman" w:cs="Times New Roman"/>
          <w:lang w:val="en-GB"/>
        </w:rPr>
        <w:t>that is globally active in the production and distribution of athletic footwear, sports apparel, lifestyle shoes, and lifestyle clothing.</w:t>
      </w:r>
      <w:r w:rsidR="00B43238" w:rsidRPr="00FA54ED">
        <w:rPr>
          <w:rFonts w:ascii="Times New Roman" w:hAnsi="Times New Roman" w:cs="Times New Roman"/>
          <w:lang w:val="en-GB"/>
        </w:rPr>
        <w:t xml:space="preserve"> Following a change of control at Sports Direct, Asics terminated the contractual relationship</w:t>
      </w:r>
      <w:r w:rsidR="005A0FE3" w:rsidRPr="00FA54ED">
        <w:rPr>
          <w:rFonts w:ascii="Times New Roman" w:hAnsi="Times New Roman" w:cs="Times New Roman"/>
          <w:lang w:val="en-GB"/>
        </w:rPr>
        <w:t>, based on a change-of-control-clause</w:t>
      </w:r>
      <w:r w:rsidR="00B43238" w:rsidRPr="00FA54ED">
        <w:rPr>
          <w:rFonts w:ascii="Times New Roman" w:hAnsi="Times New Roman" w:cs="Times New Roman"/>
          <w:lang w:val="en-GB"/>
        </w:rPr>
        <w:t xml:space="preserve"> </w:t>
      </w:r>
      <w:r w:rsidR="005A0FE3" w:rsidRPr="00FA54ED">
        <w:rPr>
          <w:rFonts w:ascii="Times New Roman" w:hAnsi="Times New Roman" w:cs="Times New Roman"/>
          <w:lang w:val="en-GB"/>
        </w:rPr>
        <w:t xml:space="preserve">in the distribution agreement, </w:t>
      </w:r>
      <w:r w:rsidR="00B43238" w:rsidRPr="00FA54ED">
        <w:rPr>
          <w:rFonts w:ascii="Times New Roman" w:hAnsi="Times New Roman" w:cs="Times New Roman"/>
          <w:lang w:val="en-GB"/>
        </w:rPr>
        <w:t>and refused to make further deliveries</w:t>
      </w:r>
      <w:r w:rsidR="005A0FE3" w:rsidRPr="00FA54ED">
        <w:rPr>
          <w:rFonts w:ascii="Times New Roman" w:hAnsi="Times New Roman" w:cs="Times New Roman"/>
          <w:lang w:val="en-GB"/>
        </w:rPr>
        <w:t xml:space="preserve"> to the applicant</w:t>
      </w:r>
      <w:r w:rsidR="00B43238" w:rsidRPr="00FA54ED">
        <w:rPr>
          <w:rFonts w:ascii="Times New Roman" w:hAnsi="Times New Roman" w:cs="Times New Roman"/>
          <w:lang w:val="en-GB"/>
        </w:rPr>
        <w:t>.</w:t>
      </w:r>
      <w:r w:rsidR="00DB033A" w:rsidRPr="00FA54ED">
        <w:rPr>
          <w:rFonts w:ascii="Times New Roman" w:hAnsi="Times New Roman" w:cs="Times New Roman"/>
          <w:lang w:val="en-GB"/>
        </w:rPr>
        <w:t xml:space="preserve"> </w:t>
      </w:r>
      <w:r w:rsidR="00EE716E" w:rsidRPr="00FA54ED">
        <w:rPr>
          <w:rFonts w:ascii="Times New Roman" w:hAnsi="Times New Roman" w:cs="Times New Roman"/>
          <w:lang w:val="en-GB"/>
        </w:rPr>
        <w:t xml:space="preserve">Sports Direct argued that the refusal to supply threatened </w:t>
      </w:r>
      <w:r w:rsidR="00D62CBC" w:rsidRPr="00FA54ED">
        <w:rPr>
          <w:rFonts w:ascii="Times New Roman" w:hAnsi="Times New Roman" w:cs="Times New Roman"/>
          <w:lang w:val="en-GB"/>
        </w:rPr>
        <w:t>its</w:t>
      </w:r>
      <w:r w:rsidR="00EE716E" w:rsidRPr="00FA54ED">
        <w:rPr>
          <w:rFonts w:ascii="Times New Roman" w:hAnsi="Times New Roman" w:cs="Times New Roman"/>
          <w:lang w:val="en-GB"/>
        </w:rPr>
        <w:t xml:space="preserve"> ability to compete effectively. Due to the absence of a full product range, </w:t>
      </w:r>
      <w:r w:rsidR="00D62CBC" w:rsidRPr="00FA54ED">
        <w:rPr>
          <w:rFonts w:ascii="Times New Roman" w:hAnsi="Times New Roman" w:cs="Times New Roman"/>
          <w:lang w:val="en-GB"/>
        </w:rPr>
        <w:t>Sports Direct</w:t>
      </w:r>
      <w:r w:rsidR="00EE716E" w:rsidRPr="00FA54ED">
        <w:rPr>
          <w:rFonts w:ascii="Times New Roman" w:hAnsi="Times New Roman" w:cs="Times New Roman"/>
          <w:lang w:val="en-GB"/>
        </w:rPr>
        <w:t xml:space="preserve"> </w:t>
      </w:r>
      <w:r w:rsidR="005A0FE3" w:rsidRPr="00FA54ED">
        <w:rPr>
          <w:rFonts w:ascii="Times New Roman" w:hAnsi="Times New Roman" w:cs="Times New Roman"/>
          <w:lang w:val="en-GB"/>
        </w:rPr>
        <w:t xml:space="preserve">allegedly </w:t>
      </w:r>
      <w:r w:rsidR="00EE716E" w:rsidRPr="00FA54ED">
        <w:rPr>
          <w:rFonts w:ascii="Times New Roman" w:hAnsi="Times New Roman" w:cs="Times New Roman"/>
          <w:lang w:val="en-GB"/>
        </w:rPr>
        <w:t>faced the risk of reputational loss and image damage</w:t>
      </w:r>
      <w:r w:rsidR="00D62CBC" w:rsidRPr="00FA54ED">
        <w:rPr>
          <w:rFonts w:ascii="Times New Roman" w:hAnsi="Times New Roman" w:cs="Times New Roman"/>
          <w:lang w:val="en-GB"/>
        </w:rPr>
        <w:t xml:space="preserve"> and</w:t>
      </w:r>
      <w:r w:rsidR="00BA0E17" w:rsidRPr="00FA54ED">
        <w:rPr>
          <w:rFonts w:ascii="Times New Roman" w:hAnsi="Times New Roman" w:cs="Times New Roman"/>
          <w:lang w:val="en-GB"/>
        </w:rPr>
        <w:t xml:space="preserve"> requested that the respondent be obliged to resume deliveries.</w:t>
      </w:r>
    </w:p>
    <w:p w14:paraId="1F704AB0" w14:textId="470C015B" w:rsidR="007525CD" w:rsidRPr="00FA54ED" w:rsidRDefault="005A6E42" w:rsidP="009A2A10">
      <w:pPr>
        <w:pStyle w:val="Stext"/>
        <w:rPr>
          <w:rFonts w:ascii="Times New Roman" w:hAnsi="Times New Roman" w:cs="Times New Roman"/>
          <w:lang w:val="en-GB"/>
        </w:rPr>
      </w:pPr>
      <w:r w:rsidRPr="00FA54ED">
        <w:rPr>
          <w:rFonts w:ascii="Times New Roman" w:hAnsi="Times New Roman" w:cs="Times New Roman"/>
          <w:bCs/>
          <w:i/>
          <w:lang w:val="en-GB"/>
        </w:rPr>
        <w:t>Decision:</w:t>
      </w:r>
      <w:r w:rsidRPr="00FA54ED">
        <w:rPr>
          <w:rFonts w:ascii="Times New Roman" w:hAnsi="Times New Roman" w:cs="Times New Roman"/>
          <w:b/>
          <w:bCs/>
          <w:lang w:val="en-GB"/>
        </w:rPr>
        <w:t xml:space="preserve"> </w:t>
      </w:r>
      <w:r w:rsidR="007525CD" w:rsidRPr="00FA54ED">
        <w:rPr>
          <w:rFonts w:ascii="Times New Roman" w:hAnsi="Times New Roman" w:cs="Times New Roman"/>
          <w:lang w:val="en-GB"/>
        </w:rPr>
        <w:t xml:space="preserve">The court of first instance rejected </w:t>
      </w:r>
      <w:r w:rsidR="005A0FE3" w:rsidRPr="00FA54ED">
        <w:rPr>
          <w:rFonts w:ascii="Times New Roman" w:hAnsi="Times New Roman" w:cs="Times New Roman"/>
          <w:lang w:val="en-GB"/>
        </w:rPr>
        <w:t xml:space="preserve">to find for </w:t>
      </w:r>
      <w:r w:rsidR="007525CD" w:rsidRPr="00FA54ED">
        <w:rPr>
          <w:rFonts w:ascii="Times New Roman" w:hAnsi="Times New Roman" w:cs="Times New Roman"/>
          <w:lang w:val="en-GB"/>
        </w:rPr>
        <w:t xml:space="preserve">the existence of a dominant market position. The argument that the applicant could suffer irreparable harm due to the refusal to supply was not </w:t>
      </w:r>
      <w:r w:rsidR="005A0FE3" w:rsidRPr="00FA54ED">
        <w:rPr>
          <w:rFonts w:ascii="Times New Roman" w:hAnsi="Times New Roman" w:cs="Times New Roman"/>
          <w:lang w:val="en-GB"/>
        </w:rPr>
        <w:t xml:space="preserve">considered </w:t>
      </w:r>
      <w:r w:rsidR="007525CD" w:rsidRPr="00FA54ED">
        <w:rPr>
          <w:rFonts w:ascii="Times New Roman" w:hAnsi="Times New Roman" w:cs="Times New Roman"/>
          <w:lang w:val="en-GB"/>
        </w:rPr>
        <w:t xml:space="preserve">convincing, given that </w:t>
      </w:r>
      <w:r w:rsidR="001D70D3" w:rsidRPr="00FA54ED">
        <w:rPr>
          <w:rFonts w:ascii="Times New Roman" w:hAnsi="Times New Roman" w:cs="Times New Roman"/>
          <w:lang w:val="en-GB"/>
        </w:rPr>
        <w:t xml:space="preserve">Asics </w:t>
      </w:r>
      <w:r w:rsidR="007525CD" w:rsidRPr="00FA54ED">
        <w:rPr>
          <w:rFonts w:ascii="Times New Roman" w:hAnsi="Times New Roman" w:cs="Times New Roman"/>
          <w:lang w:val="en-GB"/>
        </w:rPr>
        <w:t xml:space="preserve">running shoes made up only 10% of the </w:t>
      </w:r>
      <w:r w:rsidR="005A0FE3" w:rsidRPr="00FA54ED">
        <w:rPr>
          <w:rFonts w:ascii="Times New Roman" w:hAnsi="Times New Roman" w:cs="Times New Roman"/>
          <w:lang w:val="en-GB"/>
        </w:rPr>
        <w:t xml:space="preserve">applicant's </w:t>
      </w:r>
      <w:r w:rsidR="001D70D3" w:rsidRPr="00FA54ED">
        <w:rPr>
          <w:rFonts w:ascii="Times New Roman" w:hAnsi="Times New Roman" w:cs="Times New Roman"/>
          <w:lang w:val="en-GB"/>
        </w:rPr>
        <w:t xml:space="preserve">respective </w:t>
      </w:r>
      <w:r w:rsidR="007525CD" w:rsidRPr="00FA54ED">
        <w:rPr>
          <w:rFonts w:ascii="Times New Roman" w:hAnsi="Times New Roman" w:cs="Times New Roman"/>
          <w:lang w:val="en-GB"/>
        </w:rPr>
        <w:t>product range. Moreover, the applicant should have been aware that a termination of the contractual relationship was imminent in the event of a change of control. Therefore, Sports Direct had sufficient time to make alternative arrangements.</w:t>
      </w:r>
    </w:p>
    <w:p w14:paraId="6E8F47E6" w14:textId="2A6EAD4C" w:rsidR="00432B0D" w:rsidRPr="00FA54ED" w:rsidRDefault="00C43ADA" w:rsidP="009A2A10">
      <w:pPr>
        <w:pStyle w:val="Stext"/>
        <w:rPr>
          <w:rFonts w:ascii="Times New Roman" w:hAnsi="Times New Roman" w:cs="Times New Roman"/>
          <w:lang w:val="en-GB"/>
        </w:rPr>
      </w:pPr>
      <w:r w:rsidRPr="00FA54ED">
        <w:rPr>
          <w:rFonts w:ascii="Times New Roman" w:hAnsi="Times New Roman" w:cs="Times New Roman"/>
          <w:lang w:val="en-GB"/>
        </w:rPr>
        <w:lastRenderedPageBreak/>
        <w:t>The OGH</w:t>
      </w:r>
      <w:r w:rsidR="00376567" w:rsidRPr="00FA54ED">
        <w:rPr>
          <w:rFonts w:ascii="Times New Roman" w:hAnsi="Times New Roman" w:cs="Times New Roman"/>
          <w:lang w:val="en-GB"/>
        </w:rPr>
        <w:t xml:space="preserve"> </w:t>
      </w:r>
      <w:r w:rsidR="005A0FE3" w:rsidRPr="00FA54ED">
        <w:rPr>
          <w:rFonts w:ascii="Times New Roman" w:hAnsi="Times New Roman" w:cs="Times New Roman"/>
          <w:lang w:val="en-GB"/>
        </w:rPr>
        <w:t xml:space="preserve">confirmed </w:t>
      </w:r>
      <w:r w:rsidR="00376567" w:rsidRPr="00FA54ED">
        <w:rPr>
          <w:rFonts w:ascii="Times New Roman" w:hAnsi="Times New Roman" w:cs="Times New Roman"/>
          <w:lang w:val="en-GB"/>
        </w:rPr>
        <w:t xml:space="preserve">that the criterion of </w:t>
      </w:r>
      <w:r w:rsidR="005A0FE3" w:rsidRPr="00FA54ED">
        <w:rPr>
          <w:rFonts w:ascii="Times New Roman" w:hAnsi="Times New Roman" w:cs="Times New Roman"/>
          <w:lang w:val="en-GB"/>
        </w:rPr>
        <w:t xml:space="preserve">a </w:t>
      </w:r>
      <w:r w:rsidR="00376567" w:rsidRPr="00FA54ED">
        <w:rPr>
          <w:rFonts w:ascii="Times New Roman" w:hAnsi="Times New Roman" w:cs="Times New Roman"/>
          <w:lang w:val="en-GB"/>
        </w:rPr>
        <w:t xml:space="preserve">superior market position </w:t>
      </w:r>
      <w:r w:rsidRPr="00FA54ED">
        <w:rPr>
          <w:rFonts w:ascii="Times New Roman" w:hAnsi="Times New Roman" w:cs="Times New Roman"/>
          <w:lang w:val="en-GB"/>
        </w:rPr>
        <w:t>towards</w:t>
      </w:r>
      <w:r w:rsidR="00376567" w:rsidRPr="00FA54ED">
        <w:rPr>
          <w:rFonts w:ascii="Times New Roman" w:hAnsi="Times New Roman" w:cs="Times New Roman"/>
          <w:lang w:val="en-GB"/>
        </w:rPr>
        <w:t xml:space="preserve"> suppliers and customers refers to </w:t>
      </w:r>
      <w:r w:rsidR="00376567" w:rsidRPr="00FA54ED">
        <w:rPr>
          <w:rStyle w:val="Strong"/>
          <w:rFonts w:ascii="Times New Roman" w:hAnsi="Times New Roman" w:cs="Times New Roman"/>
          <w:b w:val="0"/>
          <w:bCs w:val="0"/>
          <w:lang w:val="en-GB"/>
        </w:rPr>
        <w:t>relative market dominance</w:t>
      </w:r>
      <w:r w:rsidR="005A0FE3" w:rsidRPr="00FA54ED">
        <w:rPr>
          <w:rStyle w:val="Strong"/>
          <w:rFonts w:ascii="Times New Roman" w:hAnsi="Times New Roman" w:cs="Times New Roman"/>
          <w:b w:val="0"/>
          <w:bCs w:val="0"/>
          <w:lang w:val="en-GB"/>
        </w:rPr>
        <w:t>, i.e</w:t>
      </w:r>
      <w:r w:rsidR="009E3168" w:rsidRPr="00FA54ED">
        <w:rPr>
          <w:rStyle w:val="Strong"/>
          <w:rFonts w:ascii="Times New Roman" w:hAnsi="Times New Roman" w:cs="Times New Roman"/>
          <w:b w:val="0"/>
          <w:bCs w:val="0"/>
          <w:lang w:val="en-GB"/>
        </w:rPr>
        <w:t>.</w:t>
      </w:r>
      <w:r w:rsidR="005A0FE3" w:rsidRPr="00FA54ED">
        <w:rPr>
          <w:rStyle w:val="Strong"/>
          <w:rFonts w:ascii="Times New Roman" w:hAnsi="Times New Roman" w:cs="Times New Roman"/>
          <w:b w:val="0"/>
          <w:bCs w:val="0"/>
          <w:lang w:val="en-GB"/>
        </w:rPr>
        <w:t xml:space="preserve"> goes beyond absolute market power</w:t>
      </w:r>
      <w:r w:rsidR="005A0FE3" w:rsidRPr="00FA54ED">
        <w:rPr>
          <w:rFonts w:ascii="Times New Roman" w:hAnsi="Times New Roman" w:cs="Times New Roman"/>
          <w:lang w:val="en-GB"/>
        </w:rPr>
        <w:t>, and stressed</w:t>
      </w:r>
      <w:r w:rsidR="00FA0AF8" w:rsidRPr="00FA54ED">
        <w:rPr>
          <w:rFonts w:ascii="Times New Roman" w:hAnsi="Times New Roman" w:cs="Times New Roman"/>
          <w:lang w:val="en-GB"/>
        </w:rPr>
        <w:t xml:space="preserve"> </w:t>
      </w:r>
      <w:r w:rsidR="005A0FE3" w:rsidRPr="00FA54ED">
        <w:rPr>
          <w:rFonts w:ascii="Times New Roman" w:hAnsi="Times New Roman" w:cs="Times New Roman"/>
          <w:lang w:val="en-GB"/>
        </w:rPr>
        <w:t xml:space="preserve">that </w:t>
      </w:r>
      <w:r w:rsidR="00FA0AF8" w:rsidRPr="00FA54ED">
        <w:rPr>
          <w:rFonts w:ascii="Times New Roman" w:hAnsi="Times New Roman" w:cs="Times New Roman"/>
          <w:lang w:val="en-GB"/>
        </w:rPr>
        <w:t>§</w:t>
      </w:r>
      <w:r w:rsidR="005A0FE3" w:rsidRPr="00FA54ED">
        <w:rPr>
          <w:rFonts w:ascii="Times New Roman" w:hAnsi="Times New Roman" w:cs="Times New Roman"/>
          <w:lang w:val="en-GB"/>
        </w:rPr>
        <w:t> </w:t>
      </w:r>
      <w:r w:rsidR="00FA0AF8" w:rsidRPr="00FA54ED">
        <w:rPr>
          <w:rFonts w:ascii="Times New Roman" w:hAnsi="Times New Roman" w:cs="Times New Roman"/>
          <w:lang w:val="en-GB"/>
        </w:rPr>
        <w:t xml:space="preserve">4a Cartel Act focuses on the </w:t>
      </w:r>
      <w:r w:rsidR="005A0FE3" w:rsidRPr="00FA54ED">
        <w:rPr>
          <w:rFonts w:ascii="Times New Roman" w:hAnsi="Times New Roman" w:cs="Times New Roman"/>
          <w:lang w:val="en-GB"/>
        </w:rPr>
        <w:t xml:space="preserve">need to </w:t>
      </w:r>
      <w:r w:rsidR="00FA0AF8" w:rsidRPr="00FA54ED">
        <w:rPr>
          <w:rFonts w:ascii="Times New Roman" w:hAnsi="Times New Roman" w:cs="Times New Roman"/>
          <w:lang w:val="en-GB"/>
        </w:rPr>
        <w:t>maint</w:t>
      </w:r>
      <w:r w:rsidR="005A0FE3" w:rsidRPr="00FA54ED">
        <w:rPr>
          <w:rFonts w:ascii="Times New Roman" w:hAnsi="Times New Roman" w:cs="Times New Roman"/>
          <w:lang w:val="en-GB"/>
        </w:rPr>
        <w:t xml:space="preserve">ain a </w:t>
      </w:r>
      <w:r w:rsidR="00FA0AF8" w:rsidRPr="00FA54ED">
        <w:rPr>
          <w:rFonts w:ascii="Times New Roman" w:hAnsi="Times New Roman" w:cs="Times New Roman"/>
          <w:lang w:val="en-GB"/>
        </w:rPr>
        <w:t>business relationship</w:t>
      </w:r>
      <w:r w:rsidR="005A0FE3" w:rsidRPr="00FA54ED">
        <w:rPr>
          <w:rFonts w:ascii="Times New Roman" w:hAnsi="Times New Roman" w:cs="Times New Roman"/>
          <w:lang w:val="en-GB"/>
        </w:rPr>
        <w:t xml:space="preserve">. At the same time, the OGH pointed out that § 4a Cartel Act </w:t>
      </w:r>
      <w:r w:rsidR="00FA0AF8" w:rsidRPr="00FA54ED">
        <w:rPr>
          <w:rFonts w:ascii="Times New Roman" w:hAnsi="Times New Roman" w:cs="Times New Roman"/>
          <w:lang w:val="en-GB"/>
        </w:rPr>
        <w:t xml:space="preserve">is by no means intended to </w:t>
      </w:r>
      <w:r w:rsidR="001D70D3" w:rsidRPr="00FA54ED">
        <w:rPr>
          <w:rFonts w:ascii="Times New Roman" w:hAnsi="Times New Roman" w:cs="Times New Roman"/>
          <w:lang w:val="en-GB"/>
        </w:rPr>
        <w:t xml:space="preserve">generally </w:t>
      </w:r>
      <w:r w:rsidR="00FA0AF8" w:rsidRPr="00FA54ED">
        <w:rPr>
          <w:rFonts w:ascii="Times New Roman" w:hAnsi="Times New Roman" w:cs="Times New Roman"/>
          <w:lang w:val="en-GB"/>
        </w:rPr>
        <w:t>restrict the freedom of contract of market participants.</w:t>
      </w:r>
      <w:r w:rsidR="00376567" w:rsidRPr="00FA54ED">
        <w:rPr>
          <w:rFonts w:ascii="Times New Roman" w:hAnsi="Times New Roman" w:cs="Times New Roman"/>
          <w:lang w:val="en-GB"/>
        </w:rPr>
        <w:t xml:space="preserve"> The decisive factor is whether there are economically viable alternative sources of supply or distribution channels.</w:t>
      </w:r>
      <w:r w:rsidR="005A6E42" w:rsidRPr="00FA54ED">
        <w:rPr>
          <w:rFonts w:ascii="Times New Roman" w:hAnsi="Times New Roman" w:cs="Times New Roman"/>
          <w:lang w:val="en-GB"/>
        </w:rPr>
        <w:t xml:space="preserve"> </w:t>
      </w:r>
      <w:r w:rsidR="00906E50" w:rsidRPr="00FA54ED">
        <w:rPr>
          <w:rFonts w:ascii="Times New Roman" w:hAnsi="Times New Roman" w:cs="Times New Roman"/>
          <w:lang w:val="en-GB"/>
        </w:rPr>
        <w:t xml:space="preserve">In contrast to </w:t>
      </w:r>
      <w:r w:rsidR="00906E50" w:rsidRPr="00FA54ED">
        <w:rPr>
          <w:rFonts w:ascii="Times New Roman" w:hAnsi="Times New Roman" w:cs="Times New Roman"/>
          <w:i/>
          <w:iCs/>
          <w:lang w:val="en-GB"/>
        </w:rPr>
        <w:t>Multiplex</w:t>
      </w:r>
      <w:r w:rsidR="00906E50" w:rsidRPr="00FA54ED">
        <w:rPr>
          <w:rFonts w:ascii="Times New Roman" w:hAnsi="Times New Roman" w:cs="Times New Roman"/>
          <w:lang w:val="en-GB"/>
        </w:rPr>
        <w:t xml:space="preserve">, this was the case here. </w:t>
      </w:r>
      <w:r w:rsidR="005A6E42" w:rsidRPr="00FA54ED">
        <w:rPr>
          <w:rFonts w:ascii="Times New Roman" w:hAnsi="Times New Roman" w:cs="Times New Roman"/>
          <w:lang w:val="en-GB"/>
        </w:rPr>
        <w:t>Emphasis</w:t>
      </w:r>
      <w:r w:rsidR="00376567" w:rsidRPr="00FA54ED">
        <w:rPr>
          <w:rFonts w:ascii="Times New Roman" w:hAnsi="Times New Roman" w:cs="Times New Roman"/>
          <w:lang w:val="en-GB"/>
        </w:rPr>
        <w:t xml:space="preserve"> was placed on the requirement that the economic disadvantages associated with the termination of a business relationship must be </w:t>
      </w:r>
      <w:r w:rsidR="00376567" w:rsidRPr="00FA54ED">
        <w:rPr>
          <w:rStyle w:val="Strong"/>
          <w:rFonts w:ascii="Times New Roman" w:hAnsi="Times New Roman" w:cs="Times New Roman"/>
          <w:b w:val="0"/>
          <w:bCs w:val="0"/>
          <w:lang w:val="en-GB"/>
        </w:rPr>
        <w:t>significant</w:t>
      </w:r>
      <w:r w:rsidR="00376567" w:rsidRPr="00FA54ED">
        <w:rPr>
          <w:rFonts w:ascii="Times New Roman" w:hAnsi="Times New Roman" w:cs="Times New Roman"/>
          <w:lang w:val="en-GB"/>
        </w:rPr>
        <w:t>.</w:t>
      </w:r>
      <w:r w:rsidRPr="00FA54ED">
        <w:rPr>
          <w:rFonts w:ascii="Times New Roman" w:hAnsi="Times New Roman" w:cs="Times New Roman"/>
          <w:lang w:val="en-GB"/>
        </w:rPr>
        <w:t xml:space="preserve"> </w:t>
      </w:r>
      <w:r w:rsidR="00376567" w:rsidRPr="00FA54ED">
        <w:rPr>
          <w:rFonts w:ascii="Times New Roman" w:hAnsi="Times New Roman" w:cs="Times New Roman"/>
          <w:lang w:val="en-GB"/>
        </w:rPr>
        <w:t xml:space="preserve">Since only 10% of the running shoes sold by the applicant originated from the respondent, and </w:t>
      </w:r>
      <w:r w:rsidR="001D70D3" w:rsidRPr="00FA54ED">
        <w:rPr>
          <w:rFonts w:ascii="Times New Roman" w:hAnsi="Times New Roman" w:cs="Times New Roman"/>
          <w:lang w:val="en-GB"/>
        </w:rPr>
        <w:t xml:space="preserve">as no </w:t>
      </w:r>
      <w:r w:rsidR="00376567" w:rsidRPr="00FA54ED">
        <w:rPr>
          <w:rFonts w:ascii="Times New Roman" w:hAnsi="Times New Roman" w:cs="Times New Roman"/>
          <w:lang w:val="en-GB"/>
        </w:rPr>
        <w:t>assortment dependency (i.e.</w:t>
      </w:r>
      <w:r w:rsidR="005A6E42" w:rsidRPr="00FA54ED">
        <w:rPr>
          <w:rFonts w:ascii="Times New Roman" w:hAnsi="Times New Roman" w:cs="Times New Roman"/>
          <w:lang w:val="en-GB"/>
        </w:rPr>
        <w:t xml:space="preserve"> </w:t>
      </w:r>
      <w:r w:rsidR="00376567" w:rsidRPr="00FA54ED">
        <w:rPr>
          <w:rFonts w:ascii="Times New Roman" w:hAnsi="Times New Roman" w:cs="Times New Roman"/>
          <w:lang w:val="en-GB"/>
        </w:rPr>
        <w:t xml:space="preserve">that a specialist retailer must be able to offer all leading brands) was </w:t>
      </w:r>
      <w:r w:rsidR="001D70D3" w:rsidRPr="00FA54ED">
        <w:rPr>
          <w:rFonts w:ascii="Times New Roman" w:hAnsi="Times New Roman" w:cs="Times New Roman"/>
          <w:lang w:val="en-GB"/>
        </w:rPr>
        <w:t>established</w:t>
      </w:r>
      <w:r w:rsidR="00376567" w:rsidRPr="00FA54ED">
        <w:rPr>
          <w:rFonts w:ascii="Times New Roman" w:hAnsi="Times New Roman" w:cs="Times New Roman"/>
          <w:lang w:val="en-GB"/>
        </w:rPr>
        <w:t>, the economic disadvantages were deemed insufficient to establish relative market power.</w:t>
      </w:r>
    </w:p>
    <w:p w14:paraId="484685AE" w14:textId="559202A9" w:rsidR="00432B0D" w:rsidRPr="00FA54ED" w:rsidRDefault="00432B0D" w:rsidP="009A2A10">
      <w:pPr>
        <w:pStyle w:val="Stext"/>
        <w:rPr>
          <w:rFonts w:ascii="Times New Roman" w:hAnsi="Times New Roman" w:cs="Times New Roman"/>
          <w:lang w:val="en-GB"/>
        </w:rPr>
      </w:pPr>
      <w:r w:rsidRPr="00FA54ED">
        <w:rPr>
          <w:rFonts w:ascii="Times New Roman" w:hAnsi="Times New Roman" w:cs="Times New Roman"/>
          <w:bCs/>
          <w:i/>
          <w:lang w:val="en-GB"/>
        </w:rPr>
        <w:t>Conclusion:</w:t>
      </w:r>
      <w:r w:rsidRPr="00FA54ED">
        <w:rPr>
          <w:rFonts w:ascii="Times New Roman" w:hAnsi="Times New Roman" w:cs="Times New Roman"/>
          <w:b/>
          <w:bCs/>
          <w:lang w:val="en-GB"/>
        </w:rPr>
        <w:t xml:space="preserve"> </w:t>
      </w:r>
      <w:r w:rsidR="00B73412" w:rsidRPr="00FA54ED">
        <w:rPr>
          <w:rFonts w:ascii="Times New Roman" w:hAnsi="Times New Roman" w:cs="Times New Roman"/>
          <w:lang w:val="en-GB"/>
        </w:rPr>
        <w:t xml:space="preserve">The Sports Direct case establishes important limiting principles for </w:t>
      </w:r>
      <w:r w:rsidR="008B3E00" w:rsidRPr="00FA54ED">
        <w:rPr>
          <w:rFonts w:ascii="Times New Roman" w:hAnsi="Times New Roman" w:cs="Times New Roman"/>
          <w:lang w:val="en-GB"/>
        </w:rPr>
        <w:t xml:space="preserve">the </w:t>
      </w:r>
      <w:r w:rsidR="00B73412" w:rsidRPr="00FA54ED">
        <w:rPr>
          <w:rFonts w:ascii="Times New Roman" w:hAnsi="Times New Roman" w:cs="Times New Roman"/>
          <w:lang w:val="en-GB"/>
        </w:rPr>
        <w:t>relative market power doctrine, demonstrating that Austrian competition law maintains meaningful boundaries around economic dependency claims while preserving contractual freedom in vertical relationships.</w:t>
      </w:r>
    </w:p>
    <w:p w14:paraId="1801F5D5" w14:textId="2572E092" w:rsidR="007F571D" w:rsidRPr="00FA54ED" w:rsidRDefault="00B73412" w:rsidP="009A2A10">
      <w:pPr>
        <w:pStyle w:val="Stext"/>
        <w:rPr>
          <w:rFonts w:ascii="Times New Roman" w:hAnsi="Times New Roman" w:cs="Times New Roman"/>
          <w:lang w:val="en-GB"/>
        </w:rPr>
      </w:pPr>
      <w:r w:rsidRPr="00FA54ED">
        <w:rPr>
          <w:rFonts w:ascii="Times New Roman" w:hAnsi="Times New Roman" w:cs="Times New Roman"/>
          <w:lang w:val="en-GB"/>
        </w:rPr>
        <w:t xml:space="preserve">The Court's emphasis on </w:t>
      </w:r>
      <w:proofErr w:type="spellStart"/>
      <w:r w:rsidR="008B3E00" w:rsidRPr="00FA54ED">
        <w:rPr>
          <w:rFonts w:ascii="Times New Roman" w:hAnsi="Times New Roman" w:cs="Times New Roman"/>
          <w:lang w:val="en-GB"/>
        </w:rPr>
        <w:t>Asic's</w:t>
      </w:r>
      <w:proofErr w:type="spellEnd"/>
      <w:r w:rsidR="008B3E00" w:rsidRPr="00FA54ED">
        <w:rPr>
          <w:rFonts w:ascii="Times New Roman" w:hAnsi="Times New Roman" w:cs="Times New Roman"/>
          <w:lang w:val="en-GB"/>
        </w:rPr>
        <w:t xml:space="preserve"> </w:t>
      </w:r>
      <w:r w:rsidRPr="00FA54ED">
        <w:rPr>
          <w:rFonts w:ascii="Times New Roman" w:hAnsi="Times New Roman" w:cs="Times New Roman"/>
          <w:lang w:val="en-GB"/>
        </w:rPr>
        <w:t xml:space="preserve">10% revenue share </w:t>
      </w:r>
      <w:r w:rsidR="008B3E00" w:rsidRPr="00FA54ED">
        <w:rPr>
          <w:rFonts w:ascii="Times New Roman" w:hAnsi="Times New Roman" w:cs="Times New Roman"/>
          <w:lang w:val="en-GB"/>
        </w:rPr>
        <w:t xml:space="preserve">in the respective product range (footwear) </w:t>
      </w:r>
      <w:r w:rsidRPr="00FA54ED">
        <w:rPr>
          <w:rFonts w:ascii="Times New Roman" w:hAnsi="Times New Roman" w:cs="Times New Roman"/>
          <w:lang w:val="en-GB"/>
        </w:rPr>
        <w:t xml:space="preserve">establishes that relative market power requires substantial, not merely nominal, economic dependency. This proportionality analysis prevents </w:t>
      </w:r>
      <w:r w:rsidR="00E940A1">
        <w:rPr>
          <w:rFonts w:ascii="Times New Roman" w:hAnsi="Times New Roman" w:cs="Times New Roman"/>
          <w:lang w:val="en-GB"/>
        </w:rPr>
        <w:t>the doctrine from being weaponis</w:t>
      </w:r>
      <w:r w:rsidRPr="00FA54ED">
        <w:rPr>
          <w:rFonts w:ascii="Times New Roman" w:hAnsi="Times New Roman" w:cs="Times New Roman"/>
          <w:lang w:val="en-GB"/>
        </w:rPr>
        <w:t>ed in relationships where genuine dependency is absent, maintaining a meaningful threshold for intervention.</w:t>
      </w:r>
      <w:r w:rsidR="007F571D" w:rsidRPr="00FA54ED">
        <w:rPr>
          <w:rFonts w:ascii="Times New Roman" w:hAnsi="Times New Roman" w:cs="Times New Roman"/>
          <w:lang w:val="en-GB"/>
        </w:rPr>
        <w:t xml:space="preserve"> OGH's explicit statement that §</w:t>
      </w:r>
      <w:r w:rsidR="008B3E00" w:rsidRPr="00FA54ED">
        <w:rPr>
          <w:rFonts w:ascii="Times New Roman" w:hAnsi="Times New Roman" w:cs="Times New Roman"/>
          <w:lang w:val="en-GB"/>
        </w:rPr>
        <w:t> </w:t>
      </w:r>
      <w:r w:rsidR="007F571D" w:rsidRPr="00FA54ED">
        <w:rPr>
          <w:rFonts w:ascii="Times New Roman" w:hAnsi="Times New Roman" w:cs="Times New Roman"/>
          <w:lang w:val="en-GB"/>
        </w:rPr>
        <w:t>4a "is by no means intended to generally restrict the freedom of contract" establishes clear boundaries. This ensures that relative market power intervention remains exceptional, preserving normal commercial relationship dynamics while protecting against genuine exploitation.</w:t>
      </w:r>
    </w:p>
    <w:p w14:paraId="3379C11A" w14:textId="4F120DCC" w:rsidR="00432B0D" w:rsidRPr="00FA54ED" w:rsidRDefault="00B73412" w:rsidP="009A2A10">
      <w:pPr>
        <w:pStyle w:val="Stext"/>
        <w:rPr>
          <w:rFonts w:ascii="Times New Roman" w:hAnsi="Times New Roman" w:cs="Times New Roman"/>
          <w:lang w:val="en-GB"/>
        </w:rPr>
      </w:pPr>
      <w:r w:rsidRPr="00FA54ED">
        <w:rPr>
          <w:rFonts w:ascii="Times New Roman" w:hAnsi="Times New Roman" w:cs="Times New Roman"/>
          <w:lang w:val="en-GB"/>
        </w:rPr>
        <w:t>The Co</w:t>
      </w:r>
      <w:r w:rsidR="007F571D" w:rsidRPr="00FA54ED">
        <w:rPr>
          <w:rFonts w:ascii="Times New Roman" w:hAnsi="Times New Roman" w:cs="Times New Roman"/>
          <w:lang w:val="en-GB"/>
        </w:rPr>
        <w:t xml:space="preserve">urt's explicit finding that no </w:t>
      </w:r>
      <w:r w:rsidR="00FB4115" w:rsidRPr="00FA54ED">
        <w:rPr>
          <w:rFonts w:ascii="Times New Roman" w:hAnsi="Times New Roman" w:cs="Times New Roman"/>
          <w:lang w:val="en-GB"/>
        </w:rPr>
        <w:t>"</w:t>
      </w:r>
      <w:r w:rsidR="007F571D" w:rsidRPr="00FA54ED">
        <w:rPr>
          <w:rFonts w:ascii="Times New Roman" w:hAnsi="Times New Roman" w:cs="Times New Roman"/>
          <w:lang w:val="en-GB"/>
        </w:rPr>
        <w:t>assortment dependency</w:t>
      </w:r>
      <w:r w:rsidR="00FB4115" w:rsidRPr="00FA54ED">
        <w:rPr>
          <w:rFonts w:ascii="Times New Roman" w:hAnsi="Times New Roman" w:cs="Times New Roman"/>
          <w:lang w:val="en-GB"/>
        </w:rPr>
        <w:t>"</w:t>
      </w:r>
      <w:r w:rsidRPr="00FA54ED">
        <w:rPr>
          <w:rFonts w:ascii="Times New Roman" w:hAnsi="Times New Roman" w:cs="Times New Roman"/>
          <w:lang w:val="en-GB"/>
        </w:rPr>
        <w:t xml:space="preserve"> existed - rejecting the notion that specialist retailers must necessarily offer all leading brands - represents a significant doctrinal clarification. This prevents relative market power claims based on theoretical completeness requirements rather than demonstrated economic necessity.</w:t>
      </w:r>
    </w:p>
    <w:p w14:paraId="3EE791A3" w14:textId="189B2854" w:rsidR="00B73412" w:rsidRPr="00FA54ED" w:rsidRDefault="00B73412" w:rsidP="009A2A10">
      <w:pPr>
        <w:pStyle w:val="Stext"/>
        <w:rPr>
          <w:rFonts w:ascii="Times New Roman" w:hAnsi="Times New Roman" w:cs="Times New Roman"/>
          <w:lang w:val="en-GB"/>
        </w:rPr>
      </w:pPr>
      <w:r w:rsidRPr="00FA54ED">
        <w:rPr>
          <w:rFonts w:ascii="Times New Roman" w:hAnsi="Times New Roman" w:cs="Times New Roman"/>
          <w:lang w:val="en-GB"/>
        </w:rPr>
        <w:t xml:space="preserve">The Court's consideration of Sports </w:t>
      </w:r>
      <w:proofErr w:type="spellStart"/>
      <w:r w:rsidRPr="00FA54ED">
        <w:rPr>
          <w:rFonts w:ascii="Times New Roman" w:hAnsi="Times New Roman" w:cs="Times New Roman"/>
          <w:lang w:val="en-GB"/>
        </w:rPr>
        <w:t>Direct's</w:t>
      </w:r>
      <w:proofErr w:type="spellEnd"/>
      <w:r w:rsidRPr="00FA54ED">
        <w:rPr>
          <w:rFonts w:ascii="Times New Roman" w:hAnsi="Times New Roman" w:cs="Times New Roman"/>
          <w:lang w:val="en-GB"/>
        </w:rPr>
        <w:t xml:space="preserve"> advance knowledge of potential termination (via change-of-control clauses) introduces a foreseeability element that requires dependent parties to mitigate their dependency where possible. This prevents the doctrine from protecting parties </w:t>
      </w:r>
      <w:r w:rsidR="00541637" w:rsidRPr="00FA54ED">
        <w:rPr>
          <w:rFonts w:ascii="Times New Roman" w:hAnsi="Times New Roman" w:cs="Times New Roman"/>
          <w:lang w:val="en-GB"/>
        </w:rPr>
        <w:t xml:space="preserve">which </w:t>
      </w:r>
      <w:r w:rsidRPr="00FA54ED">
        <w:rPr>
          <w:rFonts w:ascii="Times New Roman" w:hAnsi="Times New Roman" w:cs="Times New Roman"/>
          <w:lang w:val="en-GB"/>
        </w:rPr>
        <w:t>fail to take reasonable steps to reduce their vulnerability.</w:t>
      </w:r>
    </w:p>
    <w:p w14:paraId="2DA0EE25" w14:textId="6AE34B52" w:rsidR="00B73412" w:rsidRPr="00FA54ED" w:rsidRDefault="00B73412" w:rsidP="009A2A10">
      <w:pPr>
        <w:pStyle w:val="Stext"/>
        <w:rPr>
          <w:rFonts w:ascii="Times New Roman" w:hAnsi="Times New Roman" w:cs="Times New Roman"/>
          <w:lang w:val="en-GB"/>
        </w:rPr>
      </w:pPr>
      <w:r w:rsidRPr="00FA54ED">
        <w:rPr>
          <w:rFonts w:ascii="Times New Roman" w:hAnsi="Times New Roman" w:cs="Times New Roman"/>
          <w:lang w:val="en-GB"/>
        </w:rPr>
        <w:t xml:space="preserve">The contrast with Multiplex - where limited weekly film alternatives created dependency versus Sports </w:t>
      </w:r>
      <w:proofErr w:type="spellStart"/>
      <w:r w:rsidRPr="00FA54ED">
        <w:rPr>
          <w:rFonts w:ascii="Times New Roman" w:hAnsi="Times New Roman" w:cs="Times New Roman"/>
          <w:lang w:val="en-GB"/>
        </w:rPr>
        <w:t>Direct's</w:t>
      </w:r>
      <w:proofErr w:type="spellEnd"/>
      <w:r w:rsidRPr="00FA54ED">
        <w:rPr>
          <w:rFonts w:ascii="Times New Roman" w:hAnsi="Times New Roman" w:cs="Times New Roman"/>
          <w:lang w:val="en-GB"/>
        </w:rPr>
        <w:t xml:space="preserve"> access to alternative athletic footwear suppliers - demonstrates how industry structure</w:t>
      </w:r>
      <w:r w:rsidR="007F571D" w:rsidRPr="00FA54ED">
        <w:rPr>
          <w:rFonts w:ascii="Times New Roman" w:hAnsi="Times New Roman" w:cs="Times New Roman"/>
          <w:lang w:val="en-GB"/>
        </w:rPr>
        <w:t xml:space="preserve"> inform</w:t>
      </w:r>
      <w:r w:rsidR="00541637" w:rsidRPr="00FA54ED">
        <w:rPr>
          <w:rFonts w:ascii="Times New Roman" w:hAnsi="Times New Roman" w:cs="Times New Roman"/>
          <w:lang w:val="en-GB"/>
        </w:rPr>
        <w:t>s</w:t>
      </w:r>
      <w:r w:rsidR="007F571D" w:rsidRPr="00FA54ED">
        <w:rPr>
          <w:rFonts w:ascii="Times New Roman" w:hAnsi="Times New Roman" w:cs="Times New Roman"/>
          <w:lang w:val="en-GB"/>
        </w:rPr>
        <w:t xml:space="preserve"> the</w:t>
      </w:r>
      <w:r w:rsidRPr="00FA54ED">
        <w:rPr>
          <w:rFonts w:ascii="Times New Roman" w:hAnsi="Times New Roman" w:cs="Times New Roman"/>
          <w:lang w:val="en-GB"/>
        </w:rPr>
        <w:t xml:space="preserve"> dependency analysis. The availability of viable alternatives remains the crucial distinguishing factor between exploitable dependency and normal competitive relationships.</w:t>
      </w:r>
    </w:p>
    <w:p w14:paraId="081D7C68" w14:textId="55AAF472" w:rsidR="0041774F" w:rsidRPr="00FA54ED" w:rsidRDefault="00B73412" w:rsidP="009A2A10">
      <w:pPr>
        <w:pStyle w:val="Stext"/>
        <w:rPr>
          <w:rFonts w:ascii="Times New Roman" w:hAnsi="Times New Roman" w:cs="Times New Roman"/>
          <w:lang w:val="en-GB"/>
        </w:rPr>
      </w:pPr>
      <w:r w:rsidRPr="00FA54ED">
        <w:rPr>
          <w:rFonts w:ascii="Times New Roman" w:hAnsi="Times New Roman" w:cs="Times New Roman"/>
          <w:lang w:val="en-GB"/>
        </w:rPr>
        <w:t>This decision prevents relative market power doctrine from becoming an overly broad constraint on commercial relationships while maintaining its protective function in genuine dependency situations.</w:t>
      </w:r>
    </w:p>
    <w:p w14:paraId="1A70ACCE" w14:textId="571A26C0" w:rsidR="00A839C7" w:rsidRPr="00FA54ED" w:rsidRDefault="00A839C7" w:rsidP="00541637">
      <w:pPr>
        <w:pStyle w:val="Sheading2"/>
        <w:numPr>
          <w:ilvl w:val="1"/>
          <w:numId w:val="29"/>
        </w:numPr>
        <w:ind w:left="567" w:hanging="567"/>
        <w:rPr>
          <w:rFonts w:ascii="Times New Roman" w:hAnsi="Times New Roman" w:cs="Times New Roman"/>
          <w:b/>
          <w:bCs/>
          <w:lang w:val="en-GB"/>
        </w:rPr>
      </w:pPr>
      <w:r w:rsidRPr="00FA54ED">
        <w:rPr>
          <w:rFonts w:ascii="Times New Roman" w:hAnsi="Times New Roman" w:cs="Times New Roman"/>
          <w:b/>
          <w:bCs/>
          <w:lang w:val="en-GB"/>
        </w:rPr>
        <w:t xml:space="preserve">OGH as KOG 12.07.2018 16 Ok 1/18k (16 Ok 2/18g) – </w:t>
      </w:r>
      <w:proofErr w:type="spellStart"/>
      <w:r w:rsidRPr="00FA54ED">
        <w:rPr>
          <w:rFonts w:ascii="Times New Roman" w:hAnsi="Times New Roman" w:cs="Times New Roman"/>
          <w:b/>
          <w:bCs/>
          <w:i/>
          <w:iCs/>
          <w:lang w:val="en-GB"/>
        </w:rPr>
        <w:t>Flugticketbuchung</w:t>
      </w:r>
      <w:proofErr w:type="spellEnd"/>
    </w:p>
    <w:p w14:paraId="3BCA41AF" w14:textId="3876EAEA" w:rsidR="00A746AA" w:rsidRPr="00FA54ED" w:rsidRDefault="0041774F" w:rsidP="009A2A10">
      <w:pPr>
        <w:pStyle w:val="Stext"/>
        <w:rPr>
          <w:rFonts w:ascii="Times New Roman" w:hAnsi="Times New Roman" w:cs="Times New Roman"/>
          <w:lang w:val="en-GB"/>
        </w:rPr>
      </w:pPr>
      <w:r w:rsidRPr="00FA54ED">
        <w:rPr>
          <w:rFonts w:ascii="Times New Roman" w:hAnsi="Times New Roman" w:cs="Times New Roman"/>
          <w:bCs/>
          <w:i/>
          <w:lang w:val="en-GB"/>
        </w:rPr>
        <w:t>Facts:</w:t>
      </w:r>
      <w:r w:rsidRPr="00FA54ED">
        <w:rPr>
          <w:rFonts w:ascii="Times New Roman" w:hAnsi="Times New Roman" w:cs="Times New Roman"/>
          <w:b/>
          <w:bCs/>
          <w:lang w:val="en-GB"/>
        </w:rPr>
        <w:t xml:space="preserve"> </w:t>
      </w:r>
      <w:r w:rsidRPr="00FA54ED">
        <w:rPr>
          <w:rFonts w:ascii="Times New Roman" w:hAnsi="Times New Roman" w:cs="Times New Roman"/>
          <w:lang w:val="en-GB"/>
        </w:rPr>
        <w:t xml:space="preserve">Lufthansa holds a market share of just under 12% when looking upon passenger air transport services across Europe. As most other airlines, Lufthansa offers </w:t>
      </w:r>
      <w:r w:rsidR="00A746AA" w:rsidRPr="00FA54ED">
        <w:rPr>
          <w:rFonts w:ascii="Times New Roman" w:hAnsi="Times New Roman" w:cs="Times New Roman"/>
          <w:lang w:val="en-GB"/>
        </w:rPr>
        <w:t xml:space="preserve">passenger transportation via various sales channels, </w:t>
      </w:r>
      <w:r w:rsidR="00DD1141" w:rsidRPr="00FA54ED">
        <w:rPr>
          <w:rFonts w:ascii="Times New Roman" w:hAnsi="Times New Roman" w:cs="Times New Roman"/>
          <w:lang w:val="en-GB"/>
        </w:rPr>
        <w:t xml:space="preserve">in particular </w:t>
      </w:r>
      <w:r w:rsidR="00A746AA" w:rsidRPr="00FA54ED">
        <w:rPr>
          <w:rFonts w:ascii="Times New Roman" w:hAnsi="Times New Roman" w:cs="Times New Roman"/>
          <w:lang w:val="en-GB"/>
        </w:rPr>
        <w:t xml:space="preserve">via </w:t>
      </w:r>
      <w:r w:rsidR="00DD1141" w:rsidRPr="00FA54ED">
        <w:rPr>
          <w:rFonts w:ascii="Times New Roman" w:hAnsi="Times New Roman" w:cs="Times New Roman"/>
          <w:lang w:val="en-GB"/>
        </w:rPr>
        <w:t xml:space="preserve">Global Distribution Systems (GDS) and </w:t>
      </w:r>
      <w:r w:rsidR="00A746AA" w:rsidRPr="00FA54ED">
        <w:rPr>
          <w:rFonts w:ascii="Times New Roman" w:hAnsi="Times New Roman" w:cs="Times New Roman"/>
          <w:lang w:val="en-GB"/>
        </w:rPr>
        <w:t>via direct sales</w:t>
      </w:r>
      <w:r w:rsidR="00DD1141" w:rsidRPr="00FA54ED">
        <w:rPr>
          <w:rFonts w:ascii="Times New Roman" w:hAnsi="Times New Roman" w:cs="Times New Roman"/>
          <w:lang w:val="en-GB"/>
        </w:rPr>
        <w:t>.</w:t>
      </w:r>
      <w:r w:rsidR="00A746AA" w:rsidRPr="00FA54ED">
        <w:rPr>
          <w:rFonts w:ascii="Times New Roman" w:hAnsi="Times New Roman" w:cs="Times New Roman"/>
          <w:lang w:val="en-GB"/>
        </w:rPr>
        <w:t xml:space="preserve"> </w:t>
      </w:r>
      <w:r w:rsidR="00DD1141" w:rsidRPr="00FA54ED">
        <w:rPr>
          <w:rFonts w:ascii="Times New Roman" w:hAnsi="Times New Roman" w:cs="Times New Roman"/>
          <w:lang w:val="en-GB"/>
        </w:rPr>
        <w:t xml:space="preserve">GDS are distribution systems in the travel industry that are structured as two-sided platforms. They collect data from several airlines, as well as from hotel and car rentals offers, both on prices and availability. Travel agencies, tour operators and corporate customers can make </w:t>
      </w:r>
      <w:r w:rsidR="00DD1141" w:rsidRPr="00FA54ED">
        <w:rPr>
          <w:rFonts w:ascii="Times New Roman" w:hAnsi="Times New Roman" w:cs="Times New Roman"/>
          <w:lang w:val="en-GB"/>
        </w:rPr>
        <w:lastRenderedPageBreak/>
        <w:t xml:space="preserve">bookings via the GDS. For each booking, the airlines have to pay a fee to </w:t>
      </w:r>
      <w:r w:rsidR="00045B1D" w:rsidRPr="00FA54ED">
        <w:rPr>
          <w:rFonts w:ascii="Times New Roman" w:hAnsi="Times New Roman" w:cs="Times New Roman"/>
          <w:lang w:val="en-GB"/>
        </w:rPr>
        <w:t xml:space="preserve">the respective </w:t>
      </w:r>
      <w:r w:rsidR="00DD1141" w:rsidRPr="00FA54ED">
        <w:rPr>
          <w:rFonts w:ascii="Times New Roman" w:hAnsi="Times New Roman" w:cs="Times New Roman"/>
          <w:lang w:val="en-GB"/>
        </w:rPr>
        <w:t>GDS</w:t>
      </w:r>
      <w:r w:rsidR="00045B1D" w:rsidRPr="00FA54ED">
        <w:rPr>
          <w:rFonts w:ascii="Times New Roman" w:hAnsi="Times New Roman" w:cs="Times New Roman"/>
          <w:lang w:val="en-GB"/>
        </w:rPr>
        <w:t>.</w:t>
      </w:r>
      <w:r w:rsidR="00DD1141" w:rsidRPr="00FA54ED">
        <w:rPr>
          <w:rFonts w:ascii="Times New Roman" w:hAnsi="Times New Roman" w:cs="Times New Roman"/>
          <w:lang w:val="en-GB"/>
        </w:rPr>
        <w:t xml:space="preserve"> </w:t>
      </w:r>
      <w:r w:rsidR="00045B1D" w:rsidRPr="00FA54ED">
        <w:rPr>
          <w:rFonts w:ascii="Times New Roman" w:hAnsi="Times New Roman" w:cs="Times New Roman"/>
          <w:lang w:val="en-GB"/>
        </w:rPr>
        <w:t>T</w:t>
      </w:r>
      <w:r w:rsidR="00DD1141" w:rsidRPr="00FA54ED">
        <w:rPr>
          <w:rFonts w:ascii="Times New Roman" w:hAnsi="Times New Roman" w:cs="Times New Roman"/>
          <w:lang w:val="en-GB"/>
        </w:rPr>
        <w:t>ravel agencies</w:t>
      </w:r>
      <w:r w:rsidR="00045B1D" w:rsidRPr="00FA54ED">
        <w:rPr>
          <w:rFonts w:ascii="Times New Roman" w:hAnsi="Times New Roman" w:cs="Times New Roman"/>
          <w:lang w:val="en-GB"/>
        </w:rPr>
        <w:t xml:space="preserve"> </w:t>
      </w:r>
      <w:r w:rsidR="00DD1141" w:rsidRPr="00FA54ED">
        <w:rPr>
          <w:rFonts w:ascii="Times New Roman" w:hAnsi="Times New Roman" w:cs="Times New Roman"/>
          <w:lang w:val="en-GB"/>
        </w:rPr>
        <w:t xml:space="preserve">pay subscription fees to be able to </w:t>
      </w:r>
      <w:r w:rsidR="00045B1D" w:rsidRPr="00FA54ED">
        <w:rPr>
          <w:rFonts w:ascii="Times New Roman" w:hAnsi="Times New Roman" w:cs="Times New Roman"/>
          <w:lang w:val="en-GB"/>
        </w:rPr>
        <w:t xml:space="preserve">access </w:t>
      </w:r>
      <w:r w:rsidR="00DD1141" w:rsidRPr="00FA54ED">
        <w:rPr>
          <w:rFonts w:ascii="Times New Roman" w:hAnsi="Times New Roman" w:cs="Times New Roman"/>
          <w:lang w:val="en-GB"/>
        </w:rPr>
        <w:t xml:space="preserve">the GDS data. When travel agencies make bookings, they </w:t>
      </w:r>
      <w:r w:rsidR="00045B1D" w:rsidRPr="00FA54ED">
        <w:rPr>
          <w:rFonts w:ascii="Times New Roman" w:hAnsi="Times New Roman" w:cs="Times New Roman"/>
          <w:lang w:val="en-GB"/>
        </w:rPr>
        <w:t xml:space="preserve">may </w:t>
      </w:r>
      <w:r w:rsidR="00DD1141" w:rsidRPr="00FA54ED">
        <w:rPr>
          <w:rFonts w:ascii="Times New Roman" w:hAnsi="Times New Roman" w:cs="Times New Roman"/>
          <w:lang w:val="en-GB"/>
        </w:rPr>
        <w:t>receive commissions from the GDS.</w:t>
      </w:r>
    </w:p>
    <w:p w14:paraId="2B482C12" w14:textId="2F10C21E" w:rsidR="00045B1D" w:rsidRPr="00FA54ED" w:rsidRDefault="00045B1D" w:rsidP="009A2A10">
      <w:pPr>
        <w:pStyle w:val="Stext"/>
        <w:rPr>
          <w:rFonts w:ascii="Times New Roman" w:hAnsi="Times New Roman" w:cs="Times New Roman"/>
          <w:lang w:val="en-GB"/>
        </w:rPr>
      </w:pPr>
      <w:r w:rsidRPr="00FA54ED">
        <w:rPr>
          <w:rFonts w:ascii="Times New Roman" w:hAnsi="Times New Roman" w:cs="Times New Roman"/>
          <w:lang w:val="en-GB"/>
        </w:rPr>
        <w:t>In 2015, Lufthansa introduced a Distribution Cost Charge (DCC) of EUR 16 on flight bookings made via a GDS, payable by the travel agency making the booking.</w:t>
      </w:r>
    </w:p>
    <w:p w14:paraId="623B1EC1" w14:textId="77777777" w:rsidR="00A839C7" w:rsidRPr="00FA54ED" w:rsidRDefault="00DE4696" w:rsidP="009A2A10">
      <w:pPr>
        <w:pStyle w:val="Stext"/>
        <w:rPr>
          <w:rFonts w:ascii="Times New Roman" w:hAnsi="Times New Roman" w:cs="Times New Roman"/>
          <w:lang w:val="en-GB"/>
        </w:rPr>
      </w:pPr>
      <w:r w:rsidRPr="00FA54ED">
        <w:rPr>
          <w:rFonts w:ascii="Times New Roman" w:hAnsi="Times New Roman" w:cs="Times New Roman"/>
          <w:lang w:val="en-GB"/>
        </w:rPr>
        <w:t xml:space="preserve">The </w:t>
      </w:r>
      <w:r w:rsidR="00045B1D" w:rsidRPr="00FA54ED">
        <w:rPr>
          <w:rFonts w:ascii="Times New Roman" w:hAnsi="Times New Roman" w:cs="Times New Roman"/>
          <w:lang w:val="en-GB"/>
        </w:rPr>
        <w:t xml:space="preserve">Austrian </w:t>
      </w:r>
      <w:r w:rsidRPr="00FA54ED">
        <w:rPr>
          <w:rFonts w:ascii="Times New Roman" w:hAnsi="Times New Roman" w:cs="Times New Roman"/>
          <w:lang w:val="en-GB"/>
        </w:rPr>
        <w:t>Trade Association of Travel Agencies</w:t>
      </w:r>
      <w:r w:rsidR="00C00046" w:rsidRPr="00FA54ED">
        <w:rPr>
          <w:rFonts w:ascii="Times New Roman" w:hAnsi="Times New Roman" w:cs="Times New Roman"/>
          <w:lang w:val="en-GB"/>
        </w:rPr>
        <w:t xml:space="preserve"> </w:t>
      </w:r>
      <w:proofErr w:type="gramStart"/>
      <w:r w:rsidRPr="00FA54ED">
        <w:rPr>
          <w:rFonts w:ascii="Times New Roman" w:hAnsi="Times New Roman" w:cs="Times New Roman"/>
          <w:lang w:val="en-GB"/>
        </w:rPr>
        <w:t>submitted an application</w:t>
      </w:r>
      <w:proofErr w:type="gramEnd"/>
      <w:r w:rsidRPr="00FA54ED">
        <w:rPr>
          <w:rFonts w:ascii="Times New Roman" w:hAnsi="Times New Roman" w:cs="Times New Roman"/>
          <w:lang w:val="en-GB"/>
        </w:rPr>
        <w:t xml:space="preserve"> </w:t>
      </w:r>
      <w:r w:rsidR="001D70D3" w:rsidRPr="00FA54ED">
        <w:rPr>
          <w:rFonts w:ascii="Times New Roman" w:hAnsi="Times New Roman" w:cs="Times New Roman"/>
          <w:lang w:val="en-GB"/>
        </w:rPr>
        <w:t xml:space="preserve">to the Cartel Court, </w:t>
      </w:r>
      <w:r w:rsidRPr="00FA54ED">
        <w:rPr>
          <w:rFonts w:ascii="Times New Roman" w:hAnsi="Times New Roman" w:cs="Times New Roman"/>
          <w:lang w:val="en-GB"/>
        </w:rPr>
        <w:t>requesting that</w:t>
      </w:r>
      <w:r w:rsidR="002E1246" w:rsidRPr="00FA54ED">
        <w:rPr>
          <w:rFonts w:ascii="Times New Roman" w:hAnsi="Times New Roman" w:cs="Times New Roman"/>
          <w:lang w:val="en-GB"/>
        </w:rPr>
        <w:t xml:space="preserve"> Lufthansa be</w:t>
      </w:r>
      <w:r w:rsidRPr="00FA54ED">
        <w:rPr>
          <w:rFonts w:ascii="Times New Roman" w:hAnsi="Times New Roman" w:cs="Times New Roman"/>
          <w:lang w:val="en-GB"/>
        </w:rPr>
        <w:t xml:space="preserve"> ordered to cease its practice of levying </w:t>
      </w:r>
      <w:r w:rsidR="00045B1D" w:rsidRPr="00FA54ED">
        <w:rPr>
          <w:rFonts w:ascii="Times New Roman" w:hAnsi="Times New Roman" w:cs="Times New Roman"/>
          <w:lang w:val="en-GB"/>
        </w:rPr>
        <w:t>the DCC. Inter alia, the Association argued that Lufthansa</w:t>
      </w:r>
      <w:r w:rsidR="00EA08B4" w:rsidRPr="00FA54ED">
        <w:rPr>
          <w:rFonts w:ascii="Times New Roman" w:hAnsi="Times New Roman" w:cs="Times New Roman"/>
          <w:lang w:val="en-GB"/>
        </w:rPr>
        <w:t xml:space="preserve"> introduced </w:t>
      </w:r>
      <w:r w:rsidR="005377E8" w:rsidRPr="00FA54ED">
        <w:rPr>
          <w:rFonts w:ascii="Times New Roman" w:hAnsi="Times New Roman" w:cs="Times New Roman"/>
          <w:lang w:val="en-GB"/>
        </w:rPr>
        <w:t xml:space="preserve">the DCC to </w:t>
      </w:r>
      <w:r w:rsidR="00EA08B4" w:rsidRPr="00FA54ED">
        <w:rPr>
          <w:rFonts w:ascii="Times New Roman" w:hAnsi="Times New Roman" w:cs="Times New Roman"/>
          <w:lang w:val="en-GB"/>
        </w:rPr>
        <w:t xml:space="preserve">promote </w:t>
      </w:r>
      <w:r w:rsidR="005377E8" w:rsidRPr="00FA54ED">
        <w:rPr>
          <w:rFonts w:ascii="Times New Roman" w:hAnsi="Times New Roman" w:cs="Times New Roman"/>
          <w:lang w:val="en-GB"/>
        </w:rPr>
        <w:t xml:space="preserve">a direct relationship with </w:t>
      </w:r>
      <w:r w:rsidR="00EA08B4" w:rsidRPr="00FA54ED">
        <w:rPr>
          <w:rFonts w:ascii="Times New Roman" w:hAnsi="Times New Roman" w:cs="Times New Roman"/>
          <w:lang w:val="en-GB"/>
        </w:rPr>
        <w:t xml:space="preserve">its </w:t>
      </w:r>
      <w:r w:rsidR="005377E8" w:rsidRPr="00FA54ED">
        <w:rPr>
          <w:rFonts w:ascii="Times New Roman" w:hAnsi="Times New Roman" w:cs="Times New Roman"/>
          <w:lang w:val="en-GB"/>
        </w:rPr>
        <w:t>customers</w:t>
      </w:r>
      <w:r w:rsidR="00EA08B4" w:rsidRPr="00FA54ED">
        <w:rPr>
          <w:rFonts w:ascii="Times New Roman" w:hAnsi="Times New Roman" w:cs="Times New Roman"/>
          <w:lang w:val="en-GB"/>
        </w:rPr>
        <w:t xml:space="preserve">, </w:t>
      </w:r>
      <w:proofErr w:type="spellStart"/>
      <w:r w:rsidR="00EA08B4" w:rsidRPr="00FA54ED">
        <w:rPr>
          <w:rFonts w:ascii="Times New Roman" w:hAnsi="Times New Roman" w:cs="Times New Roman"/>
          <w:lang w:val="en-GB"/>
        </w:rPr>
        <w:t>i.e</w:t>
      </w:r>
      <w:proofErr w:type="spellEnd"/>
      <w:r w:rsidR="00EA08B4" w:rsidRPr="00FA54ED">
        <w:rPr>
          <w:rFonts w:ascii="Times New Roman" w:hAnsi="Times New Roman" w:cs="Times New Roman"/>
          <w:lang w:val="en-GB"/>
        </w:rPr>
        <w:t xml:space="preserve"> to </w:t>
      </w:r>
      <w:r w:rsidR="008F0798" w:rsidRPr="00FA54ED">
        <w:rPr>
          <w:rFonts w:ascii="Times New Roman" w:hAnsi="Times New Roman" w:cs="Times New Roman"/>
          <w:lang w:val="en-GB"/>
        </w:rPr>
        <w:t xml:space="preserve">discriminate </w:t>
      </w:r>
      <w:r w:rsidR="00EA08B4" w:rsidRPr="00FA54ED">
        <w:rPr>
          <w:rFonts w:ascii="Times New Roman" w:hAnsi="Times New Roman" w:cs="Times New Roman"/>
          <w:lang w:val="en-GB"/>
        </w:rPr>
        <w:t xml:space="preserve">sales </w:t>
      </w:r>
      <w:r w:rsidR="008F0798" w:rsidRPr="00FA54ED">
        <w:rPr>
          <w:rFonts w:ascii="Times New Roman" w:hAnsi="Times New Roman" w:cs="Times New Roman"/>
          <w:lang w:val="en-GB"/>
        </w:rPr>
        <w:t xml:space="preserve">via </w:t>
      </w:r>
      <w:r w:rsidR="00EA08B4" w:rsidRPr="00FA54ED">
        <w:rPr>
          <w:rFonts w:ascii="Times New Roman" w:hAnsi="Times New Roman" w:cs="Times New Roman"/>
          <w:lang w:val="en-GB"/>
        </w:rPr>
        <w:t xml:space="preserve">intermediaries </w:t>
      </w:r>
      <w:r w:rsidR="008F0798" w:rsidRPr="00FA54ED">
        <w:rPr>
          <w:rFonts w:ascii="Times New Roman" w:hAnsi="Times New Roman" w:cs="Times New Roman"/>
          <w:lang w:val="en-GB"/>
        </w:rPr>
        <w:t xml:space="preserve">compared </w:t>
      </w:r>
      <w:r w:rsidR="00EA08B4" w:rsidRPr="00FA54ED">
        <w:rPr>
          <w:rFonts w:ascii="Times New Roman" w:hAnsi="Times New Roman" w:cs="Times New Roman"/>
          <w:lang w:val="en-GB"/>
        </w:rPr>
        <w:t>to its direct sales channel</w:t>
      </w:r>
      <w:r w:rsidR="005377E8" w:rsidRPr="00FA54ED">
        <w:rPr>
          <w:rFonts w:ascii="Times New Roman" w:hAnsi="Times New Roman" w:cs="Times New Roman"/>
          <w:lang w:val="en-GB"/>
        </w:rPr>
        <w:t>.</w:t>
      </w:r>
      <w:r w:rsidR="00BF20E2" w:rsidRPr="00FA54ED">
        <w:rPr>
          <w:rFonts w:ascii="Times New Roman" w:hAnsi="Times New Roman" w:cs="Times New Roman"/>
          <w:lang w:val="en-GB"/>
        </w:rPr>
        <w:t xml:space="preserve"> </w:t>
      </w:r>
    </w:p>
    <w:p w14:paraId="5B30A552" w14:textId="77777777" w:rsidR="00A839C7" w:rsidRPr="00FA54ED" w:rsidRDefault="00203DE0" w:rsidP="009A2A10">
      <w:pPr>
        <w:pStyle w:val="Stext"/>
        <w:rPr>
          <w:rFonts w:ascii="Times New Roman" w:hAnsi="Times New Roman" w:cs="Times New Roman"/>
          <w:lang w:val="en-GB"/>
        </w:rPr>
      </w:pPr>
      <w:r w:rsidRPr="00FA54ED">
        <w:rPr>
          <w:rFonts w:ascii="Times New Roman" w:hAnsi="Times New Roman" w:cs="Times New Roman"/>
          <w:bCs/>
          <w:i/>
          <w:lang w:val="en-GB"/>
        </w:rPr>
        <w:t>Decision:</w:t>
      </w:r>
      <w:r w:rsidRPr="00FA54ED">
        <w:rPr>
          <w:rFonts w:ascii="Times New Roman" w:hAnsi="Times New Roman" w:cs="Times New Roman"/>
          <w:lang w:val="en-GB"/>
        </w:rPr>
        <w:t xml:space="preserve"> </w:t>
      </w:r>
      <w:r w:rsidR="00807122" w:rsidRPr="00FA54ED">
        <w:rPr>
          <w:rFonts w:ascii="Times New Roman" w:hAnsi="Times New Roman" w:cs="Times New Roman"/>
          <w:lang w:val="en-GB"/>
        </w:rPr>
        <w:t>T</w:t>
      </w:r>
      <w:r w:rsidR="001535EA" w:rsidRPr="00FA54ED">
        <w:rPr>
          <w:rFonts w:ascii="Times New Roman" w:hAnsi="Times New Roman" w:cs="Times New Roman"/>
          <w:lang w:val="en-GB"/>
        </w:rPr>
        <w:t xml:space="preserve">he Cartel Court affirmed Lufthansa's relative market power over the travel agencies but denied the existence of a dominant market position within the meaning of </w:t>
      </w:r>
      <w:bookmarkStart w:id="5" w:name="_Hlk199944856"/>
      <w:r w:rsidR="000B0F62" w:rsidRPr="00FA54ED">
        <w:rPr>
          <w:rFonts w:ascii="Times New Roman" w:hAnsi="Times New Roman" w:cs="Times New Roman"/>
          <w:lang w:val="en-GB"/>
        </w:rPr>
        <w:t>§</w:t>
      </w:r>
      <w:r w:rsidR="00EA08B4" w:rsidRPr="00FA54ED">
        <w:rPr>
          <w:rFonts w:ascii="Times New Roman" w:hAnsi="Times New Roman" w:cs="Times New Roman"/>
          <w:lang w:val="en-GB"/>
        </w:rPr>
        <w:t> </w:t>
      </w:r>
      <w:r w:rsidR="001535EA" w:rsidRPr="00FA54ED">
        <w:rPr>
          <w:rFonts w:ascii="Times New Roman" w:hAnsi="Times New Roman" w:cs="Times New Roman"/>
          <w:lang w:val="en-GB"/>
        </w:rPr>
        <w:t>4(</w:t>
      </w:r>
      <w:r w:rsidR="00B06302" w:rsidRPr="00FA54ED">
        <w:rPr>
          <w:rFonts w:ascii="Times New Roman" w:hAnsi="Times New Roman" w:cs="Times New Roman"/>
          <w:lang w:val="en-GB"/>
        </w:rPr>
        <w:t>1</w:t>
      </w:r>
      <w:r w:rsidR="001535EA" w:rsidRPr="00FA54ED">
        <w:rPr>
          <w:rFonts w:ascii="Times New Roman" w:hAnsi="Times New Roman" w:cs="Times New Roman"/>
          <w:lang w:val="en-GB"/>
        </w:rPr>
        <w:t xml:space="preserve">) </w:t>
      </w:r>
      <w:r w:rsidR="000B0F62" w:rsidRPr="00FA54ED">
        <w:rPr>
          <w:rFonts w:ascii="Times New Roman" w:hAnsi="Times New Roman" w:cs="Times New Roman"/>
          <w:lang w:val="en-GB"/>
        </w:rPr>
        <w:t>Cartel Act</w:t>
      </w:r>
      <w:r w:rsidR="001535EA" w:rsidRPr="00FA54ED">
        <w:rPr>
          <w:rFonts w:ascii="Times New Roman" w:hAnsi="Times New Roman" w:cs="Times New Roman"/>
          <w:lang w:val="en-GB"/>
        </w:rPr>
        <w:t xml:space="preserve"> and Article</w:t>
      </w:r>
      <w:r w:rsidR="00EA08B4" w:rsidRPr="00FA54ED">
        <w:rPr>
          <w:rFonts w:ascii="Times New Roman" w:hAnsi="Times New Roman" w:cs="Times New Roman"/>
          <w:lang w:val="en-GB"/>
        </w:rPr>
        <w:t> </w:t>
      </w:r>
      <w:r w:rsidR="001535EA" w:rsidRPr="00FA54ED">
        <w:rPr>
          <w:rFonts w:ascii="Times New Roman" w:hAnsi="Times New Roman" w:cs="Times New Roman"/>
          <w:lang w:val="en-GB"/>
        </w:rPr>
        <w:t>102 TFEU</w:t>
      </w:r>
      <w:bookmarkEnd w:id="5"/>
      <w:r w:rsidR="00B40878" w:rsidRPr="00FA54ED">
        <w:rPr>
          <w:rFonts w:ascii="Times New Roman" w:hAnsi="Times New Roman" w:cs="Times New Roman"/>
          <w:lang w:val="en-GB"/>
        </w:rPr>
        <w:t xml:space="preserve"> due to the insufficient </w:t>
      </w:r>
      <w:r w:rsidR="00807122" w:rsidRPr="00FA54ED">
        <w:rPr>
          <w:rFonts w:ascii="Times New Roman" w:hAnsi="Times New Roman" w:cs="Times New Roman"/>
          <w:lang w:val="en-GB"/>
        </w:rPr>
        <w:t xml:space="preserve">overall </w:t>
      </w:r>
      <w:r w:rsidR="00B40878" w:rsidRPr="00FA54ED">
        <w:rPr>
          <w:rFonts w:ascii="Times New Roman" w:hAnsi="Times New Roman" w:cs="Times New Roman"/>
          <w:lang w:val="en-GB"/>
        </w:rPr>
        <w:t>market share</w:t>
      </w:r>
      <w:r w:rsidR="001535EA" w:rsidRPr="00FA54ED">
        <w:rPr>
          <w:rFonts w:ascii="Times New Roman" w:hAnsi="Times New Roman" w:cs="Times New Roman"/>
          <w:lang w:val="en-GB"/>
        </w:rPr>
        <w:t xml:space="preserve">. </w:t>
      </w:r>
      <w:r w:rsidR="00807122" w:rsidRPr="00FA54ED">
        <w:rPr>
          <w:rFonts w:ascii="Times New Roman" w:hAnsi="Times New Roman" w:cs="Times New Roman"/>
          <w:lang w:val="en-GB"/>
        </w:rPr>
        <w:t xml:space="preserve">The OGH, in effect, confirmed the finding of dominance, but with a different reasoning. It held that </w:t>
      </w:r>
      <w:r w:rsidR="00CD393E" w:rsidRPr="00FA54ED">
        <w:rPr>
          <w:rFonts w:ascii="Times New Roman" w:hAnsi="Times New Roman" w:cs="Times New Roman"/>
          <w:lang w:val="en-GB"/>
        </w:rPr>
        <w:t xml:space="preserve">relative market power </w:t>
      </w:r>
      <w:r w:rsidR="00807122" w:rsidRPr="00FA54ED">
        <w:rPr>
          <w:rFonts w:ascii="Times New Roman" w:hAnsi="Times New Roman" w:cs="Times New Roman"/>
          <w:lang w:val="en-GB"/>
        </w:rPr>
        <w:t xml:space="preserve">is not a separate concept but is already </w:t>
      </w:r>
      <w:r w:rsidR="00CD393E" w:rsidRPr="00FA54ED">
        <w:rPr>
          <w:rFonts w:ascii="Times New Roman" w:hAnsi="Times New Roman" w:cs="Times New Roman"/>
          <w:lang w:val="en-GB"/>
        </w:rPr>
        <w:t xml:space="preserve">encompassed </w:t>
      </w:r>
      <w:r w:rsidR="00807122" w:rsidRPr="00FA54ED">
        <w:rPr>
          <w:rFonts w:ascii="Times New Roman" w:hAnsi="Times New Roman" w:cs="Times New Roman"/>
          <w:lang w:val="en-GB"/>
        </w:rPr>
        <w:t xml:space="preserve">under the </w:t>
      </w:r>
      <w:r w:rsidR="00F12939" w:rsidRPr="00FA54ED">
        <w:rPr>
          <w:rFonts w:ascii="Times New Roman" w:hAnsi="Times New Roman" w:cs="Times New Roman"/>
          <w:i/>
          <w:iCs/>
          <w:lang w:val="en-GB"/>
        </w:rPr>
        <w:t>essential trading partner</w:t>
      </w:r>
      <w:r w:rsidR="00807122" w:rsidRPr="00FA54ED">
        <w:rPr>
          <w:rFonts w:ascii="Times New Roman" w:hAnsi="Times New Roman" w:cs="Times New Roman"/>
          <w:i/>
          <w:iCs/>
          <w:lang w:val="en-GB"/>
        </w:rPr>
        <w:t xml:space="preserve"> doctrine, </w:t>
      </w:r>
      <w:r w:rsidR="00807122" w:rsidRPr="00FA54ED">
        <w:rPr>
          <w:rFonts w:ascii="Times New Roman" w:hAnsi="Times New Roman" w:cs="Times New Roman"/>
          <w:lang w:val="en-GB"/>
        </w:rPr>
        <w:t xml:space="preserve">as allegedly applied by the ECJ in C-85/76 – </w:t>
      </w:r>
      <w:r w:rsidR="00807122" w:rsidRPr="00FA54ED">
        <w:rPr>
          <w:rFonts w:ascii="Times New Roman" w:hAnsi="Times New Roman" w:cs="Times New Roman"/>
          <w:i/>
          <w:iCs/>
          <w:lang w:val="en-GB"/>
        </w:rPr>
        <w:t xml:space="preserve">Hoffmann-La Roche </w:t>
      </w:r>
      <w:r w:rsidR="00807122" w:rsidRPr="00FA54ED">
        <w:rPr>
          <w:rFonts w:ascii="Times New Roman" w:hAnsi="Times New Roman" w:cs="Times New Roman"/>
          <w:lang w:val="en-GB"/>
        </w:rPr>
        <w:t xml:space="preserve">and by the GC in T-219/99 – </w:t>
      </w:r>
      <w:r w:rsidR="00807122" w:rsidRPr="00FA54ED">
        <w:rPr>
          <w:rFonts w:ascii="Times New Roman" w:hAnsi="Times New Roman" w:cs="Times New Roman"/>
          <w:i/>
          <w:iCs/>
          <w:lang w:val="en-GB"/>
        </w:rPr>
        <w:t>British Airways.</w:t>
      </w:r>
      <w:r w:rsidR="0006525A" w:rsidRPr="00FA54ED">
        <w:rPr>
          <w:rFonts w:ascii="Times New Roman" w:hAnsi="Times New Roman" w:cs="Times New Roman"/>
          <w:i/>
          <w:iCs/>
          <w:lang w:val="en-GB"/>
        </w:rPr>
        <w:t xml:space="preserve"> </w:t>
      </w:r>
      <w:r w:rsidR="00F12939" w:rsidRPr="00FA54ED">
        <w:rPr>
          <w:rFonts w:ascii="Times New Roman" w:hAnsi="Times New Roman" w:cs="Times New Roman"/>
          <w:lang w:val="en-GB"/>
        </w:rPr>
        <w:t xml:space="preserve">By definition, a trading partner that cannot be bypassed by the opposite side of the market holds a dominant market position. </w:t>
      </w:r>
      <w:r w:rsidR="004814B8" w:rsidRPr="00FA54ED">
        <w:rPr>
          <w:rFonts w:ascii="Times New Roman" w:hAnsi="Times New Roman" w:cs="Times New Roman"/>
          <w:lang w:val="en-GB"/>
        </w:rPr>
        <w:t>In this case, the respondent was regarded as an essential trading partner who could not be bypassed</w:t>
      </w:r>
      <w:r w:rsidR="004A51B1" w:rsidRPr="00FA54ED">
        <w:rPr>
          <w:rFonts w:ascii="Times New Roman" w:hAnsi="Times New Roman" w:cs="Times New Roman"/>
          <w:lang w:val="en-GB"/>
        </w:rPr>
        <w:t xml:space="preserve"> and therefore was in a dominant market </w:t>
      </w:r>
      <w:r w:rsidR="00FF4D4C" w:rsidRPr="00FA54ED">
        <w:rPr>
          <w:rFonts w:ascii="Times New Roman" w:hAnsi="Times New Roman" w:cs="Times New Roman"/>
          <w:lang w:val="en-GB"/>
        </w:rPr>
        <w:t>position</w:t>
      </w:r>
      <w:r w:rsidR="004814B8" w:rsidRPr="00FA54ED">
        <w:rPr>
          <w:rFonts w:ascii="Times New Roman" w:hAnsi="Times New Roman" w:cs="Times New Roman"/>
          <w:lang w:val="en-GB"/>
        </w:rPr>
        <w:t>.</w:t>
      </w:r>
    </w:p>
    <w:p w14:paraId="07B95B51" w14:textId="77777777" w:rsidR="00A839C7" w:rsidRPr="00FA54ED" w:rsidRDefault="0006525A" w:rsidP="009A2A10">
      <w:pPr>
        <w:pStyle w:val="Stext"/>
        <w:rPr>
          <w:rFonts w:ascii="Times New Roman" w:hAnsi="Times New Roman" w:cs="Times New Roman"/>
          <w:lang w:val="en-GB"/>
        </w:rPr>
      </w:pPr>
      <w:r w:rsidRPr="00FA54ED">
        <w:rPr>
          <w:rFonts w:ascii="Times New Roman" w:hAnsi="Times New Roman" w:cs="Times New Roman"/>
          <w:lang w:val="en-GB"/>
        </w:rPr>
        <w:t xml:space="preserve">However, the OGH held that Lufthansa's request for the DCC was objectively justified, due to the different cost structure of direct and indirect </w:t>
      </w:r>
      <w:r w:rsidR="008F0798" w:rsidRPr="00FA54ED">
        <w:rPr>
          <w:rFonts w:ascii="Times New Roman" w:hAnsi="Times New Roman" w:cs="Times New Roman"/>
          <w:lang w:val="en-GB"/>
        </w:rPr>
        <w:t>distribution and</w:t>
      </w:r>
      <w:r w:rsidRPr="00FA54ED">
        <w:rPr>
          <w:rFonts w:ascii="Times New Roman" w:hAnsi="Times New Roman" w:cs="Times New Roman"/>
          <w:lang w:val="en-GB"/>
        </w:rPr>
        <w:t xml:space="preserve"> </w:t>
      </w:r>
      <w:r w:rsidR="008F0798" w:rsidRPr="00FA54ED">
        <w:rPr>
          <w:rFonts w:ascii="Times New Roman" w:hAnsi="Times New Roman" w:cs="Times New Roman"/>
          <w:lang w:val="en-GB"/>
        </w:rPr>
        <w:t xml:space="preserve">was </w:t>
      </w:r>
      <w:r w:rsidRPr="00FA54ED">
        <w:rPr>
          <w:rFonts w:ascii="Times New Roman" w:hAnsi="Times New Roman" w:cs="Times New Roman"/>
          <w:lang w:val="en-GB"/>
        </w:rPr>
        <w:t>therefore not abusive. The injunction requested by the Trade Association was denied.</w:t>
      </w:r>
    </w:p>
    <w:p w14:paraId="77DBBE39" w14:textId="6B2D7B0A" w:rsidR="0041774F" w:rsidRPr="00FA54ED" w:rsidRDefault="0006525A" w:rsidP="009A2A10">
      <w:pPr>
        <w:pStyle w:val="Stext"/>
        <w:rPr>
          <w:rFonts w:ascii="Times New Roman" w:hAnsi="Times New Roman" w:cs="Times New Roman"/>
          <w:lang w:val="en-GB"/>
        </w:rPr>
      </w:pPr>
      <w:r w:rsidRPr="00FA54ED">
        <w:rPr>
          <w:rFonts w:ascii="Times New Roman" w:hAnsi="Times New Roman" w:cs="Times New Roman"/>
          <w:bCs/>
          <w:i/>
          <w:lang w:val="en-GB"/>
        </w:rPr>
        <w:t>Conclusion:</w:t>
      </w:r>
      <w:r w:rsidRPr="00FA54ED">
        <w:rPr>
          <w:rFonts w:ascii="Times New Roman" w:hAnsi="Times New Roman" w:cs="Times New Roman"/>
          <w:b/>
          <w:bCs/>
          <w:lang w:val="en-GB"/>
        </w:rPr>
        <w:t xml:space="preserve"> </w:t>
      </w:r>
      <w:r w:rsidR="0041774F" w:rsidRPr="00FA54ED">
        <w:rPr>
          <w:rFonts w:ascii="Times New Roman" w:hAnsi="Times New Roman" w:cs="Times New Roman"/>
          <w:lang w:val="en-GB"/>
        </w:rPr>
        <w:t>The OGH's finding</w:t>
      </w:r>
      <w:r w:rsidR="00C674AA" w:rsidRPr="00FA54ED">
        <w:rPr>
          <w:rFonts w:ascii="Times New Roman" w:hAnsi="Times New Roman" w:cs="Times New Roman"/>
          <w:lang w:val="en-GB"/>
        </w:rPr>
        <w:t xml:space="preserve"> that relative market power is </w:t>
      </w:r>
      <w:r w:rsidR="00FB4115" w:rsidRPr="00FA54ED">
        <w:rPr>
          <w:rFonts w:ascii="Times New Roman" w:hAnsi="Times New Roman" w:cs="Times New Roman"/>
          <w:lang w:val="en-GB"/>
        </w:rPr>
        <w:t>"</w:t>
      </w:r>
      <w:r w:rsidR="0041774F" w:rsidRPr="00FA54ED">
        <w:rPr>
          <w:rFonts w:ascii="Times New Roman" w:hAnsi="Times New Roman" w:cs="Times New Roman"/>
          <w:lang w:val="en-GB"/>
        </w:rPr>
        <w:t>already encompassed under the ess</w:t>
      </w:r>
      <w:r w:rsidR="00C674AA" w:rsidRPr="00FA54ED">
        <w:rPr>
          <w:rFonts w:ascii="Times New Roman" w:hAnsi="Times New Roman" w:cs="Times New Roman"/>
          <w:lang w:val="en-GB"/>
        </w:rPr>
        <w:t>ential trading partner doctrine</w:t>
      </w:r>
      <w:r w:rsidR="00FB4115" w:rsidRPr="00FA54ED">
        <w:rPr>
          <w:rFonts w:ascii="Times New Roman" w:hAnsi="Times New Roman" w:cs="Times New Roman"/>
          <w:lang w:val="en-GB"/>
        </w:rPr>
        <w:t>"</w:t>
      </w:r>
      <w:r w:rsidR="0041774F" w:rsidRPr="00FA54ED">
        <w:rPr>
          <w:rFonts w:ascii="Times New Roman" w:hAnsi="Times New Roman" w:cs="Times New Roman"/>
          <w:lang w:val="en-GB"/>
        </w:rPr>
        <w:t xml:space="preserve"> rather than constituting a separate concept represents a fundamental re</w:t>
      </w:r>
      <w:r w:rsidR="00C674AA" w:rsidRPr="00FA54ED">
        <w:rPr>
          <w:rFonts w:ascii="Times New Roman" w:hAnsi="Times New Roman" w:cs="Times New Roman"/>
          <w:lang w:val="en-GB"/>
        </w:rPr>
        <w:t>-</w:t>
      </w:r>
      <w:r w:rsidR="0041774F" w:rsidRPr="00FA54ED">
        <w:rPr>
          <w:rFonts w:ascii="Times New Roman" w:hAnsi="Times New Roman" w:cs="Times New Roman"/>
          <w:lang w:val="en-GB"/>
        </w:rPr>
        <w:t>characterization. This integration suggests that when dependency extends beyond bilateral relationships to affect entire customer segments, traditional dominance analysis becomes applicable even without high market shares.</w:t>
      </w:r>
    </w:p>
    <w:p w14:paraId="411435C7" w14:textId="17CDEE75" w:rsidR="00A839C7" w:rsidRPr="00FA54ED" w:rsidRDefault="0041774F" w:rsidP="009A2A10">
      <w:pPr>
        <w:pStyle w:val="Stext"/>
        <w:rPr>
          <w:rFonts w:ascii="Times New Roman" w:hAnsi="Times New Roman" w:cs="Times New Roman"/>
          <w:lang w:val="en-GB"/>
        </w:rPr>
      </w:pPr>
      <w:r w:rsidRPr="00FA54ED">
        <w:rPr>
          <w:rFonts w:ascii="Times New Roman" w:hAnsi="Times New Roman" w:cs="Times New Roman"/>
          <w:lang w:val="en-GB"/>
        </w:rPr>
        <w:t xml:space="preserve">Unlike previous cases involving individual dealer-supplier relationships, </w:t>
      </w:r>
      <w:r w:rsidR="00F1556F" w:rsidRPr="00FA54ED">
        <w:rPr>
          <w:rFonts w:ascii="Times New Roman" w:hAnsi="Times New Roman" w:cs="Times New Roman"/>
          <w:lang w:val="en-GB"/>
        </w:rPr>
        <w:t xml:space="preserve">the </w:t>
      </w:r>
      <w:r w:rsidRPr="00FA54ED">
        <w:rPr>
          <w:rFonts w:ascii="Times New Roman" w:hAnsi="Times New Roman" w:cs="Times New Roman"/>
          <w:lang w:val="en-GB"/>
        </w:rPr>
        <w:t xml:space="preserve">Lufthansa </w:t>
      </w:r>
      <w:r w:rsidR="00F1556F" w:rsidRPr="00FA54ED">
        <w:rPr>
          <w:rFonts w:ascii="Times New Roman" w:hAnsi="Times New Roman" w:cs="Times New Roman"/>
          <w:lang w:val="en-GB"/>
        </w:rPr>
        <w:t xml:space="preserve">case </w:t>
      </w:r>
      <w:r w:rsidRPr="00FA54ED">
        <w:rPr>
          <w:rFonts w:ascii="Times New Roman" w:hAnsi="Times New Roman" w:cs="Times New Roman"/>
          <w:lang w:val="en-GB"/>
        </w:rPr>
        <w:t>illustrates dependency affecting an entire intermediary segment (travel agencies) vis-à-vis a supplier. This collective dependency dynamic - where travel agencies as a group cannot bypass Lufthansa despite its modest 12% European market share - demonstrates how essential trading partner status can emerge from structural market positions rather than just bilateral relationship characteristics.</w:t>
      </w:r>
    </w:p>
    <w:p w14:paraId="2CB3DDF9" w14:textId="67937EBC" w:rsidR="00A839C7" w:rsidRPr="00FA54ED" w:rsidRDefault="0041774F" w:rsidP="009A2A10">
      <w:pPr>
        <w:pStyle w:val="Stext"/>
        <w:rPr>
          <w:rFonts w:ascii="Times New Roman" w:hAnsi="Times New Roman" w:cs="Times New Roman"/>
          <w:lang w:val="en-GB"/>
        </w:rPr>
      </w:pPr>
      <w:r w:rsidRPr="00FA54ED">
        <w:rPr>
          <w:rFonts w:ascii="Times New Roman" w:hAnsi="Times New Roman" w:cs="Times New Roman"/>
          <w:lang w:val="en-GB"/>
        </w:rPr>
        <w:t>The GDS context reveals how multi-sided platform dynamics complicate traditional dependency analysis. Lufthansa's ability to impose costs on travel agencies through the DCC reflects its position as an essential input for agencies' business models, even though agencies have alternative airline options. This highlights how dependency can be channel-specific rather than product-specific.</w:t>
      </w:r>
    </w:p>
    <w:p w14:paraId="4C533E1B" w14:textId="1EDBB147" w:rsidR="00A839C7" w:rsidRPr="00FA54ED" w:rsidRDefault="0041774F" w:rsidP="009A2A10">
      <w:pPr>
        <w:pStyle w:val="Stext"/>
        <w:rPr>
          <w:rFonts w:ascii="Times New Roman" w:hAnsi="Times New Roman" w:cs="Times New Roman"/>
          <w:lang w:val="en-GB"/>
        </w:rPr>
      </w:pPr>
      <w:r w:rsidRPr="00FA54ED">
        <w:rPr>
          <w:rFonts w:ascii="Times New Roman" w:hAnsi="Times New Roman" w:cs="Times New Roman"/>
          <w:lang w:val="en-GB"/>
        </w:rPr>
        <w:t>The Court's acceptance of Lufthansa's cost-based justification for the DCC demonstrates that even where essential trading partner status exists, pricing differentials reflecting genuine cost differences remain permissible. This maintains economic efficiency incentives while preventing exploitative conduct.</w:t>
      </w:r>
    </w:p>
    <w:p w14:paraId="40D2076D" w14:textId="2D455F0F" w:rsidR="0041774F" w:rsidRPr="00FA54ED" w:rsidRDefault="0041774F" w:rsidP="009A2A10">
      <w:pPr>
        <w:pStyle w:val="Stext"/>
        <w:rPr>
          <w:rFonts w:ascii="Times New Roman" w:hAnsi="Times New Roman" w:cs="Times New Roman"/>
          <w:lang w:val="en-GB"/>
        </w:rPr>
      </w:pPr>
      <w:r w:rsidRPr="00FA54ED">
        <w:rPr>
          <w:rFonts w:ascii="Times New Roman" w:hAnsi="Times New Roman" w:cs="Times New Roman"/>
          <w:lang w:val="en-GB"/>
        </w:rPr>
        <w:t xml:space="preserve">The case establishes a crucial distinction: relative market power doctrine traditionally addresses bilateral relational dependencies (dealer-supplier), while essential trading partner analysis addresses structural dependencies affecting </w:t>
      </w:r>
      <w:r w:rsidRPr="00FA54ED">
        <w:rPr>
          <w:rFonts w:ascii="Times New Roman" w:hAnsi="Times New Roman" w:cs="Times New Roman"/>
          <w:lang w:val="en-GB"/>
        </w:rPr>
        <w:lastRenderedPageBreak/>
        <w:t>entire market segments. This framework provides clearer analytical boundaries for competition law intervention in vertical relationships.</w:t>
      </w:r>
    </w:p>
    <w:p w14:paraId="276351C6" w14:textId="173C9C46" w:rsidR="002E2014" w:rsidRPr="00FA54ED" w:rsidRDefault="00D4019B" w:rsidP="002E2014">
      <w:pPr>
        <w:pStyle w:val="Stext"/>
        <w:ind w:left="567" w:hanging="567"/>
        <w:rPr>
          <w:rFonts w:ascii="Times New Roman" w:hAnsi="Times New Roman" w:cs="Times New Roman"/>
          <w:b/>
          <w:bCs/>
          <w:lang w:val="en-GB"/>
        </w:rPr>
      </w:pPr>
      <w:r w:rsidRPr="00FA54ED">
        <w:rPr>
          <w:rFonts w:ascii="Times New Roman" w:hAnsi="Times New Roman" w:cs="Times New Roman"/>
          <w:b/>
          <w:bCs/>
          <w:lang w:val="en-GB"/>
        </w:rPr>
        <w:t>3.</w:t>
      </w:r>
      <w:r w:rsidRPr="00FA54ED">
        <w:rPr>
          <w:rFonts w:ascii="Times New Roman" w:hAnsi="Times New Roman" w:cs="Times New Roman"/>
          <w:b/>
          <w:bCs/>
          <w:lang w:val="en-GB"/>
        </w:rPr>
        <w:tab/>
        <w:t>Findings</w:t>
      </w:r>
    </w:p>
    <w:p w14:paraId="5CAAC25F" w14:textId="028E125F" w:rsidR="00C674AA" w:rsidRPr="00FA54ED" w:rsidRDefault="00C674AA" w:rsidP="009A2A10">
      <w:pPr>
        <w:pStyle w:val="Stext"/>
        <w:rPr>
          <w:rFonts w:ascii="Times New Roman" w:hAnsi="Times New Roman" w:cs="Times New Roman"/>
          <w:bCs/>
          <w:lang w:val="en-GB"/>
        </w:rPr>
      </w:pPr>
      <w:r w:rsidRPr="00FA54ED">
        <w:rPr>
          <w:rFonts w:ascii="Times New Roman" w:hAnsi="Times New Roman" w:cs="Times New Roman"/>
          <w:bCs/>
          <w:lang w:val="en-GB"/>
        </w:rPr>
        <w:t xml:space="preserve">The Austrian experience with </w:t>
      </w:r>
      <w:r w:rsidR="009A33EE" w:rsidRPr="00FA54ED">
        <w:rPr>
          <w:rFonts w:ascii="Times New Roman" w:hAnsi="Times New Roman" w:cs="Times New Roman"/>
          <w:bCs/>
          <w:lang w:val="en-GB"/>
        </w:rPr>
        <w:t xml:space="preserve">the </w:t>
      </w:r>
      <w:r w:rsidRPr="00FA54ED">
        <w:rPr>
          <w:rFonts w:ascii="Times New Roman" w:hAnsi="Times New Roman" w:cs="Times New Roman"/>
          <w:bCs/>
          <w:lang w:val="en-GB"/>
        </w:rPr>
        <w:t>relative market power doctrine under §</w:t>
      </w:r>
      <w:r w:rsidR="009A33EE" w:rsidRPr="00FA54ED">
        <w:rPr>
          <w:rFonts w:ascii="Times New Roman" w:hAnsi="Times New Roman" w:cs="Times New Roman"/>
          <w:bCs/>
          <w:lang w:val="en-GB"/>
        </w:rPr>
        <w:t> </w:t>
      </w:r>
      <w:r w:rsidRPr="00FA54ED">
        <w:rPr>
          <w:rFonts w:ascii="Times New Roman" w:hAnsi="Times New Roman" w:cs="Times New Roman"/>
          <w:bCs/>
          <w:lang w:val="en-GB"/>
        </w:rPr>
        <w:t>4a Cartel Act presents interesting case stud</w:t>
      </w:r>
      <w:r w:rsidR="009A33EE" w:rsidRPr="00FA54ED">
        <w:rPr>
          <w:rFonts w:ascii="Times New Roman" w:hAnsi="Times New Roman" w:cs="Times New Roman"/>
          <w:bCs/>
          <w:lang w:val="en-GB"/>
        </w:rPr>
        <w:t>ies</w:t>
      </w:r>
      <w:r w:rsidRPr="00FA54ED">
        <w:rPr>
          <w:rFonts w:ascii="Times New Roman" w:hAnsi="Times New Roman" w:cs="Times New Roman"/>
          <w:bCs/>
          <w:lang w:val="en-GB"/>
        </w:rPr>
        <w:t xml:space="preserve"> </w:t>
      </w:r>
      <w:r w:rsidR="009A33EE" w:rsidRPr="00FA54ED">
        <w:rPr>
          <w:rFonts w:ascii="Times New Roman" w:hAnsi="Times New Roman" w:cs="Times New Roman"/>
          <w:bCs/>
          <w:lang w:val="en-GB"/>
        </w:rPr>
        <w:t>o</w:t>
      </w:r>
      <w:r w:rsidRPr="00FA54ED">
        <w:rPr>
          <w:rFonts w:ascii="Times New Roman" w:hAnsi="Times New Roman" w:cs="Times New Roman"/>
          <w:bCs/>
          <w:lang w:val="en-GB"/>
        </w:rPr>
        <w:t>n the evolution of competition law beyond traditional frameworks. Originally established in 1988 as an anti-exploitation tool rather than a competition protection mechanism, the doctrine has evolved through judicial application into a sophisticated framework that addresses genuine competitive concerns while raising important questions about the boundaries between competition law and broader market regulation.</w:t>
      </w:r>
      <w:r w:rsidR="00C75C41" w:rsidRPr="00FA54ED">
        <w:rPr>
          <w:rFonts w:ascii="Times New Roman" w:hAnsi="Times New Roman" w:cs="Times New Roman"/>
          <w:bCs/>
          <w:lang w:val="en-GB"/>
        </w:rPr>
        <w:t xml:space="preserve"> </w:t>
      </w:r>
    </w:p>
    <w:p w14:paraId="1837D658" w14:textId="7F345948"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t>The Austrian approach fundamentally rejects the notion that competitive harm can only occur where suppliers achieve high aggregate market shares. Instead, it recognizes that economic dependency can create exploitable relationships even where broader market competition exists. This insight proves particularly valuable in modern economies characterized by product differentiation, exclusive dealing, and relationship-specific investments.</w:t>
      </w:r>
      <w:r w:rsidR="00C75C41" w:rsidRPr="00FA54ED">
        <w:rPr>
          <w:rFonts w:ascii="Times New Roman" w:hAnsi="Times New Roman" w:cs="Times New Roman"/>
          <w:bCs/>
          <w:lang w:val="en-GB"/>
        </w:rPr>
        <w:t xml:space="preserve"> It also alleviates the burden on proving a specific market definition.</w:t>
      </w:r>
    </w:p>
    <w:p w14:paraId="75D88E33" w14:textId="17F48C64"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t>Austrian courts have operationalized relative market power</w:t>
      </w:r>
      <w:r w:rsidR="00B72BD5" w:rsidRPr="00FA54ED">
        <w:rPr>
          <w:rFonts w:ascii="Times New Roman" w:hAnsi="Times New Roman" w:cs="Times New Roman"/>
          <w:bCs/>
          <w:lang w:val="en-GB"/>
        </w:rPr>
        <w:t xml:space="preserve"> and economic dependency</w:t>
      </w:r>
      <w:r w:rsidRPr="00FA54ED">
        <w:rPr>
          <w:rFonts w:ascii="Times New Roman" w:hAnsi="Times New Roman" w:cs="Times New Roman"/>
          <w:bCs/>
          <w:lang w:val="en-GB"/>
        </w:rPr>
        <w:t xml:space="preserve"> through a sophisticated economic dependency analysis that examines:</w:t>
      </w:r>
    </w:p>
    <w:p w14:paraId="51FE75E7" w14:textId="3CEE420F" w:rsidR="002E2014" w:rsidRPr="00FA54ED" w:rsidRDefault="002E2014" w:rsidP="009A2A10">
      <w:pPr>
        <w:pStyle w:val="Stext"/>
        <w:spacing w:before="0"/>
        <w:ind w:left="993"/>
        <w:rPr>
          <w:rFonts w:ascii="Times New Roman" w:hAnsi="Times New Roman" w:cs="Times New Roman"/>
          <w:bCs/>
          <w:lang w:val="en-GB"/>
        </w:rPr>
      </w:pPr>
      <w:r w:rsidRPr="00FA54ED">
        <w:rPr>
          <w:rFonts w:ascii="Times New Roman" w:hAnsi="Times New Roman" w:cs="Times New Roman"/>
          <w:bCs/>
          <w:lang w:val="en-GB"/>
        </w:rPr>
        <w:t>- Revenue concentration and switching costs</w:t>
      </w:r>
      <w:r w:rsidR="00B72BD5" w:rsidRPr="00FA54ED">
        <w:rPr>
          <w:rFonts w:ascii="Times New Roman" w:hAnsi="Times New Roman" w:cs="Times New Roman"/>
          <w:bCs/>
          <w:lang w:val="en-GB"/>
        </w:rPr>
        <w:t>,</w:t>
      </w:r>
    </w:p>
    <w:p w14:paraId="29FE0A97" w14:textId="6EEDFF6A" w:rsidR="002E2014" w:rsidRPr="00FA54ED" w:rsidRDefault="002E2014" w:rsidP="009A2A10">
      <w:pPr>
        <w:pStyle w:val="Stext"/>
        <w:spacing w:before="0"/>
        <w:ind w:left="993"/>
        <w:rPr>
          <w:rFonts w:ascii="Times New Roman" w:hAnsi="Times New Roman" w:cs="Times New Roman"/>
          <w:bCs/>
          <w:lang w:val="en-GB"/>
        </w:rPr>
      </w:pPr>
      <w:r w:rsidRPr="00FA54ED">
        <w:rPr>
          <w:rFonts w:ascii="Times New Roman" w:hAnsi="Times New Roman" w:cs="Times New Roman"/>
          <w:bCs/>
          <w:lang w:val="en-GB"/>
        </w:rPr>
        <w:t>- Relationship-specific investments and sunk costs</w:t>
      </w:r>
      <w:r w:rsidR="00B72BD5" w:rsidRPr="00FA54ED">
        <w:rPr>
          <w:rFonts w:ascii="Times New Roman" w:hAnsi="Times New Roman" w:cs="Times New Roman"/>
          <w:bCs/>
          <w:lang w:val="en-GB"/>
        </w:rPr>
        <w:t>,</w:t>
      </w:r>
    </w:p>
    <w:p w14:paraId="11E91D5F" w14:textId="19BAC633" w:rsidR="002E2014" w:rsidRPr="00FA54ED" w:rsidRDefault="002E2014" w:rsidP="009A2A10">
      <w:pPr>
        <w:pStyle w:val="Stext"/>
        <w:spacing w:before="0"/>
        <w:ind w:left="993"/>
        <w:rPr>
          <w:rFonts w:ascii="Times New Roman" w:hAnsi="Times New Roman" w:cs="Times New Roman"/>
          <w:bCs/>
          <w:lang w:val="en-GB"/>
        </w:rPr>
      </w:pPr>
      <w:r w:rsidRPr="00FA54ED">
        <w:rPr>
          <w:rFonts w:ascii="Times New Roman" w:hAnsi="Times New Roman" w:cs="Times New Roman"/>
          <w:bCs/>
          <w:lang w:val="en-GB"/>
        </w:rPr>
        <w:t>- Availability of adequate alternative supply sources</w:t>
      </w:r>
      <w:r w:rsidR="00B72BD5" w:rsidRPr="00FA54ED">
        <w:rPr>
          <w:rFonts w:ascii="Times New Roman" w:hAnsi="Times New Roman" w:cs="Times New Roman"/>
          <w:bCs/>
          <w:lang w:val="en-GB"/>
        </w:rPr>
        <w:t>,</w:t>
      </w:r>
    </w:p>
    <w:p w14:paraId="3718892C" w14:textId="7BED946F" w:rsidR="002E2014" w:rsidRPr="00FA54ED" w:rsidRDefault="002E2014" w:rsidP="009A2A10">
      <w:pPr>
        <w:pStyle w:val="Stext"/>
        <w:spacing w:before="0"/>
        <w:ind w:left="993"/>
        <w:rPr>
          <w:rFonts w:ascii="Times New Roman" w:hAnsi="Times New Roman" w:cs="Times New Roman"/>
          <w:bCs/>
          <w:lang w:val="en-GB"/>
        </w:rPr>
      </w:pPr>
      <w:r w:rsidRPr="00FA54ED">
        <w:rPr>
          <w:rFonts w:ascii="Times New Roman" w:hAnsi="Times New Roman" w:cs="Times New Roman"/>
          <w:bCs/>
          <w:lang w:val="en-GB"/>
        </w:rPr>
        <w:t>- Temporal dynamics of dependency (rolling dominance)</w:t>
      </w:r>
      <w:r w:rsidR="00B72BD5" w:rsidRPr="00FA54ED">
        <w:rPr>
          <w:rFonts w:ascii="Times New Roman" w:hAnsi="Times New Roman" w:cs="Times New Roman"/>
          <w:bCs/>
          <w:lang w:val="en-GB"/>
        </w:rPr>
        <w:t>,</w:t>
      </w:r>
    </w:p>
    <w:p w14:paraId="6424C992" w14:textId="2A3B954F" w:rsidR="002E2014" w:rsidRPr="00FA54ED" w:rsidRDefault="002E2014" w:rsidP="009A2A10">
      <w:pPr>
        <w:pStyle w:val="Stext"/>
        <w:spacing w:before="0"/>
        <w:ind w:left="993"/>
        <w:rPr>
          <w:rFonts w:ascii="Times New Roman" w:hAnsi="Times New Roman" w:cs="Times New Roman"/>
          <w:bCs/>
          <w:lang w:val="en-GB"/>
        </w:rPr>
      </w:pPr>
      <w:r w:rsidRPr="00FA54ED">
        <w:rPr>
          <w:rFonts w:ascii="Times New Roman" w:hAnsi="Times New Roman" w:cs="Times New Roman"/>
          <w:bCs/>
          <w:lang w:val="en-GB"/>
        </w:rPr>
        <w:t>- Foreseeability and mitigation obligations</w:t>
      </w:r>
      <w:r w:rsidR="00B72BD5" w:rsidRPr="00FA54ED">
        <w:rPr>
          <w:rFonts w:ascii="Times New Roman" w:hAnsi="Times New Roman" w:cs="Times New Roman"/>
          <w:bCs/>
          <w:lang w:val="en-GB"/>
        </w:rPr>
        <w:t>.</w:t>
      </w:r>
    </w:p>
    <w:p w14:paraId="551B75C5" w14:textId="2B698492"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t xml:space="preserve">The case law reveals </w:t>
      </w:r>
      <w:r w:rsidR="00C674AA" w:rsidRPr="00FA54ED">
        <w:rPr>
          <w:rFonts w:ascii="Times New Roman" w:hAnsi="Times New Roman" w:cs="Times New Roman"/>
          <w:bCs/>
          <w:lang w:val="en-GB"/>
        </w:rPr>
        <w:t>an evolution</w:t>
      </w:r>
      <w:r w:rsidRPr="00FA54ED">
        <w:rPr>
          <w:rFonts w:ascii="Times New Roman" w:hAnsi="Times New Roman" w:cs="Times New Roman"/>
          <w:bCs/>
          <w:lang w:val="en-GB"/>
        </w:rPr>
        <w:t xml:space="preserve"> from simple bilateral dependencies (individual dealer-supplier relationships) toward</w:t>
      </w:r>
      <w:r w:rsidR="00C674AA" w:rsidRPr="00FA54ED">
        <w:rPr>
          <w:rFonts w:ascii="Times New Roman" w:hAnsi="Times New Roman" w:cs="Times New Roman"/>
          <w:bCs/>
          <w:lang w:val="en-GB"/>
        </w:rPr>
        <w:t xml:space="preserve"> the</w:t>
      </w:r>
      <w:r w:rsidRPr="00FA54ED">
        <w:rPr>
          <w:rFonts w:ascii="Times New Roman" w:hAnsi="Times New Roman" w:cs="Times New Roman"/>
          <w:bCs/>
          <w:lang w:val="en-GB"/>
        </w:rPr>
        <w:t xml:space="preserve"> recognition of structural dependencies affecting entire market segments. The Lufthansa decision's integration of relative market power with </w:t>
      </w:r>
      <w:r w:rsidR="00020C64" w:rsidRPr="00FA54ED">
        <w:rPr>
          <w:rFonts w:ascii="Times New Roman" w:hAnsi="Times New Roman" w:cs="Times New Roman"/>
          <w:bCs/>
          <w:lang w:val="en-GB"/>
        </w:rPr>
        <w:t xml:space="preserve">the </w:t>
      </w:r>
      <w:r w:rsidRPr="00FA54ED">
        <w:rPr>
          <w:rFonts w:ascii="Times New Roman" w:hAnsi="Times New Roman" w:cs="Times New Roman"/>
          <w:bCs/>
          <w:lang w:val="en-GB"/>
        </w:rPr>
        <w:t>essential trading partner doctrine illustrates this evolution, demonstrating how dependency analysis can address collective rather than merely individual competitive concerns.</w:t>
      </w:r>
      <w:r w:rsidR="00C75C41" w:rsidRPr="00FA54ED">
        <w:rPr>
          <w:rFonts w:ascii="Times New Roman" w:hAnsi="Times New Roman" w:cs="Times New Roman"/>
          <w:bCs/>
          <w:lang w:val="en-GB"/>
        </w:rPr>
        <w:t xml:space="preserve"> </w:t>
      </w:r>
    </w:p>
    <w:p w14:paraId="119F5A51" w14:textId="7AA27FEE"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t xml:space="preserve">Austrian courts have shown sensitivity to sector-specific competitive </w:t>
      </w:r>
      <w:r w:rsidR="00C674AA" w:rsidRPr="00FA54ED">
        <w:rPr>
          <w:rFonts w:ascii="Times New Roman" w:hAnsi="Times New Roman" w:cs="Times New Roman"/>
          <w:bCs/>
          <w:lang w:val="en-GB"/>
        </w:rPr>
        <w:t>dynamics</w:t>
      </w:r>
      <w:r w:rsidRPr="00FA54ED">
        <w:rPr>
          <w:rFonts w:ascii="Times New Roman" w:hAnsi="Times New Roman" w:cs="Times New Roman"/>
          <w:bCs/>
          <w:lang w:val="en-GB"/>
        </w:rPr>
        <w:t>. The film distribution cases' recognition of temporal market dynamics, the automotive cases' focus on brand-specific investments, and the platform cases' acknowledgment of two-sided market effects demonstrate how the doctrine adapts to different industry structures rather than applying one-size-fits-all solutions.</w:t>
      </w:r>
    </w:p>
    <w:p w14:paraId="4630898D" w14:textId="1F638B13"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t xml:space="preserve">The Austrian approach </w:t>
      </w:r>
      <w:r w:rsidR="00C674AA" w:rsidRPr="00FA54ED">
        <w:rPr>
          <w:rFonts w:ascii="Times New Roman" w:hAnsi="Times New Roman" w:cs="Times New Roman"/>
          <w:bCs/>
          <w:lang w:val="en-GB"/>
        </w:rPr>
        <w:t>seems to resolve</w:t>
      </w:r>
      <w:r w:rsidRPr="00FA54ED">
        <w:rPr>
          <w:rFonts w:ascii="Times New Roman" w:hAnsi="Times New Roman" w:cs="Times New Roman"/>
          <w:bCs/>
          <w:lang w:val="en-GB"/>
        </w:rPr>
        <w:t xml:space="preserve"> the analytical tension highlighted in the </w:t>
      </w:r>
      <w:r w:rsidR="00B72BD5" w:rsidRPr="00FA54ED">
        <w:rPr>
          <w:rFonts w:ascii="Times New Roman" w:hAnsi="Times New Roman" w:cs="Times New Roman"/>
          <w:bCs/>
          <w:lang w:val="en-GB"/>
        </w:rPr>
        <w:t xml:space="preserve">beginning </w:t>
      </w:r>
      <w:r w:rsidRPr="00FA54ED">
        <w:rPr>
          <w:rFonts w:ascii="Times New Roman" w:hAnsi="Times New Roman" w:cs="Times New Roman"/>
          <w:bCs/>
          <w:lang w:val="en-GB"/>
        </w:rPr>
        <w:t>- the problematic mixing of narrow market definition with broad market power considerations. Rather than artificially manipulating market boundaries to achieve desired outcomes, Austrian courts</w:t>
      </w:r>
      <w:r w:rsidR="00B72BD5" w:rsidRPr="00FA54ED">
        <w:rPr>
          <w:rFonts w:ascii="Times New Roman" w:hAnsi="Times New Roman" w:cs="Times New Roman"/>
          <w:bCs/>
          <w:lang w:val="en-GB"/>
        </w:rPr>
        <w:t xml:space="preserve"> focused</w:t>
      </w:r>
      <w:r w:rsidRPr="00FA54ED">
        <w:rPr>
          <w:rFonts w:ascii="Times New Roman" w:hAnsi="Times New Roman" w:cs="Times New Roman"/>
          <w:bCs/>
          <w:lang w:val="en-GB"/>
        </w:rPr>
        <w:t xml:space="preserve"> directly on economic dependencies and competitive constraints, providing</w:t>
      </w:r>
      <w:r w:rsidR="00B72BD5" w:rsidRPr="00FA54ED">
        <w:rPr>
          <w:rFonts w:ascii="Times New Roman" w:hAnsi="Times New Roman" w:cs="Times New Roman"/>
          <w:bCs/>
          <w:lang w:val="en-GB"/>
        </w:rPr>
        <w:t xml:space="preserve"> a more </w:t>
      </w:r>
      <w:r w:rsidRPr="00FA54ED">
        <w:rPr>
          <w:rFonts w:ascii="Times New Roman" w:hAnsi="Times New Roman" w:cs="Times New Roman"/>
          <w:bCs/>
          <w:lang w:val="en-GB"/>
        </w:rPr>
        <w:t>effective competitive analysis.</w:t>
      </w:r>
    </w:p>
    <w:p w14:paraId="6654DDC8" w14:textId="0737A044" w:rsidR="002E2014" w:rsidRPr="00FA54ED" w:rsidRDefault="00020C64" w:rsidP="009A2A10">
      <w:pPr>
        <w:pStyle w:val="Stext"/>
        <w:rPr>
          <w:rFonts w:ascii="Times New Roman" w:hAnsi="Times New Roman" w:cs="Times New Roman"/>
          <w:bCs/>
          <w:lang w:val="en-GB"/>
        </w:rPr>
      </w:pPr>
      <w:r w:rsidRPr="00FA54ED">
        <w:rPr>
          <w:rFonts w:ascii="Times New Roman" w:hAnsi="Times New Roman" w:cs="Times New Roman"/>
          <w:bCs/>
          <w:lang w:val="en-GB"/>
        </w:rPr>
        <w:t>As applied in Austria, t</w:t>
      </w:r>
      <w:r w:rsidR="002E2014" w:rsidRPr="00FA54ED">
        <w:rPr>
          <w:rFonts w:ascii="Times New Roman" w:hAnsi="Times New Roman" w:cs="Times New Roman"/>
          <w:bCs/>
          <w:lang w:val="en-GB"/>
        </w:rPr>
        <w:t xml:space="preserve">he doctrine </w:t>
      </w:r>
      <w:r w:rsidRPr="00FA54ED">
        <w:rPr>
          <w:rFonts w:ascii="Times New Roman" w:hAnsi="Times New Roman" w:cs="Times New Roman"/>
          <w:bCs/>
          <w:lang w:val="en-GB"/>
        </w:rPr>
        <w:t xml:space="preserve">entails </w:t>
      </w:r>
      <w:r w:rsidR="002E2014" w:rsidRPr="00FA54ED">
        <w:rPr>
          <w:rFonts w:ascii="Times New Roman" w:hAnsi="Times New Roman" w:cs="Times New Roman"/>
          <w:bCs/>
          <w:lang w:val="en-GB"/>
        </w:rPr>
        <w:t xml:space="preserve">meaningful limiting principles through proportionality tests (Sports </w:t>
      </w:r>
      <w:proofErr w:type="spellStart"/>
      <w:r w:rsidR="002E2014" w:rsidRPr="00FA54ED">
        <w:rPr>
          <w:rFonts w:ascii="Times New Roman" w:hAnsi="Times New Roman" w:cs="Times New Roman"/>
          <w:bCs/>
          <w:lang w:val="en-GB"/>
        </w:rPr>
        <w:t>Direct's</w:t>
      </w:r>
      <w:proofErr w:type="spellEnd"/>
      <w:r w:rsidR="002E2014" w:rsidRPr="00FA54ED">
        <w:rPr>
          <w:rFonts w:ascii="Times New Roman" w:hAnsi="Times New Roman" w:cs="Times New Roman"/>
          <w:bCs/>
          <w:lang w:val="en-GB"/>
        </w:rPr>
        <w:t xml:space="preserve"> 10% threshold) and objective justification </w:t>
      </w:r>
      <w:r w:rsidR="00E940A1" w:rsidRPr="00FA54ED">
        <w:rPr>
          <w:rFonts w:ascii="Times New Roman" w:hAnsi="Times New Roman" w:cs="Times New Roman"/>
          <w:bCs/>
          <w:lang w:val="en-GB"/>
        </w:rPr>
        <w:t>defences</w:t>
      </w:r>
      <w:r w:rsidR="002E2014" w:rsidRPr="00FA54ED">
        <w:rPr>
          <w:rFonts w:ascii="Times New Roman" w:hAnsi="Times New Roman" w:cs="Times New Roman"/>
          <w:bCs/>
          <w:lang w:val="en-GB"/>
        </w:rPr>
        <w:t xml:space="preserve"> (Lufthansa's cost-based pricing differentials). These safeguards prevent the doctrine from becoming an overly broad constraint on commercial freedom while maintaining its protective function for genuine dependency relationships.</w:t>
      </w:r>
    </w:p>
    <w:p w14:paraId="4DF84065" w14:textId="2C189009"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lastRenderedPageBreak/>
        <w:t>Austrian courts consistently favo</w:t>
      </w:r>
      <w:r w:rsidR="00E940A1">
        <w:rPr>
          <w:rFonts w:ascii="Times New Roman" w:hAnsi="Times New Roman" w:cs="Times New Roman"/>
          <w:bCs/>
          <w:lang w:val="en-GB"/>
        </w:rPr>
        <w:t>u</w:t>
      </w:r>
      <w:r w:rsidRPr="00FA54ED">
        <w:rPr>
          <w:rFonts w:ascii="Times New Roman" w:hAnsi="Times New Roman" w:cs="Times New Roman"/>
          <w:bCs/>
          <w:lang w:val="en-GB"/>
        </w:rPr>
        <w:t>r</w:t>
      </w:r>
      <w:r w:rsidR="00B72BD5" w:rsidRPr="00FA54ED">
        <w:rPr>
          <w:rFonts w:ascii="Times New Roman" w:hAnsi="Times New Roman" w:cs="Times New Roman"/>
          <w:bCs/>
          <w:lang w:val="en-GB"/>
        </w:rPr>
        <w:t>ed</w:t>
      </w:r>
      <w:r w:rsidRPr="00FA54ED">
        <w:rPr>
          <w:rFonts w:ascii="Times New Roman" w:hAnsi="Times New Roman" w:cs="Times New Roman"/>
          <w:bCs/>
          <w:lang w:val="en-GB"/>
        </w:rPr>
        <w:t xml:space="preserve"> targeted behavio</w:t>
      </w:r>
      <w:r w:rsidR="00E940A1">
        <w:rPr>
          <w:rFonts w:ascii="Times New Roman" w:hAnsi="Times New Roman" w:cs="Times New Roman"/>
          <w:bCs/>
          <w:lang w:val="en-GB"/>
        </w:rPr>
        <w:t>u</w:t>
      </w:r>
      <w:r w:rsidRPr="00FA54ED">
        <w:rPr>
          <w:rFonts w:ascii="Times New Roman" w:hAnsi="Times New Roman" w:cs="Times New Roman"/>
          <w:bCs/>
          <w:lang w:val="en-GB"/>
        </w:rPr>
        <w:t>ral remedies (cessation of specific abusive practices) over structural market intervention. This approach preserves efficient vertical relationships while addressing harmful conduct, demonstrating how competition law can protect competitive processes without disrupting ben</w:t>
      </w:r>
      <w:r w:rsidR="00971A4F" w:rsidRPr="00FA54ED">
        <w:rPr>
          <w:rFonts w:ascii="Times New Roman" w:hAnsi="Times New Roman" w:cs="Times New Roman"/>
          <w:bCs/>
          <w:lang w:val="en-GB"/>
        </w:rPr>
        <w:t xml:space="preserve">eficial commercial arrangements and maintaining appropriate limits on regulatory intervention. </w:t>
      </w:r>
    </w:p>
    <w:p w14:paraId="17312FF6" w14:textId="63465285"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t>The case law provides clear guidance for business relationships through quantified dependency thresholds, multi-factor dependency assessments, and established abuse categories. This</w:t>
      </w:r>
      <w:r w:rsidR="00B72BD5" w:rsidRPr="00FA54ED">
        <w:rPr>
          <w:rFonts w:ascii="Times New Roman" w:hAnsi="Times New Roman" w:cs="Times New Roman"/>
          <w:bCs/>
          <w:lang w:val="en-GB"/>
        </w:rPr>
        <w:t xml:space="preserve"> legal</w:t>
      </w:r>
      <w:r w:rsidRPr="00FA54ED">
        <w:rPr>
          <w:rFonts w:ascii="Times New Roman" w:hAnsi="Times New Roman" w:cs="Times New Roman"/>
          <w:bCs/>
          <w:lang w:val="en-GB"/>
        </w:rPr>
        <w:t xml:space="preserve"> predictability enables parties to structure relationships appropriately while providing courts with workable analytical tools.</w:t>
      </w:r>
      <w:r w:rsidR="00FB4115" w:rsidRPr="00FA54ED">
        <w:rPr>
          <w:rFonts w:ascii="Times New Roman" w:hAnsi="Times New Roman" w:cs="Times New Roman"/>
          <w:bCs/>
          <w:lang w:val="en-GB"/>
        </w:rPr>
        <w:t xml:space="preserve"> </w:t>
      </w:r>
    </w:p>
    <w:p w14:paraId="247DEC67" w14:textId="164C9900"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t>The Austrian experience offers valuable insights for addressing contemporary competition challenges in digital markets, platform economies, and global supply chains. The doctrine's focus on economic dependencies and relationship-specific investments provides analytical tools particularly relevant for addressing competitive concerns in these evolving market structures.</w:t>
      </w:r>
      <w:r w:rsidR="00FB4115" w:rsidRPr="00FA54ED">
        <w:rPr>
          <w:rFonts w:ascii="Times New Roman" w:hAnsi="Times New Roman" w:cs="Times New Roman"/>
          <w:bCs/>
          <w:lang w:val="en-GB"/>
        </w:rPr>
        <w:t xml:space="preserve"> The concern that the instrument could be employed for protectionist purposes </w:t>
      </w:r>
      <w:r w:rsidR="009A33EE" w:rsidRPr="00FA54ED">
        <w:rPr>
          <w:rFonts w:ascii="Times New Roman" w:hAnsi="Times New Roman" w:cs="Times New Roman"/>
          <w:bCs/>
          <w:lang w:val="en-GB"/>
        </w:rPr>
        <w:t xml:space="preserve">has not </w:t>
      </w:r>
      <w:r w:rsidR="00C75C41" w:rsidRPr="00FA54ED">
        <w:rPr>
          <w:rFonts w:ascii="Times New Roman" w:hAnsi="Times New Roman" w:cs="Times New Roman"/>
          <w:bCs/>
          <w:lang w:val="en-GB"/>
        </w:rPr>
        <w:t>materialized in Austria.</w:t>
      </w:r>
    </w:p>
    <w:p w14:paraId="7BB01E22" w14:textId="3CF69CCA" w:rsidR="002E2014" w:rsidRPr="00FA54ED" w:rsidRDefault="002E2014" w:rsidP="009A2A10">
      <w:pPr>
        <w:pStyle w:val="Stext"/>
        <w:rPr>
          <w:rFonts w:ascii="Times New Roman" w:hAnsi="Times New Roman" w:cs="Times New Roman"/>
          <w:bCs/>
          <w:lang w:val="en-GB"/>
        </w:rPr>
      </w:pPr>
      <w:r w:rsidRPr="00FA54ED">
        <w:rPr>
          <w:rFonts w:ascii="Times New Roman" w:hAnsi="Times New Roman" w:cs="Times New Roman"/>
          <w:bCs/>
          <w:lang w:val="en-GB"/>
        </w:rPr>
        <w:t xml:space="preserve">The Austrian experience demonstrates that competition law can evolve beyond traditional market structure paradigms toward more nuanced approaches that capture actual competitive dynamics. This evolution </w:t>
      </w:r>
      <w:r w:rsidR="00971A4F" w:rsidRPr="00FA54ED">
        <w:rPr>
          <w:rFonts w:ascii="Times New Roman" w:hAnsi="Times New Roman" w:cs="Times New Roman"/>
          <w:bCs/>
          <w:lang w:val="en-GB"/>
        </w:rPr>
        <w:t>might prove</w:t>
      </w:r>
      <w:r w:rsidRPr="00FA54ED">
        <w:rPr>
          <w:rFonts w:ascii="Times New Roman" w:hAnsi="Times New Roman" w:cs="Times New Roman"/>
          <w:bCs/>
          <w:lang w:val="en-GB"/>
        </w:rPr>
        <w:t xml:space="preserve"> particularly valuable as economies</w:t>
      </w:r>
      <w:r w:rsidR="00E940A1">
        <w:rPr>
          <w:rFonts w:ascii="Times New Roman" w:hAnsi="Times New Roman" w:cs="Times New Roman"/>
          <w:bCs/>
          <w:lang w:val="en-GB"/>
        </w:rPr>
        <w:t xml:space="preserve"> become increasingly characteris</w:t>
      </w:r>
      <w:r w:rsidRPr="00FA54ED">
        <w:rPr>
          <w:rFonts w:ascii="Times New Roman" w:hAnsi="Times New Roman" w:cs="Times New Roman"/>
          <w:bCs/>
          <w:lang w:val="en-GB"/>
        </w:rPr>
        <w:t>ed by vertical integration, platform mediation, and relationship-specific investments that create dependencies transcending simple market share calculations.</w:t>
      </w:r>
    </w:p>
    <w:p w14:paraId="4273909E" w14:textId="7BFAA595" w:rsidR="00B12C7B" w:rsidRPr="00FA54ED" w:rsidRDefault="00D05A59" w:rsidP="00D05A59">
      <w:pPr>
        <w:pStyle w:val="Stext"/>
        <w:ind w:left="567" w:hanging="567"/>
        <w:rPr>
          <w:rFonts w:ascii="Times New Roman" w:hAnsi="Times New Roman" w:cs="Times New Roman"/>
          <w:b/>
          <w:lang w:val="en-GB"/>
        </w:rPr>
      </w:pPr>
      <w:r w:rsidRPr="00FA54ED">
        <w:rPr>
          <w:rFonts w:ascii="Times New Roman" w:hAnsi="Times New Roman" w:cs="Times New Roman"/>
          <w:b/>
          <w:lang w:val="en-GB"/>
        </w:rPr>
        <w:t>4.</w:t>
      </w:r>
      <w:r w:rsidRPr="00FA54ED">
        <w:rPr>
          <w:rFonts w:ascii="Times New Roman" w:hAnsi="Times New Roman" w:cs="Times New Roman"/>
          <w:b/>
          <w:lang w:val="en-GB"/>
        </w:rPr>
        <w:tab/>
        <w:t>Summary</w:t>
      </w:r>
    </w:p>
    <w:p w14:paraId="1EB78EB7" w14:textId="6195CF96" w:rsidR="00D05A59" w:rsidRPr="00FA54ED" w:rsidRDefault="00D05A59" w:rsidP="009A2A10">
      <w:pPr>
        <w:pStyle w:val="Stext"/>
        <w:rPr>
          <w:rFonts w:ascii="Times New Roman" w:hAnsi="Times New Roman" w:cs="Times New Roman"/>
          <w:bCs/>
          <w:lang w:val="en-GB"/>
        </w:rPr>
      </w:pPr>
      <w:r w:rsidRPr="00FA54ED">
        <w:rPr>
          <w:rFonts w:ascii="Times New Roman" w:hAnsi="Times New Roman" w:cs="Times New Roman"/>
          <w:bCs/>
          <w:lang w:val="en-GB"/>
        </w:rPr>
        <w:t>The below summary follows the questionnaire issued for question A to be dealt with at the LIDC Congress in Vienna in October 2025. The reporters take the liberty not to answer each question individually, but to focus on those issues that are most relevant for Austria.</w:t>
      </w:r>
    </w:p>
    <w:p w14:paraId="1B632173" w14:textId="57F09BEB" w:rsidR="00223471" w:rsidRPr="00FA54ED" w:rsidRDefault="00223471" w:rsidP="009A2A10">
      <w:pPr>
        <w:pStyle w:val="Stext"/>
        <w:rPr>
          <w:rFonts w:ascii="Times New Roman" w:hAnsi="Times New Roman" w:cs="Times New Roman"/>
          <w:bCs/>
          <w:lang w:val="en-GB"/>
        </w:rPr>
      </w:pPr>
      <w:r w:rsidRPr="00FA54ED">
        <w:rPr>
          <w:rFonts w:ascii="Times New Roman" w:hAnsi="Times New Roman" w:cs="Times New Roman"/>
          <w:i/>
          <w:lang w:val="en-GB"/>
        </w:rPr>
        <w:t xml:space="preserve">Origin and Development of Rules Relating to Relative Market Power: </w:t>
      </w:r>
      <w:r w:rsidRPr="00FA54ED">
        <w:rPr>
          <w:rFonts w:ascii="Times New Roman" w:hAnsi="Times New Roman" w:cs="Times New Roman"/>
          <w:bCs/>
          <w:lang w:val="en-GB"/>
        </w:rPr>
        <w:t xml:space="preserve">As probably in most other jurisdictions, there are many rules in Austrian law dealing with imbalances in negotiating power, from usury rules in general civil law to consumer protection, unfair competition law and sector regulation. Specific antitrust rules embracing the relative market power doctrine were introduced </w:t>
      </w:r>
      <w:r w:rsidR="00896F8A" w:rsidRPr="00FA54ED">
        <w:rPr>
          <w:rFonts w:ascii="Times New Roman" w:hAnsi="Times New Roman" w:cs="Times New Roman"/>
          <w:bCs/>
          <w:lang w:val="en-GB"/>
        </w:rPr>
        <w:t xml:space="preserve">into the Cartel Act </w:t>
      </w:r>
      <w:r w:rsidRPr="00FA54ED">
        <w:rPr>
          <w:rFonts w:ascii="Times New Roman" w:hAnsi="Times New Roman" w:cs="Times New Roman"/>
          <w:bCs/>
          <w:lang w:val="en-GB"/>
        </w:rPr>
        <w:t>in 1988, with no sector-specific focus.</w:t>
      </w:r>
      <w:r w:rsidR="00A45A31" w:rsidRPr="00FA54ED">
        <w:rPr>
          <w:rFonts w:ascii="Times New Roman" w:hAnsi="Times New Roman" w:cs="Times New Roman"/>
          <w:bCs/>
          <w:lang w:val="en-GB"/>
        </w:rPr>
        <w:t xml:space="preserve"> While the respective statutes have changed little over time (with some additions </w:t>
      </w:r>
      <w:r w:rsidR="00896F8A" w:rsidRPr="00FA54ED">
        <w:rPr>
          <w:rFonts w:ascii="Times New Roman" w:hAnsi="Times New Roman" w:cs="Times New Roman"/>
          <w:bCs/>
          <w:lang w:val="en-GB"/>
        </w:rPr>
        <w:t xml:space="preserve">concerning </w:t>
      </w:r>
      <w:r w:rsidR="00A45A31" w:rsidRPr="00FA54ED">
        <w:rPr>
          <w:rFonts w:ascii="Times New Roman" w:hAnsi="Times New Roman" w:cs="Times New Roman"/>
          <w:bCs/>
          <w:lang w:val="en-GB"/>
        </w:rPr>
        <w:t xml:space="preserve">digital markets in 2021), the doctrine has been further developed and refined in a number of Cartel Court cases, notably from the film distribution industry and </w:t>
      </w:r>
      <w:r w:rsidR="00896F8A" w:rsidRPr="00FA54ED">
        <w:rPr>
          <w:rFonts w:ascii="Times New Roman" w:hAnsi="Times New Roman" w:cs="Times New Roman"/>
          <w:bCs/>
          <w:lang w:val="en-GB"/>
        </w:rPr>
        <w:t xml:space="preserve">from </w:t>
      </w:r>
      <w:r w:rsidR="00A45A31" w:rsidRPr="00FA54ED">
        <w:rPr>
          <w:rFonts w:ascii="Times New Roman" w:hAnsi="Times New Roman" w:cs="Times New Roman"/>
          <w:bCs/>
          <w:lang w:val="en-GB"/>
        </w:rPr>
        <w:t xml:space="preserve">car distribution. On average, about one relative market power case is decided by the Austrian courts </w:t>
      </w:r>
      <w:r w:rsidR="00B96AA6">
        <w:rPr>
          <w:rFonts w:ascii="Times New Roman" w:hAnsi="Times New Roman" w:cs="Times New Roman"/>
          <w:bCs/>
          <w:lang w:val="en-GB"/>
        </w:rPr>
        <w:t xml:space="preserve">every second </w:t>
      </w:r>
      <w:r w:rsidR="00A45A31" w:rsidRPr="00FA54ED">
        <w:rPr>
          <w:rFonts w:ascii="Times New Roman" w:hAnsi="Times New Roman" w:cs="Times New Roman"/>
          <w:bCs/>
          <w:lang w:val="en-GB"/>
        </w:rPr>
        <w:t xml:space="preserve">year, with most of the applications being brought by private parties, sometimes followed on by public enforcement of the </w:t>
      </w:r>
      <w:r w:rsidR="00E940A1">
        <w:rPr>
          <w:rFonts w:ascii="Times New Roman" w:hAnsi="Times New Roman" w:cs="Times New Roman"/>
          <w:bCs/>
          <w:lang w:val="en-GB"/>
        </w:rPr>
        <w:t>A</w:t>
      </w:r>
      <w:r w:rsidR="00A45A31" w:rsidRPr="00FA54ED">
        <w:rPr>
          <w:rFonts w:ascii="Times New Roman" w:hAnsi="Times New Roman" w:cs="Times New Roman"/>
          <w:bCs/>
          <w:lang w:val="en-GB"/>
        </w:rPr>
        <w:t>FCA.</w:t>
      </w:r>
      <w:r w:rsidR="00896F8A" w:rsidRPr="00FA54ED">
        <w:rPr>
          <w:rFonts w:ascii="Times New Roman" w:hAnsi="Times New Roman" w:cs="Times New Roman"/>
          <w:bCs/>
          <w:lang w:val="en-GB"/>
        </w:rPr>
        <w:t xml:space="preserve"> Note that all cases decided in Austria so far concerned relative market power in vertical relations. As far as we can see, no horizontal relative market power cases have been litigated in Austria </w:t>
      </w:r>
      <w:r w:rsidR="00C94DDA" w:rsidRPr="00FA54ED">
        <w:rPr>
          <w:rFonts w:ascii="Times New Roman" w:hAnsi="Times New Roman" w:cs="Times New Roman"/>
          <w:bCs/>
          <w:lang w:val="en-GB"/>
        </w:rPr>
        <w:t xml:space="preserve">to date </w:t>
      </w:r>
      <w:r w:rsidR="00896F8A" w:rsidRPr="00FA54ED">
        <w:rPr>
          <w:rFonts w:ascii="Times New Roman" w:hAnsi="Times New Roman" w:cs="Times New Roman"/>
          <w:bCs/>
          <w:lang w:val="en-GB"/>
        </w:rPr>
        <w:t>(although this concept exists in the Cartel Act).</w:t>
      </w:r>
    </w:p>
    <w:p w14:paraId="4EA4A06F" w14:textId="3E581125" w:rsidR="00A45A31" w:rsidRPr="00FA54ED" w:rsidRDefault="00FD7F71" w:rsidP="009A2A10">
      <w:pPr>
        <w:pStyle w:val="Stext"/>
        <w:rPr>
          <w:rFonts w:ascii="Times New Roman" w:hAnsi="Times New Roman" w:cs="Times New Roman"/>
          <w:bCs/>
          <w:lang w:val="en-GB"/>
        </w:rPr>
      </w:pPr>
      <w:r w:rsidRPr="00FA54ED">
        <w:rPr>
          <w:rFonts w:ascii="Times New Roman" w:hAnsi="Times New Roman" w:cs="Times New Roman"/>
          <w:i/>
          <w:lang w:val="en-GB"/>
        </w:rPr>
        <w:t>Criteria for the Definition of Relative Market Power</w:t>
      </w:r>
      <w:r w:rsidRPr="00FA54ED">
        <w:rPr>
          <w:rFonts w:ascii="Times New Roman" w:hAnsi="Times New Roman" w:cs="Times New Roman"/>
          <w:bCs/>
          <w:i/>
          <w:lang w:val="en-GB"/>
        </w:rPr>
        <w:t>:</w:t>
      </w:r>
      <w:r w:rsidRPr="00FA54ED">
        <w:rPr>
          <w:rFonts w:ascii="Times New Roman" w:hAnsi="Times New Roman" w:cs="Times New Roman"/>
          <w:bCs/>
          <w:lang w:val="en-GB"/>
        </w:rPr>
        <w:t xml:space="preserve"> </w:t>
      </w:r>
      <w:r w:rsidR="00896F8A" w:rsidRPr="00FA54ED">
        <w:rPr>
          <w:rFonts w:ascii="Times New Roman" w:hAnsi="Times New Roman" w:cs="Times New Roman"/>
          <w:bCs/>
          <w:lang w:val="en-GB"/>
        </w:rPr>
        <w:t xml:space="preserve">Under Austrian law, economic dependency is the crucial concept for a finding of </w:t>
      </w:r>
      <w:r w:rsidR="00C94DDA" w:rsidRPr="00FA54ED">
        <w:rPr>
          <w:rFonts w:ascii="Times New Roman" w:hAnsi="Times New Roman" w:cs="Times New Roman"/>
          <w:bCs/>
          <w:lang w:val="en-GB"/>
        </w:rPr>
        <w:t xml:space="preserve">(vertical) </w:t>
      </w:r>
      <w:r w:rsidR="00896F8A" w:rsidRPr="00FA54ED">
        <w:rPr>
          <w:rFonts w:ascii="Times New Roman" w:hAnsi="Times New Roman" w:cs="Times New Roman"/>
          <w:bCs/>
          <w:lang w:val="en-GB"/>
        </w:rPr>
        <w:t xml:space="preserve">relative market power. </w:t>
      </w:r>
      <w:r w:rsidR="00C94DDA" w:rsidRPr="00FA54ED">
        <w:rPr>
          <w:rFonts w:ascii="Times New Roman" w:hAnsi="Times New Roman" w:cs="Times New Roman"/>
          <w:bCs/>
          <w:lang w:val="en-GB"/>
        </w:rPr>
        <w:t>The Austrian courts have operationalized the concept through a sophisticated economic dependency analysis that examines:</w:t>
      </w:r>
    </w:p>
    <w:p w14:paraId="15D653E4" w14:textId="77777777" w:rsidR="00896F8A" w:rsidRPr="00FA54ED" w:rsidRDefault="00896F8A" w:rsidP="00896F8A">
      <w:pPr>
        <w:pStyle w:val="Stext"/>
        <w:spacing w:before="0"/>
        <w:ind w:left="1418"/>
        <w:rPr>
          <w:rFonts w:ascii="Times New Roman" w:hAnsi="Times New Roman" w:cs="Times New Roman"/>
          <w:bCs/>
          <w:lang w:val="en-GB"/>
        </w:rPr>
      </w:pPr>
      <w:r w:rsidRPr="00FA54ED">
        <w:rPr>
          <w:rFonts w:ascii="Times New Roman" w:hAnsi="Times New Roman" w:cs="Times New Roman"/>
          <w:bCs/>
          <w:lang w:val="en-GB"/>
        </w:rPr>
        <w:t>- Revenue concentration and switching costs,</w:t>
      </w:r>
    </w:p>
    <w:p w14:paraId="5A5D1DE1" w14:textId="77777777" w:rsidR="00896F8A" w:rsidRPr="00FA54ED" w:rsidRDefault="00896F8A" w:rsidP="00896F8A">
      <w:pPr>
        <w:pStyle w:val="Stext"/>
        <w:spacing w:before="0"/>
        <w:ind w:left="1418"/>
        <w:rPr>
          <w:rFonts w:ascii="Times New Roman" w:hAnsi="Times New Roman" w:cs="Times New Roman"/>
          <w:bCs/>
          <w:lang w:val="en-GB"/>
        </w:rPr>
      </w:pPr>
      <w:r w:rsidRPr="00FA54ED">
        <w:rPr>
          <w:rFonts w:ascii="Times New Roman" w:hAnsi="Times New Roman" w:cs="Times New Roman"/>
          <w:bCs/>
          <w:lang w:val="en-GB"/>
        </w:rPr>
        <w:t>- Relationship-specific investments and sunk costs,</w:t>
      </w:r>
    </w:p>
    <w:p w14:paraId="41502897" w14:textId="77777777" w:rsidR="00896F8A" w:rsidRPr="00FA54ED" w:rsidRDefault="00896F8A" w:rsidP="00896F8A">
      <w:pPr>
        <w:pStyle w:val="Stext"/>
        <w:spacing w:before="0"/>
        <w:ind w:left="1418"/>
        <w:rPr>
          <w:rFonts w:ascii="Times New Roman" w:hAnsi="Times New Roman" w:cs="Times New Roman"/>
          <w:bCs/>
          <w:lang w:val="en-GB"/>
        </w:rPr>
      </w:pPr>
      <w:r w:rsidRPr="00FA54ED">
        <w:rPr>
          <w:rFonts w:ascii="Times New Roman" w:hAnsi="Times New Roman" w:cs="Times New Roman"/>
          <w:bCs/>
          <w:lang w:val="en-GB"/>
        </w:rPr>
        <w:t>- Availability of adequate alternative supply sources,</w:t>
      </w:r>
    </w:p>
    <w:p w14:paraId="3B31F941" w14:textId="77777777" w:rsidR="00896F8A" w:rsidRPr="00FA54ED" w:rsidRDefault="00896F8A" w:rsidP="00896F8A">
      <w:pPr>
        <w:pStyle w:val="Stext"/>
        <w:spacing w:before="0"/>
        <w:ind w:left="1418"/>
        <w:rPr>
          <w:rFonts w:ascii="Times New Roman" w:hAnsi="Times New Roman" w:cs="Times New Roman"/>
          <w:bCs/>
          <w:lang w:val="en-GB"/>
        </w:rPr>
      </w:pPr>
      <w:r w:rsidRPr="00FA54ED">
        <w:rPr>
          <w:rFonts w:ascii="Times New Roman" w:hAnsi="Times New Roman" w:cs="Times New Roman"/>
          <w:bCs/>
          <w:lang w:val="en-GB"/>
        </w:rPr>
        <w:t>- Temporal dynamics of dependency (rolling dominance),</w:t>
      </w:r>
    </w:p>
    <w:p w14:paraId="073408A2" w14:textId="77777777" w:rsidR="00896F8A" w:rsidRPr="00FA54ED" w:rsidRDefault="00896F8A" w:rsidP="00896F8A">
      <w:pPr>
        <w:pStyle w:val="Stext"/>
        <w:spacing w:before="0"/>
        <w:ind w:left="1418"/>
        <w:rPr>
          <w:rFonts w:ascii="Times New Roman" w:hAnsi="Times New Roman" w:cs="Times New Roman"/>
          <w:bCs/>
          <w:lang w:val="en-GB"/>
        </w:rPr>
      </w:pPr>
      <w:r w:rsidRPr="00FA54ED">
        <w:rPr>
          <w:rFonts w:ascii="Times New Roman" w:hAnsi="Times New Roman" w:cs="Times New Roman"/>
          <w:bCs/>
          <w:lang w:val="en-GB"/>
        </w:rPr>
        <w:t>- Foreseeability and mitigation obligations.</w:t>
      </w:r>
    </w:p>
    <w:p w14:paraId="723BF668" w14:textId="3103CBB9" w:rsidR="00896F8A" w:rsidRPr="00FA54ED" w:rsidRDefault="00C94DDA" w:rsidP="009A2A10">
      <w:pPr>
        <w:pStyle w:val="Stext"/>
        <w:rPr>
          <w:rFonts w:ascii="Times New Roman" w:hAnsi="Times New Roman" w:cs="Times New Roman"/>
          <w:bCs/>
          <w:lang w:val="en-GB"/>
        </w:rPr>
      </w:pPr>
      <w:r w:rsidRPr="00FA54ED">
        <w:rPr>
          <w:rFonts w:ascii="Times New Roman" w:hAnsi="Times New Roman" w:cs="Times New Roman"/>
          <w:bCs/>
          <w:lang w:val="en-GB"/>
        </w:rPr>
        <w:lastRenderedPageBreak/>
        <w:t>In t</w:t>
      </w:r>
      <w:r w:rsidR="00896F8A" w:rsidRPr="00FA54ED">
        <w:rPr>
          <w:rFonts w:ascii="Times New Roman" w:hAnsi="Times New Roman" w:cs="Times New Roman"/>
          <w:bCs/>
          <w:lang w:val="en-GB"/>
        </w:rPr>
        <w:t>he case law</w:t>
      </w:r>
      <w:r w:rsidRPr="00FA54ED">
        <w:rPr>
          <w:rFonts w:ascii="Times New Roman" w:hAnsi="Times New Roman" w:cs="Times New Roman"/>
          <w:bCs/>
          <w:lang w:val="en-GB"/>
        </w:rPr>
        <w:t>, we have seen</w:t>
      </w:r>
      <w:r w:rsidR="00896F8A" w:rsidRPr="00FA54ED">
        <w:rPr>
          <w:rFonts w:ascii="Times New Roman" w:hAnsi="Times New Roman" w:cs="Times New Roman"/>
          <w:bCs/>
          <w:lang w:val="en-GB"/>
        </w:rPr>
        <w:t xml:space="preserve"> an evolution from simple bilateral dependencies (individual dealer-supplier relationships) toward the recognition of structural dependencies affecting entire market segments</w:t>
      </w:r>
      <w:r w:rsidRPr="00FA54ED">
        <w:rPr>
          <w:rFonts w:ascii="Times New Roman" w:hAnsi="Times New Roman" w:cs="Times New Roman"/>
          <w:bCs/>
          <w:lang w:val="en-GB"/>
        </w:rPr>
        <w:t xml:space="preserve">, </w:t>
      </w:r>
      <w:r w:rsidR="00896F8A" w:rsidRPr="00FA54ED">
        <w:rPr>
          <w:rFonts w:ascii="Times New Roman" w:hAnsi="Times New Roman" w:cs="Times New Roman"/>
          <w:bCs/>
          <w:lang w:val="en-GB"/>
        </w:rPr>
        <w:t xml:space="preserve">demonstrating how dependency analysis can address collective rather than merely individual competitive concerns. </w:t>
      </w:r>
    </w:p>
    <w:p w14:paraId="2F541FAD" w14:textId="3360B548" w:rsidR="00896F8A" w:rsidRPr="00FA54ED" w:rsidRDefault="00C94DDA" w:rsidP="009A2A10">
      <w:pPr>
        <w:pStyle w:val="Stext"/>
        <w:rPr>
          <w:rFonts w:ascii="Times New Roman" w:hAnsi="Times New Roman" w:cs="Times New Roman"/>
          <w:bCs/>
          <w:lang w:val="en-GB"/>
        </w:rPr>
      </w:pPr>
      <w:r w:rsidRPr="00FA54ED">
        <w:rPr>
          <w:rFonts w:ascii="Times New Roman" w:hAnsi="Times New Roman" w:cs="Times New Roman"/>
          <w:bCs/>
          <w:lang w:val="en-GB"/>
        </w:rPr>
        <w:t xml:space="preserve">The </w:t>
      </w:r>
      <w:r w:rsidR="00896F8A" w:rsidRPr="00FA54ED">
        <w:rPr>
          <w:rFonts w:ascii="Times New Roman" w:hAnsi="Times New Roman" w:cs="Times New Roman"/>
          <w:bCs/>
          <w:lang w:val="en-GB"/>
        </w:rPr>
        <w:t xml:space="preserve">Austrian courts have shown </w:t>
      </w:r>
      <w:r w:rsidRPr="00FA54ED">
        <w:rPr>
          <w:rFonts w:ascii="Times New Roman" w:hAnsi="Times New Roman" w:cs="Times New Roman"/>
          <w:bCs/>
          <w:lang w:val="en-GB"/>
        </w:rPr>
        <w:t xml:space="preserve">remarkable </w:t>
      </w:r>
      <w:r w:rsidR="00896F8A" w:rsidRPr="00FA54ED">
        <w:rPr>
          <w:rFonts w:ascii="Times New Roman" w:hAnsi="Times New Roman" w:cs="Times New Roman"/>
          <w:bCs/>
          <w:lang w:val="en-GB"/>
        </w:rPr>
        <w:t>sensitivity to sector-specific competitive dynamics</w:t>
      </w:r>
      <w:r w:rsidRPr="00FA54ED">
        <w:rPr>
          <w:rFonts w:ascii="Times New Roman" w:hAnsi="Times New Roman" w:cs="Times New Roman"/>
          <w:bCs/>
          <w:lang w:val="en-GB"/>
        </w:rPr>
        <w:t xml:space="preserve">, adapting </w:t>
      </w:r>
      <w:r w:rsidR="00896F8A" w:rsidRPr="00FA54ED">
        <w:rPr>
          <w:rFonts w:ascii="Times New Roman" w:hAnsi="Times New Roman" w:cs="Times New Roman"/>
          <w:bCs/>
          <w:lang w:val="en-GB"/>
        </w:rPr>
        <w:t>the doctrine to different industry structures rather than applying one-size-fits-all solutions.</w:t>
      </w:r>
      <w:r w:rsidRPr="00FA54ED">
        <w:rPr>
          <w:rFonts w:ascii="Times New Roman" w:hAnsi="Times New Roman" w:cs="Times New Roman"/>
          <w:bCs/>
          <w:lang w:val="en-GB"/>
        </w:rPr>
        <w:t xml:space="preserve"> </w:t>
      </w:r>
      <w:r w:rsidR="00896F8A" w:rsidRPr="00FA54ED">
        <w:rPr>
          <w:rFonts w:ascii="Times New Roman" w:hAnsi="Times New Roman" w:cs="Times New Roman"/>
          <w:bCs/>
          <w:lang w:val="en-GB"/>
        </w:rPr>
        <w:t xml:space="preserve">The Austrian approach </w:t>
      </w:r>
      <w:r w:rsidRPr="00FA54ED">
        <w:rPr>
          <w:rFonts w:ascii="Times New Roman" w:hAnsi="Times New Roman" w:cs="Times New Roman"/>
          <w:bCs/>
          <w:lang w:val="en-GB"/>
        </w:rPr>
        <w:t xml:space="preserve">helps </w:t>
      </w:r>
      <w:r w:rsidR="00896F8A" w:rsidRPr="00FA54ED">
        <w:rPr>
          <w:rFonts w:ascii="Times New Roman" w:hAnsi="Times New Roman" w:cs="Times New Roman"/>
          <w:bCs/>
          <w:lang w:val="en-GB"/>
        </w:rPr>
        <w:t xml:space="preserve">to resolve the problematic mixing of narrow market definition with broad market power considerations. Rather than artificially manipulating market boundaries to achieve desired outcomes, </w:t>
      </w:r>
      <w:r w:rsidRPr="00FA54ED">
        <w:rPr>
          <w:rFonts w:ascii="Times New Roman" w:hAnsi="Times New Roman" w:cs="Times New Roman"/>
          <w:bCs/>
          <w:lang w:val="en-GB"/>
        </w:rPr>
        <w:t xml:space="preserve">the </w:t>
      </w:r>
      <w:r w:rsidR="00896F8A" w:rsidRPr="00FA54ED">
        <w:rPr>
          <w:rFonts w:ascii="Times New Roman" w:hAnsi="Times New Roman" w:cs="Times New Roman"/>
          <w:bCs/>
          <w:lang w:val="en-GB"/>
        </w:rPr>
        <w:t xml:space="preserve">Austrian courts focused directly on economic dependencies and </w:t>
      </w:r>
      <w:r w:rsidR="00C87EC0" w:rsidRPr="00FA54ED">
        <w:rPr>
          <w:rFonts w:ascii="Times New Roman" w:hAnsi="Times New Roman" w:cs="Times New Roman"/>
          <w:bCs/>
          <w:lang w:val="en-GB"/>
        </w:rPr>
        <w:t xml:space="preserve">on </w:t>
      </w:r>
      <w:r w:rsidR="00896F8A" w:rsidRPr="00FA54ED">
        <w:rPr>
          <w:rFonts w:ascii="Times New Roman" w:hAnsi="Times New Roman" w:cs="Times New Roman"/>
          <w:bCs/>
          <w:lang w:val="en-GB"/>
        </w:rPr>
        <w:t>constraints</w:t>
      </w:r>
      <w:r w:rsidR="00BC4F82" w:rsidRPr="00FA54ED">
        <w:rPr>
          <w:rFonts w:ascii="Times New Roman" w:hAnsi="Times New Roman" w:cs="Times New Roman"/>
          <w:bCs/>
          <w:lang w:val="en-GB"/>
        </w:rPr>
        <w:t xml:space="preserve"> for switching suppliers</w:t>
      </w:r>
      <w:r w:rsidR="00896F8A" w:rsidRPr="00FA54ED">
        <w:rPr>
          <w:rFonts w:ascii="Times New Roman" w:hAnsi="Times New Roman" w:cs="Times New Roman"/>
          <w:bCs/>
          <w:lang w:val="en-GB"/>
        </w:rPr>
        <w:t>, providing a more effective competitive analysis</w:t>
      </w:r>
      <w:r w:rsidR="00BC4F82" w:rsidRPr="00FA54ED">
        <w:rPr>
          <w:rFonts w:ascii="Times New Roman" w:hAnsi="Times New Roman" w:cs="Times New Roman"/>
          <w:bCs/>
          <w:lang w:val="en-GB"/>
        </w:rPr>
        <w:t xml:space="preserve"> than an analysis that is largely based on market definition</w:t>
      </w:r>
      <w:r w:rsidR="00896F8A" w:rsidRPr="00FA54ED">
        <w:rPr>
          <w:rFonts w:ascii="Times New Roman" w:hAnsi="Times New Roman" w:cs="Times New Roman"/>
          <w:bCs/>
          <w:lang w:val="en-GB"/>
        </w:rPr>
        <w:t>.</w:t>
      </w:r>
    </w:p>
    <w:p w14:paraId="5B0C2D08" w14:textId="55FB783F" w:rsidR="00896F8A" w:rsidRPr="00FA54ED" w:rsidRDefault="003553C4" w:rsidP="009A2A10">
      <w:pPr>
        <w:pStyle w:val="Stext"/>
        <w:rPr>
          <w:rFonts w:ascii="Times New Roman" w:hAnsi="Times New Roman" w:cs="Times New Roman"/>
          <w:bCs/>
          <w:lang w:val="en-GB"/>
        </w:rPr>
      </w:pPr>
      <w:r w:rsidRPr="00FA54ED">
        <w:rPr>
          <w:rFonts w:ascii="Times New Roman" w:hAnsi="Times New Roman" w:cs="Times New Roman"/>
          <w:i/>
          <w:lang w:val="en-GB"/>
        </w:rPr>
        <w:t>Abuse of Relative Market Power:</w:t>
      </w:r>
      <w:r w:rsidRPr="00FA54ED">
        <w:rPr>
          <w:rFonts w:ascii="Times New Roman" w:hAnsi="Times New Roman" w:cs="Times New Roman"/>
          <w:b/>
          <w:lang w:val="en-GB"/>
        </w:rPr>
        <w:t xml:space="preserve"> </w:t>
      </w:r>
      <w:r w:rsidRPr="00FA54ED">
        <w:rPr>
          <w:rFonts w:ascii="Times New Roman" w:hAnsi="Times New Roman" w:cs="Times New Roman"/>
          <w:bCs/>
          <w:lang w:val="en-GB"/>
        </w:rPr>
        <w:t>Austrian</w:t>
      </w:r>
      <w:r w:rsidRPr="00FA54ED">
        <w:rPr>
          <w:rFonts w:ascii="Times New Roman" w:hAnsi="Times New Roman" w:cs="Times New Roman"/>
          <w:b/>
          <w:lang w:val="en-GB"/>
        </w:rPr>
        <w:t xml:space="preserve"> </w:t>
      </w:r>
      <w:r w:rsidRPr="00FA54ED">
        <w:rPr>
          <w:rFonts w:ascii="Times New Roman" w:hAnsi="Times New Roman" w:cs="Times New Roman"/>
          <w:bCs/>
          <w:lang w:val="en-GB"/>
        </w:rPr>
        <w:t>case law in relative market pow</w:t>
      </w:r>
      <w:r w:rsidR="00E940A1">
        <w:rPr>
          <w:rFonts w:ascii="Times New Roman" w:hAnsi="Times New Roman" w:cs="Times New Roman"/>
          <w:bCs/>
          <w:lang w:val="en-GB"/>
        </w:rPr>
        <w:t>er constellations is characteris</w:t>
      </w:r>
      <w:r w:rsidRPr="00FA54ED">
        <w:rPr>
          <w:rFonts w:ascii="Times New Roman" w:hAnsi="Times New Roman" w:cs="Times New Roman"/>
          <w:bCs/>
          <w:lang w:val="en-GB"/>
        </w:rPr>
        <w:t>ed by meaningful limiting principles through proportionality tests an</w:t>
      </w:r>
      <w:r w:rsidR="00E940A1">
        <w:rPr>
          <w:rFonts w:ascii="Times New Roman" w:hAnsi="Times New Roman" w:cs="Times New Roman"/>
          <w:bCs/>
          <w:lang w:val="en-GB"/>
        </w:rPr>
        <w:t>d objective justification defenc</w:t>
      </w:r>
      <w:r w:rsidRPr="00FA54ED">
        <w:rPr>
          <w:rFonts w:ascii="Times New Roman" w:hAnsi="Times New Roman" w:cs="Times New Roman"/>
          <w:bCs/>
          <w:lang w:val="en-GB"/>
        </w:rPr>
        <w:t>es, preventing the doctrine from becoming an overly broad constraint on commercial freedom while maintaining its protective function for genuine dependency relationships.</w:t>
      </w:r>
      <w:r w:rsidR="006C2CE8" w:rsidRPr="00FA54ED">
        <w:rPr>
          <w:rFonts w:ascii="Times New Roman" w:hAnsi="Times New Roman" w:cs="Times New Roman"/>
          <w:bCs/>
          <w:lang w:val="en-GB"/>
        </w:rPr>
        <w:t xml:space="preserve"> This is true both for refusal-to-supply cases (which are most frequent) as well as for alleged </w:t>
      </w:r>
      <w:r w:rsidR="00C87EC0" w:rsidRPr="00FA54ED">
        <w:rPr>
          <w:rFonts w:ascii="Times New Roman" w:hAnsi="Times New Roman" w:cs="Times New Roman"/>
          <w:bCs/>
          <w:lang w:val="en-GB"/>
        </w:rPr>
        <w:t xml:space="preserve">price and non-price </w:t>
      </w:r>
      <w:r w:rsidR="006C2CE8" w:rsidRPr="00FA54ED">
        <w:rPr>
          <w:rFonts w:ascii="Times New Roman" w:hAnsi="Times New Roman" w:cs="Times New Roman"/>
          <w:bCs/>
          <w:lang w:val="en-GB"/>
        </w:rPr>
        <w:t>exploitation. So far, Austrian courts consistently favo</w:t>
      </w:r>
      <w:r w:rsidR="00E940A1">
        <w:rPr>
          <w:rFonts w:ascii="Times New Roman" w:hAnsi="Times New Roman" w:cs="Times New Roman"/>
          <w:bCs/>
          <w:lang w:val="en-GB"/>
        </w:rPr>
        <w:t>u</w:t>
      </w:r>
      <w:r w:rsidR="006C2CE8" w:rsidRPr="00FA54ED">
        <w:rPr>
          <w:rFonts w:ascii="Times New Roman" w:hAnsi="Times New Roman" w:cs="Times New Roman"/>
          <w:bCs/>
          <w:lang w:val="en-GB"/>
        </w:rPr>
        <w:t>red targeted behavio</w:t>
      </w:r>
      <w:r w:rsidR="00E940A1">
        <w:rPr>
          <w:rFonts w:ascii="Times New Roman" w:hAnsi="Times New Roman" w:cs="Times New Roman"/>
          <w:bCs/>
          <w:lang w:val="en-GB"/>
        </w:rPr>
        <w:t>u</w:t>
      </w:r>
      <w:r w:rsidR="006C2CE8" w:rsidRPr="00FA54ED">
        <w:rPr>
          <w:rFonts w:ascii="Times New Roman" w:hAnsi="Times New Roman" w:cs="Times New Roman"/>
          <w:bCs/>
          <w:lang w:val="en-GB"/>
        </w:rPr>
        <w:t xml:space="preserve">ral remedies (cessation of specific abusive practices) over structural market intervention, thus preserving efficient vertical relationships while addressing harmful conduct. In a couple of cases, the </w:t>
      </w:r>
      <w:r w:rsidR="00E940A1">
        <w:rPr>
          <w:rFonts w:ascii="Times New Roman" w:hAnsi="Times New Roman" w:cs="Times New Roman"/>
          <w:bCs/>
          <w:lang w:val="en-GB"/>
        </w:rPr>
        <w:t>A</w:t>
      </w:r>
      <w:r w:rsidR="006C2CE8" w:rsidRPr="00FA54ED">
        <w:rPr>
          <w:rFonts w:ascii="Times New Roman" w:hAnsi="Times New Roman" w:cs="Times New Roman"/>
          <w:bCs/>
          <w:lang w:val="en-GB"/>
        </w:rPr>
        <w:t xml:space="preserve">FCA </w:t>
      </w:r>
      <w:r w:rsidR="005A3517" w:rsidRPr="00FA54ED">
        <w:rPr>
          <w:rFonts w:ascii="Times New Roman" w:hAnsi="Times New Roman" w:cs="Times New Roman"/>
          <w:bCs/>
          <w:lang w:val="en-GB"/>
        </w:rPr>
        <w:t>strengthened these private enforcement measures by applying for follow-on fines.</w:t>
      </w:r>
    </w:p>
    <w:p w14:paraId="46AAD837" w14:textId="449A6DA0" w:rsidR="008008E7" w:rsidRPr="00FA54ED" w:rsidRDefault="008008E7" w:rsidP="009A2A10">
      <w:pPr>
        <w:pStyle w:val="Stext"/>
        <w:rPr>
          <w:rFonts w:ascii="Times New Roman" w:hAnsi="Times New Roman" w:cs="Times New Roman"/>
          <w:bCs/>
          <w:lang w:val="en-GB"/>
        </w:rPr>
      </w:pPr>
      <w:r w:rsidRPr="00FA54ED">
        <w:rPr>
          <w:rFonts w:ascii="Times New Roman" w:hAnsi="Times New Roman" w:cs="Times New Roman"/>
          <w:i/>
          <w:lang w:val="en-GB"/>
        </w:rPr>
        <w:t>General Assessment:</w:t>
      </w:r>
      <w:r w:rsidRPr="00FA54ED">
        <w:rPr>
          <w:rFonts w:ascii="Times New Roman" w:hAnsi="Times New Roman" w:cs="Times New Roman"/>
          <w:bCs/>
          <w:lang w:val="en-GB"/>
        </w:rPr>
        <w:t xml:space="preserve"> In Austria, the antitrust regime on relative market power has been a success. The respective rules much facilitate private enforcement against abusive unilateral behavio</w:t>
      </w:r>
      <w:r w:rsidR="00E940A1">
        <w:rPr>
          <w:rFonts w:ascii="Times New Roman" w:hAnsi="Times New Roman" w:cs="Times New Roman"/>
          <w:bCs/>
          <w:lang w:val="en-GB"/>
        </w:rPr>
        <w:t>u</w:t>
      </w:r>
      <w:r w:rsidRPr="00FA54ED">
        <w:rPr>
          <w:rFonts w:ascii="Times New Roman" w:hAnsi="Times New Roman" w:cs="Times New Roman"/>
          <w:bCs/>
          <w:lang w:val="en-GB"/>
        </w:rPr>
        <w:t xml:space="preserve">r in vertical relations and help to </w:t>
      </w:r>
      <w:r w:rsidR="008C26ED" w:rsidRPr="00FA54ED">
        <w:rPr>
          <w:rFonts w:ascii="Times New Roman" w:hAnsi="Times New Roman" w:cs="Times New Roman"/>
          <w:bCs/>
          <w:lang w:val="en-GB"/>
        </w:rPr>
        <w:t>overcome</w:t>
      </w:r>
      <w:r w:rsidRPr="00FA54ED">
        <w:rPr>
          <w:rFonts w:ascii="Times New Roman" w:hAnsi="Times New Roman" w:cs="Times New Roman"/>
          <w:bCs/>
          <w:lang w:val="en-GB"/>
        </w:rPr>
        <w:t xml:space="preserve"> the limitations of a traditional competitive analysis that focuses on market definition. This might prove </w:t>
      </w:r>
      <w:r w:rsidR="008C26ED" w:rsidRPr="00FA54ED">
        <w:rPr>
          <w:rFonts w:ascii="Times New Roman" w:hAnsi="Times New Roman" w:cs="Times New Roman"/>
          <w:bCs/>
          <w:lang w:val="en-GB"/>
        </w:rPr>
        <w:t xml:space="preserve">even more </w:t>
      </w:r>
      <w:r w:rsidRPr="00FA54ED">
        <w:rPr>
          <w:rFonts w:ascii="Times New Roman" w:hAnsi="Times New Roman" w:cs="Times New Roman"/>
          <w:bCs/>
          <w:lang w:val="en-GB"/>
        </w:rPr>
        <w:t xml:space="preserve">valuable </w:t>
      </w:r>
      <w:r w:rsidR="008C26ED" w:rsidRPr="00FA54ED">
        <w:rPr>
          <w:rFonts w:ascii="Times New Roman" w:hAnsi="Times New Roman" w:cs="Times New Roman"/>
          <w:bCs/>
          <w:lang w:val="en-GB"/>
        </w:rPr>
        <w:t xml:space="preserve">in the future, </w:t>
      </w:r>
      <w:r w:rsidRPr="00FA54ED">
        <w:rPr>
          <w:rFonts w:ascii="Times New Roman" w:hAnsi="Times New Roman" w:cs="Times New Roman"/>
          <w:bCs/>
          <w:lang w:val="en-GB"/>
        </w:rPr>
        <w:t>as economies</w:t>
      </w:r>
      <w:r w:rsidR="00E940A1">
        <w:rPr>
          <w:rFonts w:ascii="Times New Roman" w:hAnsi="Times New Roman" w:cs="Times New Roman"/>
          <w:bCs/>
          <w:lang w:val="en-GB"/>
        </w:rPr>
        <w:t xml:space="preserve"> become increasingly characteris</w:t>
      </w:r>
      <w:r w:rsidRPr="00FA54ED">
        <w:rPr>
          <w:rFonts w:ascii="Times New Roman" w:hAnsi="Times New Roman" w:cs="Times New Roman"/>
          <w:bCs/>
          <w:lang w:val="en-GB"/>
        </w:rPr>
        <w:t xml:space="preserve">ed by vertical integration, platform mediation, and relationship-specific investments that create </w:t>
      </w:r>
      <w:r w:rsidR="00E940A1" w:rsidRPr="00FA54ED">
        <w:rPr>
          <w:rFonts w:ascii="Times New Roman" w:hAnsi="Times New Roman" w:cs="Times New Roman"/>
          <w:bCs/>
          <w:lang w:val="en-GB"/>
        </w:rPr>
        <w:t>dependencies, which</w:t>
      </w:r>
      <w:r w:rsidR="00E633C5" w:rsidRPr="00FA54ED">
        <w:rPr>
          <w:rFonts w:ascii="Times New Roman" w:hAnsi="Times New Roman" w:cs="Times New Roman"/>
          <w:bCs/>
          <w:lang w:val="en-GB"/>
        </w:rPr>
        <w:t xml:space="preserve"> </w:t>
      </w:r>
      <w:r w:rsidR="008C26ED" w:rsidRPr="00FA54ED">
        <w:rPr>
          <w:rFonts w:ascii="Times New Roman" w:hAnsi="Times New Roman" w:cs="Times New Roman"/>
          <w:bCs/>
          <w:lang w:val="en-GB"/>
        </w:rPr>
        <w:t xml:space="preserve">are not properly reflected in </w:t>
      </w:r>
      <w:r w:rsidRPr="00FA54ED">
        <w:rPr>
          <w:rFonts w:ascii="Times New Roman" w:hAnsi="Times New Roman" w:cs="Times New Roman"/>
          <w:bCs/>
          <w:lang w:val="en-GB"/>
        </w:rPr>
        <w:t>simple market share calculations.</w:t>
      </w:r>
    </w:p>
    <w:p w14:paraId="10DAF3C0" w14:textId="5CFBAF25" w:rsidR="00D05A59" w:rsidRPr="00E940A1" w:rsidRDefault="00D05A59" w:rsidP="008C26ED">
      <w:pPr>
        <w:pStyle w:val="Stext"/>
        <w:ind w:left="567" w:hanging="567"/>
        <w:jc w:val="right"/>
        <w:rPr>
          <w:bCs/>
          <w:i/>
          <w:iCs/>
          <w:lang w:val="en-GB"/>
        </w:rPr>
      </w:pPr>
    </w:p>
    <w:sectPr w:rsidR="00D05A59" w:rsidRPr="00E940A1" w:rsidSect="00D923F3">
      <w:headerReference w:type="even" r:id="rId9"/>
      <w:headerReference w:type="default" r:id="rId10"/>
      <w:pgSz w:w="11906" w:h="16838" w:code="9"/>
      <w:pgMar w:top="2268" w:right="1418" w:bottom="1418" w:left="1418" w:header="720" w:footer="720" w:gutter="0"/>
      <w:pgNumType w:start="1"/>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52"/>
    </wne:keymap>
    <wne:keymap wne:kcmPrimary="0444">
      <wne:acd wne:acdName="acd54"/>
    </wne:keymap>
    <wne:keymap wne:kcmPrimary="0445">
      <wne:acd wne:acdName="acd59"/>
    </wne:keymap>
    <wne:keymap wne:kcmPrimary="0446">
      <wne:acd wne:acdName="acd55"/>
    </wne:keymap>
    <wne:keymap wne:kcmPrimary="0447">
      <wne:acd wne:acdName="acd56"/>
    </wne:keymap>
    <wne:keymap wne:kcmPrimary="0448">
      <wne:macro wne:macroName="PROJECT.ZY_90_RIBBON.SETLISTINGB"/>
    </wne:keymap>
    <wne:keymap wne:kcmPrimary="0449">
      <wne:acd wne:acdName="acd64"/>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65"/>
    </wne:keymap>
    <wne:keymap wne:kcmPrimary="0450">
      <wne:acd wne:acdName="acd66"/>
    </wne:keymap>
    <wne:keymap wne:kcmPrimary="0451">
      <wne:acd wne:acdName="acd57"/>
    </wne:keymap>
    <wne:keymap wne:kcmPrimary="0452">
      <wne:acd wne:acdName="acd60"/>
    </wne:keymap>
    <wne:keymap wne:kcmPrimary="0453">
      <wne:acd wne:acdName="acd53"/>
    </wne:keymap>
    <wne:keymap wne:kcmPrimary="0454">
      <wne:acd wne:acdName="acd61"/>
    </wne:keymap>
    <wne:keymap wne:kcmPrimary="0455">
      <wne:acd wne:acdName="acd63"/>
    </wne:keymap>
    <wne:keymap wne:kcmPrimary="0457">
      <wne:acd wne:acdName="acd58"/>
    </wne:keymap>
    <wne:keymap wne:kcmPrimary="0458">
      <wne:acd wne:acdName="acd67"/>
    </wne:keymap>
    <wne:keymap wne:kcmPrimary="0459">
      <wne:acd wne:acdName="acd51"/>
    </wne:keymap>
    <wne:keymap wne:kcmPrimary="045A">
      <wne:acd wne:acdName="acd6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cdName="acd36" wne:fciIndexBasedOn="0065"/>
    <wne:acd wne:acdName="acd37" wne:fciIndexBasedOn="0065"/>
    <wne:acd wne:acdName="acd38" wne:fciIndexBasedOn="0065"/>
    <wne:acd wne:acdName="acd39" wne:fciIndexBasedOn="0065"/>
    <wne:acd wne:acdName="acd40" wne:fciIndexBasedOn="0065"/>
    <wne:acd wne:acdName="acd41" wne:fciIndexBasedOn="0065"/>
    <wne:acd wne:acdName="acd42" wne:fciIndexBasedOn="0065"/>
    <wne:acd wne:acdName="acd43" wne:fciIndexBasedOn="0065"/>
    <wne:acd wne:acdName="acd44" wne:fciIndexBasedOn="0065"/>
    <wne:acd wne:acdName="acd45" wne:fciIndexBasedOn="0065"/>
    <wne:acd wne:acdName="acd46" wne:fciIndexBasedOn="0065"/>
    <wne:acd wne:acdName="acd47" wne:fciIndexBasedOn="0065"/>
    <wne:acd wne:acdName="acd48" wne:fciIndexBasedOn="0065"/>
    <wne:acd wne:acdName="acd49" wne:fciIndexBasedOn="0065"/>
    <wne:acd wne:acdName="acd50" wne:fciIndexBasedOn="0065"/>
    <wne:acd wne:argValue="AgBTAF8AdABlAHgAdABfAGEAcgBiAA==" wne:acdName="acd51" wne:fciIndexBasedOn="0065"/>
    <wne:acd wne:argValue="AgBTAF8AdABlAHgAdAAgADEAXwBhAHIAYgA=" wne:acdName="acd52" wne:fciIndexBasedOn="0065"/>
    <wne:acd wne:argValue="AgBTAF8AdABlAHgAdAAgADIAXwBhAHIAYgA=" wne:acdName="acd53" wne:fciIndexBasedOn="0065"/>
    <wne:acd wne:argValue="AgBTAF8AdABlAHgAdAAgADMAXwBhAHIAYgA=" wne:acdName="acd54" wne:fciIndexBasedOn="0065"/>
    <wne:acd wne:argValue="AgBTAF8AdABlAHgAdAAgADQAXwBhAHIAYgA=" wne:acdName="acd55" wne:fciIndexBasedOn="0065"/>
    <wne:acd wne:argValue="AgBTAF8AdABlAHgAdAAgADUAXwBhAHIAYgA=" wne:acdName="acd56" wne:fciIndexBasedOn="0065"/>
    <wne:acd wne:argValue="AgBTAF8AaABlAGEAZABpAG4AZwAgADEAXwBhAHIAYgA=" wne:acdName="acd57" wne:fciIndexBasedOn="0065"/>
    <wne:acd wne:argValue="AgBTAF8AaABlAGEAZABpAG4AZwAgADIAXwBhAHIAYgA=" wne:acdName="acd58" wne:fciIndexBasedOn="0065"/>
    <wne:acd wne:argValue="AgBTAF8AaABlAGEAZABpAG4AZwAgADMAXwBhAHIAYgA=" wne:acdName="acd59" wne:fciIndexBasedOn="0065"/>
    <wne:acd wne:argValue="AgBTAF8AaABlAGEAZABpAG4AZwAgADQAXwBhAHIAYgA=" wne:acdName="acd60" wne:fciIndexBasedOn="0065"/>
    <wne:acd wne:argValue="AgBTAF8AaABlAGEAZABpAG4AZwAgADUAXwBhAHIAYgA=" wne:acdName="acd61" wne:fciIndexBasedOn="0065"/>
    <wne:acd wne:argValue="AgBTAF8ATgB1AG0AYgBlAHIAZQBkACAAUABhAHIAYQBnAHIAYQBwAGgAIAAxAF8AYQByAGIA" wne:acdName="acd62" wne:fciIndexBasedOn="0065"/>
    <wne:acd wne:argValue="AgBTAF8ATgB1AG0AYgBlAHIAZQBkACAAUABhAHIAYQBnAHIAYQBwAGgAIAAyAF8AYQByAGIA" wne:acdName="acd63" wne:fciIndexBasedOn="0065"/>
    <wne:acd wne:argValue="AgBTAF8ATgB1AG0AYgBlAHIAZQBkACAAUABhAHIAYQBnAHIAYQBwAGgAIAAzAF8AYQByAGIA" wne:acdName="acd64" wne:fciIndexBasedOn="0065"/>
    <wne:acd wne:argValue="AgBTAF8ATgB1AG0AYgBlAHIAZQBkACAAUABhAHIAYQBnAHIAYQBwAGgAIAA0AF8AYQByAGIA" wne:acdName="acd65" wne:fciIndexBasedOn="0065"/>
    <wne:acd wne:argValue="AgBTAF8ATgB1AG0AYgBlAHIAZQBkACAAUABhAHIAYQBnAHIAYQBwAGgAIAA1AF8AYQByAGIA" wne:acdName="acd66" wne:fciIndexBasedOn="0065"/>
    <wne:acd wne:argValue="AgBTAF8AbQBhAHIAZwBpAG4AYQBsACAAbgB1AG0AYgBlAHIAXwBhAHIAYgA=" wne:acdName="acd6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FC8F" w14:textId="77777777" w:rsidR="009B249E" w:rsidRDefault="009B249E">
      <w:pPr>
        <w:pStyle w:val="Stext"/>
      </w:pPr>
      <w:r>
        <w:separator/>
      </w:r>
    </w:p>
    <w:p w14:paraId="1072DCC8" w14:textId="77777777" w:rsidR="009B249E" w:rsidRDefault="009B249E">
      <w:pPr>
        <w:pStyle w:val="Stext"/>
      </w:pPr>
    </w:p>
    <w:p w14:paraId="218CAE8A" w14:textId="77777777" w:rsidR="009B249E" w:rsidRDefault="009B249E">
      <w:pPr>
        <w:pStyle w:val="Stext"/>
      </w:pPr>
    </w:p>
    <w:p w14:paraId="2D109B5B" w14:textId="77777777" w:rsidR="009B249E" w:rsidRDefault="009B249E">
      <w:pPr>
        <w:pStyle w:val="Stext"/>
      </w:pPr>
    </w:p>
  </w:endnote>
  <w:endnote w:type="continuationSeparator" w:id="0">
    <w:p w14:paraId="2AEE70E5" w14:textId="77777777" w:rsidR="009B249E" w:rsidRDefault="009B249E">
      <w:pPr>
        <w:pStyle w:val="Stext"/>
      </w:pPr>
      <w:r>
        <w:continuationSeparator/>
      </w:r>
    </w:p>
    <w:p w14:paraId="186DBBDD" w14:textId="77777777" w:rsidR="009B249E" w:rsidRDefault="009B249E">
      <w:pPr>
        <w:pStyle w:val="Stext"/>
      </w:pPr>
    </w:p>
    <w:p w14:paraId="44CCC961" w14:textId="77777777" w:rsidR="009B249E" w:rsidRDefault="009B249E">
      <w:pPr>
        <w:pStyle w:val="Stext"/>
      </w:pPr>
    </w:p>
    <w:p w14:paraId="7F565BA3" w14:textId="77777777" w:rsidR="009B249E" w:rsidRDefault="009B249E">
      <w:pPr>
        <w:pStyle w:val="S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Pro 43 LtEx">
    <w:panose1 w:val="020B0503020202020204"/>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30D2" w14:textId="77777777" w:rsidR="009B249E" w:rsidRDefault="009B249E">
      <w:pPr>
        <w:pStyle w:val="Stext"/>
      </w:pPr>
      <w:r>
        <w:separator/>
      </w:r>
    </w:p>
  </w:footnote>
  <w:footnote w:type="continuationSeparator" w:id="0">
    <w:p w14:paraId="5A5EDB51" w14:textId="77777777" w:rsidR="009B249E" w:rsidRDefault="009B249E">
      <w:pPr>
        <w:pStyle w:val="Stext"/>
      </w:pPr>
      <w:r>
        <w:continuationSeparator/>
      </w:r>
    </w:p>
  </w:footnote>
  <w:footnote w:type="continuationNotice" w:id="1">
    <w:p w14:paraId="09328644" w14:textId="77777777" w:rsidR="009B249E" w:rsidRPr="00E77452" w:rsidRDefault="009B249E" w:rsidP="00BC0339">
      <w:pPr>
        <w:pStyle w:val="Stext"/>
      </w:pPr>
    </w:p>
  </w:footnote>
  <w:footnote w:id="2">
    <w:p w14:paraId="6DD32D26" w14:textId="1E6C91DF" w:rsidR="006A4193" w:rsidRPr="006A4193" w:rsidRDefault="006A4193" w:rsidP="006A4193">
      <w:pPr>
        <w:pStyle w:val="FootnoteText"/>
        <w:tabs>
          <w:tab w:val="clear" w:pos="340"/>
          <w:tab w:val="left" w:pos="0"/>
        </w:tabs>
        <w:ind w:left="142" w:hanging="142"/>
        <w:rPr>
          <w:lang w:val="en-GB"/>
        </w:rPr>
      </w:pPr>
      <w:r>
        <w:rPr>
          <w:rStyle w:val="FootnoteReference"/>
        </w:rPr>
        <w:footnoteRef/>
      </w:r>
      <w:r w:rsidRPr="006A4193">
        <w:rPr>
          <w:lang w:val="en-GB"/>
        </w:rPr>
        <w:t xml:space="preserve"> </w:t>
      </w:r>
      <w:r w:rsidRPr="00293950">
        <w:rPr>
          <w:rFonts w:ascii="Times New Roman" w:hAnsi="Times New Roman" w:cs="Times New Roman"/>
          <w:lang w:val="en-GB"/>
        </w:rPr>
        <w:t>The opinion expressed in this publication is the authors</w:t>
      </w:r>
      <w:r w:rsidR="00B96AA6">
        <w:rPr>
          <w:rFonts w:ascii="Times New Roman" w:hAnsi="Times New Roman" w:cs="Times New Roman"/>
          <w:lang w:val="en-GB"/>
        </w:rPr>
        <w:t>'</w:t>
      </w:r>
      <w:r w:rsidRPr="00293950">
        <w:rPr>
          <w:rFonts w:ascii="Times New Roman" w:hAnsi="Times New Roman" w:cs="Times New Roman"/>
          <w:lang w:val="en-GB"/>
        </w:rPr>
        <w:t xml:space="preserve"> and does not purport to reflect the opinions or views of the Austrian Federal Competition Authority.</w:t>
      </w:r>
    </w:p>
  </w:footnote>
  <w:footnote w:id="3">
    <w:p w14:paraId="2A0BC242" w14:textId="31ACCB3D" w:rsidR="000228DE" w:rsidRPr="000228DE" w:rsidRDefault="000228DE">
      <w:pPr>
        <w:pStyle w:val="FootnoteText"/>
        <w:rPr>
          <w:lang w:val="en-US"/>
        </w:rPr>
      </w:pPr>
      <w:r>
        <w:rPr>
          <w:rStyle w:val="FootnoteReference"/>
        </w:rPr>
        <w:footnoteRef/>
      </w:r>
      <w:r w:rsidRPr="000228DE">
        <w:rPr>
          <w:lang w:val="en-US"/>
        </w:rPr>
        <w:t xml:space="preserve"> </w:t>
      </w:r>
      <w:r w:rsidRPr="000228DE">
        <w:rPr>
          <w:lang w:val="en-US"/>
        </w:rPr>
        <w:tab/>
        <w:t xml:space="preserve">In about 20 judgements of the OGH, the concept of relative market power was mentioned, however often only </w:t>
      </w:r>
      <w:r w:rsidRPr="000228DE">
        <w:rPr>
          <w:i/>
          <w:iCs/>
          <w:lang w:val="en-US"/>
        </w:rPr>
        <w:t xml:space="preserve">obiter dicta </w:t>
      </w:r>
      <w:r w:rsidRPr="000228DE">
        <w:rPr>
          <w:lang w:val="en-US"/>
        </w:rPr>
        <w:t xml:space="preserve">and without detailed discussion. </w:t>
      </w:r>
      <w:r>
        <w:rPr>
          <w:lang w:val="en-US"/>
        </w:rPr>
        <w:t xml:space="preserve">The </w:t>
      </w:r>
      <w:r w:rsidR="008F0798">
        <w:rPr>
          <w:lang w:val="en-US"/>
        </w:rPr>
        <w:t>11</w:t>
      </w:r>
      <w:r>
        <w:rPr>
          <w:lang w:val="en-US"/>
        </w:rPr>
        <w:t xml:space="preserve"> decisions dealt with below, from the </w:t>
      </w:r>
      <w:r w:rsidR="00ED10F3">
        <w:rPr>
          <w:lang w:val="en-US"/>
        </w:rPr>
        <w:t xml:space="preserve">1997 </w:t>
      </w:r>
      <w:proofErr w:type="spellStart"/>
      <w:r w:rsidR="00ED10F3">
        <w:rPr>
          <w:i/>
          <w:iCs/>
          <w:lang w:val="en-US"/>
        </w:rPr>
        <w:t>Filmverleih</w:t>
      </w:r>
      <w:proofErr w:type="spellEnd"/>
      <w:r w:rsidR="00ED10F3">
        <w:rPr>
          <w:lang w:val="en-US"/>
        </w:rPr>
        <w:t xml:space="preserve">-case </w:t>
      </w:r>
      <w:r>
        <w:rPr>
          <w:lang w:val="en-US"/>
        </w:rPr>
        <w:t xml:space="preserve">to the 2021 </w:t>
      </w:r>
      <w:r>
        <w:rPr>
          <w:i/>
          <w:iCs/>
          <w:lang w:val="en-US"/>
        </w:rPr>
        <w:t>Peugeot</w:t>
      </w:r>
      <w:r>
        <w:rPr>
          <w:lang w:val="en-US"/>
        </w:rPr>
        <w:t>-case, provide most insight into the Supreme Court's thinking concerning this concept.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3ADC" w14:textId="77777777" w:rsidR="0060045F" w:rsidRDefault="00096C3E">
    <w:pPr>
      <w:pStyle w:val="Stext"/>
      <w:framePr w:wrap="around" w:vAnchor="text" w:hAnchor="margin" w:xAlign="center" w:y="1"/>
    </w:pPr>
    <w:r>
      <w:fldChar w:fldCharType="begin"/>
    </w:r>
    <w:r>
      <w:instrText xml:space="preserve">PAGE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B138" w14:textId="21768D59" w:rsidR="0060045F" w:rsidRDefault="00096C3E" w:rsidP="008D029B">
    <w:pPr>
      <w:pStyle w:val="Snumberofpages"/>
    </w:pPr>
    <w:r>
      <w:t xml:space="preserve">- </w:t>
    </w:r>
    <w:r>
      <w:fldChar w:fldCharType="begin"/>
    </w:r>
    <w:r>
      <w:instrText xml:space="preserve"> PAGE </w:instrText>
    </w:r>
    <w:r>
      <w:fldChar w:fldCharType="separate"/>
    </w:r>
    <w:r w:rsidR="00183E35">
      <w:rPr>
        <w:noProof/>
      </w:rPr>
      <w:t>15</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C2F"/>
    <w:multiLevelType w:val="hybridMultilevel"/>
    <w:tmpl w:val="97B6BB6C"/>
    <w:lvl w:ilvl="0" w:tplc="4DB0B3C4">
      <w:start w:val="1"/>
      <w:numFmt w:val="decimal"/>
      <w:lvlText w:val="(%1)"/>
      <w:lvlJc w:val="left"/>
      <w:pPr>
        <w:ind w:left="720" w:hanging="360"/>
      </w:pPr>
      <w:rPr>
        <w:b w:val="0"/>
        <w:bCs w:val="0"/>
        <w:i w:val="0"/>
        <w:iCs w:val="0"/>
        <w:sz w:val="16"/>
        <w:szCs w:val="16"/>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68638A"/>
    <w:multiLevelType w:val="multilevel"/>
    <w:tmpl w:val="CEC01F54"/>
    <w:lvl w:ilvl="0">
      <w:start w:val="2"/>
      <w:numFmt w:val="decimal"/>
      <w:lvlText w:val="%1"/>
      <w:lvlJc w:val="left"/>
      <w:pPr>
        <w:ind w:left="360" w:hanging="360"/>
      </w:pPr>
      <w:rPr>
        <w:rFonts w:hint="default"/>
        <w:i w:val="0"/>
      </w:rPr>
    </w:lvl>
    <w:lvl w:ilvl="1">
      <w:start w:val="6"/>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12F039E2"/>
    <w:multiLevelType w:val="multilevel"/>
    <w:tmpl w:val="8C98220E"/>
    <w:lvl w:ilvl="0">
      <w:start w:val="2"/>
      <w:numFmt w:val="decimal"/>
      <w:lvlText w:val="%1"/>
      <w:lvlJc w:val="left"/>
      <w:pPr>
        <w:ind w:left="360" w:hanging="36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5702CA8"/>
    <w:multiLevelType w:val="hybridMultilevel"/>
    <w:tmpl w:val="C096ABD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413225"/>
    <w:multiLevelType w:val="multilevel"/>
    <w:tmpl w:val="0758FED2"/>
    <w:lvl w:ilvl="0">
      <w:start w:val="2"/>
      <w:numFmt w:val="decimal"/>
      <w:lvlText w:val="%1"/>
      <w:lvlJc w:val="left"/>
      <w:pPr>
        <w:ind w:left="480" w:hanging="480"/>
      </w:pPr>
      <w:rPr>
        <w:rFonts w:hint="default"/>
        <w:i w:val="0"/>
      </w:rPr>
    </w:lvl>
    <w:lvl w:ilvl="1">
      <w:start w:val="13"/>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5" w15:restartNumberingAfterBreak="1">
    <w:nsid w:val="19A47314"/>
    <w:multiLevelType w:val="multilevel"/>
    <w:tmpl w:val="11344294"/>
    <w:name w:val="S heading_arb"/>
    <w:lvl w:ilvl="0">
      <w:start w:val="1"/>
      <w:numFmt w:val="upperRoman"/>
      <w:pStyle w:val="SheadingIarb"/>
      <w:lvlText w:val="%1."/>
      <w:lvlJc w:val="left"/>
      <w:pPr>
        <w:tabs>
          <w:tab w:val="num" w:pos="851"/>
        </w:tabs>
        <w:ind w:left="851" w:hanging="851"/>
      </w:pPr>
    </w:lvl>
    <w:lvl w:ilvl="1">
      <w:start w:val="1"/>
      <w:numFmt w:val="decimal"/>
      <w:pStyle w:val="Sheading1arb"/>
      <w:lvlText w:val="%2"/>
      <w:lvlJc w:val="left"/>
      <w:pPr>
        <w:tabs>
          <w:tab w:val="num" w:pos="851"/>
        </w:tabs>
        <w:ind w:left="851" w:hanging="851"/>
      </w:pPr>
    </w:lvl>
    <w:lvl w:ilvl="2">
      <w:start w:val="1"/>
      <w:numFmt w:val="decimal"/>
      <w:pStyle w:val="Sheading2arb"/>
      <w:lvlText w:val="%2.%3"/>
      <w:lvlJc w:val="left"/>
      <w:pPr>
        <w:tabs>
          <w:tab w:val="num" w:pos="851"/>
        </w:tabs>
        <w:ind w:left="851" w:hanging="851"/>
      </w:pPr>
    </w:lvl>
    <w:lvl w:ilvl="3">
      <w:start w:val="1"/>
      <w:numFmt w:val="decimal"/>
      <w:pStyle w:val="Sheading3arb"/>
      <w:lvlText w:val="%2.%3.%4"/>
      <w:lvlJc w:val="left"/>
      <w:pPr>
        <w:tabs>
          <w:tab w:val="num" w:pos="851"/>
        </w:tabs>
        <w:ind w:left="851" w:hanging="851"/>
      </w:pPr>
    </w:lvl>
    <w:lvl w:ilvl="4">
      <w:start w:val="1"/>
      <w:numFmt w:val="decimal"/>
      <w:pStyle w:val="Sheading4arb"/>
      <w:lvlText w:val="%2.%3.%4.%5"/>
      <w:lvlJc w:val="left"/>
      <w:pPr>
        <w:tabs>
          <w:tab w:val="num" w:pos="2269"/>
        </w:tabs>
        <w:ind w:left="2269" w:hanging="1418"/>
      </w:pPr>
    </w:lvl>
    <w:lvl w:ilvl="5">
      <w:start w:val="1"/>
      <w:numFmt w:val="decimal"/>
      <w:pStyle w:val="Sheading5arb"/>
      <w:lvlText w:val="%2.%3.%4.%5.%6"/>
      <w:lvlJc w:val="left"/>
      <w:pPr>
        <w:tabs>
          <w:tab w:val="num" w:pos="2269"/>
        </w:tabs>
        <w:ind w:left="2269" w:hanging="1418"/>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1">
    <w:nsid w:val="22A47319"/>
    <w:multiLevelType w:val="multilevel"/>
    <w:tmpl w:val="16454294"/>
    <w:name w:val="S headingL"/>
    <w:lvl w:ilvl="0">
      <w:start w:val="1"/>
      <w:numFmt w:val="upperRoman"/>
      <w:pStyle w:val="SheadingIL"/>
      <w:lvlText w:val="%1."/>
      <w:lvlJc w:val="left"/>
      <w:pPr>
        <w:tabs>
          <w:tab w:val="num" w:pos="964"/>
        </w:tabs>
        <w:ind w:left="964" w:hanging="964"/>
      </w:pPr>
    </w:lvl>
    <w:lvl w:ilvl="1">
      <w:start w:val="1"/>
      <w:numFmt w:val="decimal"/>
      <w:pStyle w:val="SheadingL1"/>
      <w:lvlText w:val="%2"/>
      <w:lvlJc w:val="left"/>
      <w:pPr>
        <w:tabs>
          <w:tab w:val="num" w:pos="964"/>
        </w:tabs>
        <w:ind w:left="964" w:hanging="964"/>
      </w:pPr>
    </w:lvl>
    <w:lvl w:ilvl="2">
      <w:start w:val="1"/>
      <w:numFmt w:val="decimal"/>
      <w:pStyle w:val="SheadingL2"/>
      <w:lvlText w:val="%2.%3"/>
      <w:lvlJc w:val="left"/>
      <w:pPr>
        <w:tabs>
          <w:tab w:val="num" w:pos="964"/>
        </w:tabs>
        <w:ind w:left="964" w:hanging="964"/>
      </w:pPr>
    </w:lvl>
    <w:lvl w:ilvl="3">
      <w:start w:val="1"/>
      <w:numFmt w:val="decimal"/>
      <w:pStyle w:val="SheadingL3"/>
      <w:lvlText w:val="%2.%3.%4"/>
      <w:lvlJc w:val="left"/>
      <w:pPr>
        <w:tabs>
          <w:tab w:val="num" w:pos="964"/>
        </w:tabs>
        <w:ind w:left="964" w:hanging="964"/>
      </w:pPr>
    </w:lvl>
    <w:lvl w:ilvl="4">
      <w:start w:val="1"/>
      <w:numFmt w:val="decimal"/>
      <w:pStyle w:val="SheadingL4"/>
      <w:lvlText w:val="%2.%3.%4.%5"/>
      <w:lvlJc w:val="left"/>
      <w:pPr>
        <w:tabs>
          <w:tab w:val="num" w:pos="964"/>
        </w:tabs>
        <w:ind w:left="964" w:hanging="964"/>
      </w:pPr>
    </w:lvl>
    <w:lvl w:ilvl="5">
      <w:start w:val="1"/>
      <w:numFmt w:val="decimal"/>
      <w:pStyle w:val="SheadingL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1">
    <w:nsid w:val="22A47320"/>
    <w:multiLevelType w:val="multilevel"/>
    <w:tmpl w:val="16454295"/>
    <w:name w:val="S headingM"/>
    <w:lvl w:ilvl="0">
      <w:start w:val="1"/>
      <w:numFmt w:val="upperRoman"/>
      <w:pStyle w:val="SheadingIM"/>
      <w:lvlText w:val="%1."/>
      <w:lvlJc w:val="left"/>
      <w:pPr>
        <w:tabs>
          <w:tab w:val="num" w:pos="964"/>
        </w:tabs>
        <w:ind w:left="964" w:hanging="964"/>
      </w:pPr>
    </w:lvl>
    <w:lvl w:ilvl="1">
      <w:start w:val="1"/>
      <w:numFmt w:val="decimal"/>
      <w:pStyle w:val="SheadingM1"/>
      <w:lvlText w:val="%2"/>
      <w:lvlJc w:val="left"/>
      <w:pPr>
        <w:tabs>
          <w:tab w:val="num" w:pos="964"/>
        </w:tabs>
        <w:ind w:left="964" w:hanging="964"/>
      </w:pPr>
    </w:lvl>
    <w:lvl w:ilvl="2">
      <w:start w:val="1"/>
      <w:numFmt w:val="decimal"/>
      <w:pStyle w:val="SheadingM2"/>
      <w:lvlText w:val="%2.%3"/>
      <w:lvlJc w:val="left"/>
      <w:pPr>
        <w:tabs>
          <w:tab w:val="num" w:pos="964"/>
        </w:tabs>
        <w:ind w:left="964" w:hanging="964"/>
      </w:pPr>
    </w:lvl>
    <w:lvl w:ilvl="3">
      <w:start w:val="1"/>
      <w:numFmt w:val="decimal"/>
      <w:pStyle w:val="SheadingM3"/>
      <w:lvlText w:val="%2.%3.%4"/>
      <w:lvlJc w:val="left"/>
      <w:pPr>
        <w:tabs>
          <w:tab w:val="num" w:pos="964"/>
        </w:tabs>
        <w:ind w:left="964" w:hanging="964"/>
      </w:pPr>
    </w:lvl>
    <w:lvl w:ilvl="4">
      <w:start w:val="1"/>
      <w:numFmt w:val="decimal"/>
      <w:pStyle w:val="SheadingM4"/>
      <w:lvlText w:val="%2.%3.%4.%5"/>
      <w:lvlJc w:val="left"/>
      <w:pPr>
        <w:tabs>
          <w:tab w:val="num" w:pos="964"/>
        </w:tabs>
        <w:ind w:left="964" w:hanging="964"/>
      </w:pPr>
    </w:lvl>
    <w:lvl w:ilvl="5">
      <w:start w:val="1"/>
      <w:numFmt w:val="decimal"/>
      <w:pStyle w:val="SheadingM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1">
    <w:nsid w:val="22A47321"/>
    <w:multiLevelType w:val="multilevel"/>
    <w:tmpl w:val="16454296"/>
    <w:name w:val="S headingR"/>
    <w:lvl w:ilvl="0">
      <w:start w:val="1"/>
      <w:numFmt w:val="upperRoman"/>
      <w:pStyle w:val="SheadingIR"/>
      <w:lvlText w:val="%1."/>
      <w:lvlJc w:val="left"/>
      <w:pPr>
        <w:tabs>
          <w:tab w:val="num" w:pos="964"/>
        </w:tabs>
        <w:ind w:left="964" w:hanging="964"/>
      </w:pPr>
    </w:lvl>
    <w:lvl w:ilvl="1">
      <w:start w:val="1"/>
      <w:numFmt w:val="decimal"/>
      <w:pStyle w:val="SheadingR1"/>
      <w:lvlText w:val="%2"/>
      <w:lvlJc w:val="left"/>
      <w:pPr>
        <w:tabs>
          <w:tab w:val="num" w:pos="964"/>
        </w:tabs>
        <w:ind w:left="964" w:hanging="964"/>
      </w:pPr>
    </w:lvl>
    <w:lvl w:ilvl="2">
      <w:start w:val="1"/>
      <w:numFmt w:val="decimal"/>
      <w:pStyle w:val="SheadingR2"/>
      <w:lvlText w:val="%2.%3"/>
      <w:lvlJc w:val="left"/>
      <w:pPr>
        <w:tabs>
          <w:tab w:val="num" w:pos="964"/>
        </w:tabs>
        <w:ind w:left="964" w:hanging="964"/>
      </w:pPr>
    </w:lvl>
    <w:lvl w:ilvl="3">
      <w:start w:val="1"/>
      <w:numFmt w:val="decimal"/>
      <w:pStyle w:val="SheadingR3"/>
      <w:lvlText w:val="%2.%3.%4"/>
      <w:lvlJc w:val="left"/>
      <w:pPr>
        <w:tabs>
          <w:tab w:val="num" w:pos="964"/>
        </w:tabs>
        <w:ind w:left="964" w:hanging="964"/>
      </w:pPr>
    </w:lvl>
    <w:lvl w:ilvl="4">
      <w:start w:val="1"/>
      <w:numFmt w:val="decimal"/>
      <w:pStyle w:val="SheadingR4"/>
      <w:lvlText w:val="%2.%3.%4.%5"/>
      <w:lvlJc w:val="left"/>
      <w:pPr>
        <w:tabs>
          <w:tab w:val="num" w:pos="964"/>
        </w:tabs>
        <w:ind w:left="964" w:hanging="964"/>
      </w:pPr>
    </w:lvl>
    <w:lvl w:ilvl="5">
      <w:start w:val="1"/>
      <w:numFmt w:val="decimal"/>
      <w:pStyle w:val="SheadingR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1">
    <w:nsid w:val="23A47314"/>
    <w:multiLevelType w:val="multilevel"/>
    <w:tmpl w:val="FF6ED38A"/>
    <w:name w:val="S heading"/>
    <w:lvl w:ilvl="0">
      <w:start w:val="1"/>
      <w:numFmt w:val="upperRoman"/>
      <w:pStyle w:val="SheadingI"/>
      <w:lvlText w:val="%1."/>
      <w:lvlJc w:val="left"/>
      <w:pPr>
        <w:tabs>
          <w:tab w:val="num" w:pos="680"/>
        </w:tabs>
        <w:ind w:left="680" w:hanging="680"/>
      </w:pPr>
    </w:lvl>
    <w:lvl w:ilvl="1">
      <w:start w:val="1"/>
      <w:numFmt w:val="decimal"/>
      <w:pStyle w:val="Sheading1"/>
      <w:lvlText w:val="%2"/>
      <w:lvlJc w:val="left"/>
      <w:pPr>
        <w:tabs>
          <w:tab w:val="num" w:pos="680"/>
        </w:tabs>
        <w:ind w:left="680" w:hanging="680"/>
      </w:pPr>
    </w:lvl>
    <w:lvl w:ilvl="2">
      <w:start w:val="1"/>
      <w:numFmt w:val="decimal"/>
      <w:pStyle w:val="Sheading2"/>
      <w:lvlText w:val="%2.%3"/>
      <w:lvlJc w:val="left"/>
      <w:pPr>
        <w:tabs>
          <w:tab w:val="num" w:pos="680"/>
        </w:tabs>
        <w:ind w:left="680" w:hanging="680"/>
      </w:pPr>
      <w:rPr>
        <w:i w:val="0"/>
        <w:iCs w:val="0"/>
      </w:rPr>
    </w:lvl>
    <w:lvl w:ilvl="3">
      <w:start w:val="1"/>
      <w:numFmt w:val="decimal"/>
      <w:pStyle w:val="Sheading3"/>
      <w:lvlText w:val="%2.%3.%4"/>
      <w:lvlJc w:val="left"/>
      <w:pPr>
        <w:tabs>
          <w:tab w:val="num" w:pos="1531"/>
        </w:tabs>
        <w:ind w:left="1531" w:hanging="851"/>
      </w:pPr>
    </w:lvl>
    <w:lvl w:ilvl="4">
      <w:start w:val="1"/>
      <w:numFmt w:val="decimal"/>
      <w:pStyle w:val="Sheading4"/>
      <w:lvlText w:val="%2.%3.%4.%5"/>
      <w:lvlJc w:val="left"/>
      <w:pPr>
        <w:tabs>
          <w:tab w:val="num" w:pos="2778"/>
        </w:tabs>
        <w:ind w:left="2778" w:hanging="1247"/>
      </w:pPr>
    </w:lvl>
    <w:lvl w:ilvl="5">
      <w:start w:val="1"/>
      <w:numFmt w:val="decimal"/>
      <w:pStyle w:val="Sheading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10" w15:restartNumberingAfterBreak="1">
    <w:nsid w:val="23A47319"/>
    <w:multiLevelType w:val="multilevel"/>
    <w:tmpl w:val="16344298"/>
    <w:name w:val="S Schedule"/>
    <w:lvl w:ilvl="0">
      <w:start w:val="1"/>
      <w:numFmt w:val="decimal"/>
      <w:lvlText w:val=""/>
      <w:lvlJc w:val="left"/>
    </w:lvl>
    <w:lvl w:ilvl="1">
      <w:start w:val="1"/>
      <w:numFmt w:val="decimal"/>
      <w:pStyle w:val="SSchedule1"/>
      <w:lvlText w:val="%2"/>
      <w:lvlJc w:val="left"/>
      <w:pPr>
        <w:tabs>
          <w:tab w:val="num" w:pos="680"/>
        </w:tabs>
        <w:ind w:left="680" w:hanging="680"/>
      </w:pPr>
    </w:lvl>
    <w:lvl w:ilvl="2">
      <w:start w:val="1"/>
      <w:numFmt w:val="decimal"/>
      <w:pStyle w:val="SSchedule2"/>
      <w:lvlText w:val="%2.%3"/>
      <w:lvlJc w:val="left"/>
      <w:pPr>
        <w:tabs>
          <w:tab w:val="num" w:pos="680"/>
        </w:tabs>
        <w:ind w:left="680" w:hanging="680"/>
      </w:pPr>
    </w:lvl>
    <w:lvl w:ilvl="3">
      <w:start w:val="1"/>
      <w:numFmt w:val="decimal"/>
      <w:pStyle w:val="SSchedule3"/>
      <w:lvlText w:val="%2.%3.%4"/>
      <w:lvlJc w:val="left"/>
      <w:pPr>
        <w:tabs>
          <w:tab w:val="num" w:pos="1531"/>
        </w:tabs>
        <w:ind w:left="1531" w:hanging="851"/>
      </w:pPr>
    </w:lvl>
    <w:lvl w:ilvl="4">
      <w:start w:val="1"/>
      <w:numFmt w:val="decimal"/>
      <w:pStyle w:val="SSchedule4"/>
      <w:lvlText w:val="%2.%3.%4.%5"/>
      <w:lvlJc w:val="left"/>
      <w:pPr>
        <w:tabs>
          <w:tab w:val="num" w:pos="2778"/>
        </w:tabs>
        <w:ind w:left="2778" w:hanging="1247"/>
      </w:pPr>
    </w:lvl>
    <w:lvl w:ilvl="5">
      <w:start w:val="1"/>
      <w:numFmt w:val="decimal"/>
      <w:pStyle w:val="SSchedule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B47314"/>
    <w:multiLevelType w:val="multilevel"/>
    <w:tmpl w:val="26344011"/>
    <w:name w:val="S list i"/>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12" w15:restartNumberingAfterBreak="0">
    <w:nsid w:val="23B75114"/>
    <w:multiLevelType w:val="multilevel"/>
    <w:tmpl w:val="26304111"/>
    <w:name w:val="S list iR"/>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13" w15:restartNumberingAfterBreak="0">
    <w:nsid w:val="23C36914"/>
    <w:multiLevelType w:val="multilevel"/>
    <w:tmpl w:val="36349515"/>
    <w:name w:val="S list AR"/>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start w:val="1"/>
      <w:numFmt w:val="upperLetter"/>
      <w:lvlText w:val="(%6)"/>
      <w:lvlJc w:val="left"/>
      <w:pPr>
        <w:tabs>
          <w:tab w:val="num" w:pos="4025"/>
        </w:tabs>
        <w:ind w:left="4025" w:hanging="1247"/>
      </w:pPr>
    </w:lvl>
    <w:lvl w:ilvl="6">
      <w:start w:val="1"/>
      <w:numFmt w:val="upperLetter"/>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14" w15:restartNumberingAfterBreak="0">
    <w:nsid w:val="23C46939"/>
    <w:multiLevelType w:val="multilevel"/>
    <w:tmpl w:val="36341317"/>
    <w:name w:val="S list 1R"/>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5" w15:restartNumberingAfterBreak="0">
    <w:nsid w:val="23C47314"/>
    <w:multiLevelType w:val="multilevel"/>
    <w:tmpl w:val="36344015"/>
    <w:name w:val="S list A"/>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numFmt w:val="decimal"/>
      <w:lvlText w:val="(%6)"/>
      <w:lvlJc w:val="left"/>
      <w:pPr>
        <w:tabs>
          <w:tab w:val="num" w:pos="4025"/>
        </w:tabs>
        <w:ind w:left="4025" w:hanging="1247"/>
      </w:pPr>
    </w:lvl>
    <w:lvl w:ilvl="6">
      <w:numFmt w:val="decimal"/>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16" w15:restartNumberingAfterBreak="0">
    <w:nsid w:val="23C47319"/>
    <w:multiLevelType w:val="multilevel"/>
    <w:tmpl w:val="36344017"/>
    <w:name w:val="S list 1"/>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7" w15:restartNumberingAfterBreak="0">
    <w:nsid w:val="23C57319"/>
    <w:multiLevelType w:val="multilevel"/>
    <w:tmpl w:val="36344737"/>
    <w:name w:val="S list 1_arb"/>
    <w:lvl w:ilvl="0">
      <w:start w:val="1"/>
      <w:numFmt w:val="decimal"/>
      <w:lvlText w:val=""/>
      <w:lvlJc w:val="left"/>
    </w:lvl>
    <w:lvl w:ilvl="1">
      <w:start w:val="1"/>
      <w:numFmt w:val="decimal"/>
      <w:lvlText w:val="%2."/>
      <w:lvlJc w:val="left"/>
      <w:pPr>
        <w:tabs>
          <w:tab w:val="num" w:pos="851"/>
        </w:tabs>
        <w:ind w:left="851" w:hanging="851"/>
      </w:pPr>
    </w:lvl>
    <w:lvl w:ilvl="2">
      <w:start w:val="1"/>
      <w:numFmt w:val="decimal"/>
      <w:lvlText w:val="%3."/>
      <w:lvlJc w:val="left"/>
      <w:pPr>
        <w:tabs>
          <w:tab w:val="num" w:pos="1560"/>
        </w:tabs>
        <w:ind w:left="1560" w:hanging="709"/>
      </w:pPr>
    </w:lvl>
    <w:lvl w:ilvl="3">
      <w:start w:val="1"/>
      <w:numFmt w:val="decimal"/>
      <w:lvlText w:val="%4."/>
      <w:lvlJc w:val="left"/>
      <w:pPr>
        <w:tabs>
          <w:tab w:val="num" w:pos="2269"/>
        </w:tabs>
        <w:ind w:left="2269" w:hanging="1418"/>
      </w:pPr>
    </w:lvl>
    <w:lvl w:ilvl="4">
      <w:start w:val="1"/>
      <w:numFmt w:val="decimal"/>
      <w:lvlText w:val="%5."/>
      <w:lvlJc w:val="left"/>
      <w:pPr>
        <w:tabs>
          <w:tab w:val="num" w:pos="2269"/>
        </w:tabs>
        <w:ind w:left="2269" w:hanging="709"/>
      </w:pPr>
    </w:lvl>
    <w:lvl w:ilvl="5">
      <w:start w:val="1"/>
      <w:numFmt w:val="decimal"/>
      <w:lvlText w:val="%6."/>
      <w:lvlJc w:val="left"/>
      <w:pPr>
        <w:tabs>
          <w:tab w:val="num" w:pos="2978"/>
        </w:tabs>
        <w:ind w:left="2978" w:hanging="709"/>
      </w:pPr>
    </w:lvl>
    <w:lvl w:ilvl="6">
      <w:start w:val="1"/>
      <w:numFmt w:val="decimal"/>
      <w:lvlText w:val="%7."/>
      <w:lvlJc w:val="left"/>
      <w:pPr>
        <w:tabs>
          <w:tab w:val="num" w:pos="3687"/>
        </w:tabs>
        <w:ind w:left="3687" w:hanging="1418"/>
      </w:pPr>
    </w:lvl>
    <w:lvl w:ilvl="7">
      <w:start w:val="1"/>
      <w:numFmt w:val="decimal"/>
      <w:lvlText w:val="%8."/>
      <w:lvlJc w:val="left"/>
      <w:pPr>
        <w:tabs>
          <w:tab w:val="num" w:pos="3687"/>
        </w:tabs>
        <w:ind w:left="3687" w:hanging="709"/>
      </w:pPr>
    </w:lvl>
    <w:lvl w:ilvl="8">
      <w:numFmt w:val="decimal"/>
      <w:lvlText w:val=""/>
      <w:lvlJc w:val="left"/>
    </w:lvl>
  </w:abstractNum>
  <w:abstractNum w:abstractNumId="18" w15:restartNumberingAfterBreak="0">
    <w:nsid w:val="27D57314"/>
    <w:multiLevelType w:val="multilevel"/>
    <w:tmpl w:val="26344011"/>
    <w:name w:val="S list i_arb"/>
    <w:lvl w:ilvl="0">
      <w:start w:val="1"/>
      <w:numFmt w:val="lowerRoman"/>
      <w:lvlText w:val=""/>
      <w:lvlJc w:val="left"/>
    </w:lvl>
    <w:lvl w:ilvl="1">
      <w:start w:val="1"/>
      <w:numFmt w:val="lowerRoman"/>
      <w:lvlText w:val="(%2)"/>
      <w:lvlJc w:val="left"/>
      <w:pPr>
        <w:tabs>
          <w:tab w:val="num" w:pos="851"/>
        </w:tabs>
        <w:ind w:left="851" w:hanging="851"/>
      </w:pPr>
    </w:lvl>
    <w:lvl w:ilvl="2">
      <w:start w:val="1"/>
      <w:numFmt w:val="lowerRoman"/>
      <w:lvlText w:val="(%3)"/>
      <w:lvlJc w:val="left"/>
      <w:pPr>
        <w:tabs>
          <w:tab w:val="num" w:pos="1560"/>
        </w:tabs>
        <w:ind w:left="1560" w:hanging="709"/>
      </w:pPr>
    </w:lvl>
    <w:lvl w:ilvl="3">
      <w:start w:val="1"/>
      <w:numFmt w:val="lowerRoman"/>
      <w:lvlText w:val="(%4)"/>
      <w:lvlJc w:val="left"/>
      <w:pPr>
        <w:tabs>
          <w:tab w:val="num" w:pos="2269"/>
        </w:tabs>
        <w:ind w:left="2269" w:hanging="1418"/>
      </w:pPr>
    </w:lvl>
    <w:lvl w:ilvl="4">
      <w:start w:val="1"/>
      <w:numFmt w:val="lowerRoman"/>
      <w:lvlText w:val="(%5)"/>
      <w:lvlJc w:val="left"/>
      <w:pPr>
        <w:tabs>
          <w:tab w:val="num" w:pos="2269"/>
        </w:tabs>
        <w:ind w:left="2269" w:hanging="709"/>
      </w:pPr>
    </w:lvl>
    <w:lvl w:ilvl="5">
      <w:start w:val="1"/>
      <w:numFmt w:val="lowerRoman"/>
      <w:lvlText w:val="(%6)"/>
      <w:lvlJc w:val="left"/>
      <w:pPr>
        <w:tabs>
          <w:tab w:val="num" w:pos="2978"/>
        </w:tabs>
        <w:ind w:left="2978" w:hanging="709"/>
      </w:pPr>
    </w:lvl>
    <w:lvl w:ilvl="6">
      <w:start w:val="1"/>
      <w:numFmt w:val="lowerRoman"/>
      <w:lvlText w:val="(%7)"/>
      <w:lvlJc w:val="left"/>
      <w:pPr>
        <w:tabs>
          <w:tab w:val="num" w:pos="3687"/>
        </w:tabs>
        <w:ind w:left="3687" w:hanging="1418"/>
      </w:pPr>
    </w:lvl>
    <w:lvl w:ilvl="7">
      <w:start w:val="1"/>
      <w:numFmt w:val="lowerRoman"/>
      <w:lvlText w:val="(%8)"/>
      <w:lvlJc w:val="left"/>
      <w:pPr>
        <w:tabs>
          <w:tab w:val="num" w:pos="3687"/>
        </w:tabs>
        <w:ind w:left="3687" w:hanging="709"/>
      </w:pPr>
    </w:lvl>
    <w:lvl w:ilvl="8">
      <w:numFmt w:val="decimal"/>
      <w:lvlText w:val=""/>
      <w:lvlJc w:val="left"/>
    </w:lvl>
  </w:abstractNum>
  <w:abstractNum w:abstractNumId="19" w15:restartNumberingAfterBreak="0">
    <w:nsid w:val="28F49314"/>
    <w:multiLevelType w:val="multilevel"/>
    <w:tmpl w:val="36344015"/>
    <w:name w:val="S list A_arb"/>
    <w:lvl w:ilvl="0">
      <w:start w:val="1"/>
      <w:numFmt w:val="upperLetter"/>
      <w:lvlText w:val=""/>
      <w:lvlJc w:val="left"/>
    </w:lvl>
    <w:lvl w:ilvl="1">
      <w:start w:val="1"/>
      <w:numFmt w:val="upperLetter"/>
      <w:lvlText w:val="(%2)"/>
      <w:lvlJc w:val="left"/>
      <w:pPr>
        <w:tabs>
          <w:tab w:val="num" w:pos="851"/>
        </w:tabs>
        <w:ind w:left="851" w:hanging="851"/>
      </w:pPr>
    </w:lvl>
    <w:lvl w:ilvl="2">
      <w:start w:val="1"/>
      <w:numFmt w:val="upperLetter"/>
      <w:lvlText w:val="(%3)"/>
      <w:lvlJc w:val="left"/>
      <w:pPr>
        <w:tabs>
          <w:tab w:val="num" w:pos="1560"/>
        </w:tabs>
        <w:ind w:left="1560" w:hanging="709"/>
      </w:pPr>
    </w:lvl>
    <w:lvl w:ilvl="3">
      <w:start w:val="1"/>
      <w:numFmt w:val="upperLetter"/>
      <w:lvlText w:val="(%4)"/>
      <w:lvlJc w:val="left"/>
      <w:pPr>
        <w:tabs>
          <w:tab w:val="num" w:pos="2269"/>
        </w:tabs>
        <w:ind w:left="2269" w:hanging="1418"/>
      </w:pPr>
    </w:lvl>
    <w:lvl w:ilvl="4">
      <w:start w:val="1"/>
      <w:numFmt w:val="upperLetter"/>
      <w:lvlText w:val="(%5)"/>
      <w:lvlJc w:val="left"/>
      <w:pPr>
        <w:tabs>
          <w:tab w:val="num" w:pos="2269"/>
        </w:tabs>
        <w:ind w:left="2269" w:hanging="709"/>
      </w:pPr>
    </w:lvl>
    <w:lvl w:ilvl="5">
      <w:start w:val="1"/>
      <w:numFmt w:val="upperLetter"/>
      <w:lvlText w:val="(%6)"/>
      <w:lvlJc w:val="left"/>
      <w:pPr>
        <w:tabs>
          <w:tab w:val="num" w:pos="2978"/>
        </w:tabs>
        <w:ind w:left="2978" w:hanging="709"/>
      </w:pPr>
    </w:lvl>
    <w:lvl w:ilvl="6">
      <w:start w:val="1"/>
      <w:numFmt w:val="upperLetter"/>
      <w:lvlText w:val="(%7)"/>
      <w:lvlJc w:val="left"/>
      <w:pPr>
        <w:tabs>
          <w:tab w:val="num" w:pos="3687"/>
        </w:tabs>
        <w:ind w:left="3687" w:hanging="1418"/>
      </w:pPr>
    </w:lvl>
    <w:lvl w:ilvl="7">
      <w:start w:val="1"/>
      <w:numFmt w:val="upperLetter"/>
      <w:lvlText w:val="(%8)"/>
      <w:lvlJc w:val="left"/>
      <w:pPr>
        <w:tabs>
          <w:tab w:val="num" w:pos="3687"/>
        </w:tabs>
        <w:ind w:left="3687" w:hanging="709"/>
      </w:pPr>
    </w:lvl>
    <w:lvl w:ilvl="8">
      <w:numFmt w:val="decimal"/>
      <w:lvlText w:val=""/>
      <w:lvlJc w:val="left"/>
    </w:lvl>
  </w:abstractNum>
  <w:abstractNum w:abstractNumId="20" w15:restartNumberingAfterBreak="0">
    <w:nsid w:val="34456454"/>
    <w:multiLevelType w:val="multilevel"/>
    <w:tmpl w:val="63443951"/>
    <w:name w:val="S bullet"/>
    <w:lvl w:ilvl="0">
      <w:start w:val="1"/>
      <w:numFmt w:val="bullet"/>
      <w:lvlText w:val=""/>
      <w:lvlJc w:val="left"/>
    </w:lvl>
    <w:lvl w:ilvl="1">
      <w:start w:val="1"/>
      <w:numFmt w:val="bullet"/>
      <w:lvlText w:val=""/>
      <w:lvlJc w:val="left"/>
      <w:pPr>
        <w:tabs>
          <w:tab w:val="num" w:pos="680"/>
        </w:tabs>
        <w:ind w:left="680" w:hanging="680"/>
      </w:pPr>
      <w:rPr>
        <w:rFonts w:ascii="Symbol" w:hAnsi="Symbol" w:hint="default"/>
      </w:rPr>
    </w:lvl>
    <w:lvl w:ilvl="2">
      <w:start w:val="1"/>
      <w:numFmt w:val="bullet"/>
      <w:lvlText w:val=""/>
      <w:lvlJc w:val="left"/>
      <w:pPr>
        <w:tabs>
          <w:tab w:val="num" w:pos="1531"/>
        </w:tabs>
        <w:ind w:left="1531" w:hanging="851"/>
      </w:pPr>
      <w:rPr>
        <w:rFonts w:ascii="Symbol" w:hAnsi="Symbol" w:hint="default"/>
      </w:rPr>
    </w:lvl>
    <w:lvl w:ilvl="3">
      <w:start w:val="1"/>
      <w:numFmt w:val="bullet"/>
      <w:lvlText w:val=""/>
      <w:lvlJc w:val="left"/>
      <w:pPr>
        <w:tabs>
          <w:tab w:val="num" w:pos="1531"/>
        </w:tabs>
        <w:ind w:left="1531" w:hanging="851"/>
      </w:pPr>
      <w:rPr>
        <w:rFonts w:ascii="Symbol" w:hAnsi="Symbol" w:hint="default"/>
      </w:rPr>
    </w:lvl>
    <w:lvl w:ilvl="4">
      <w:start w:val="1"/>
      <w:numFmt w:val="bullet"/>
      <w:lvlText w:val=""/>
      <w:lvlJc w:val="left"/>
      <w:pPr>
        <w:tabs>
          <w:tab w:val="num" w:pos="2778"/>
        </w:tabs>
        <w:ind w:left="2778" w:hanging="1247"/>
      </w:pPr>
      <w:rPr>
        <w:rFonts w:ascii="Symbol" w:hAnsi="Symbol" w:hint="default"/>
      </w:rPr>
    </w:lvl>
    <w:lvl w:ilvl="5">
      <w:start w:val="1"/>
      <w:numFmt w:val="bullet"/>
      <w:lvlText w:val=""/>
      <w:lvlJc w:val="left"/>
      <w:pPr>
        <w:tabs>
          <w:tab w:val="num" w:pos="4025"/>
        </w:tabs>
        <w:ind w:left="4025" w:hanging="1247"/>
      </w:pPr>
      <w:rPr>
        <w:rFonts w:ascii="Symbol" w:hAnsi="Symbol" w:hint="default"/>
      </w:rPr>
    </w:lvl>
    <w:lvl w:ilvl="6">
      <w:start w:val="1"/>
      <w:numFmt w:val="bullet"/>
      <w:lvlText w:val=""/>
      <w:lvlJc w:val="left"/>
      <w:pPr>
        <w:tabs>
          <w:tab w:val="num" w:pos="4025"/>
        </w:tabs>
        <w:ind w:left="4025" w:hanging="1247"/>
      </w:pPr>
      <w:rPr>
        <w:rFonts w:ascii="Symbol" w:hAnsi="Symbol" w:hint="default"/>
      </w:rPr>
    </w:lvl>
    <w:lvl w:ilvl="7">
      <w:start w:val="1"/>
      <w:numFmt w:val="bullet"/>
      <w:lvlText w:val=""/>
      <w:lvlJc w:val="left"/>
      <w:pPr>
        <w:tabs>
          <w:tab w:val="num" w:pos="1814"/>
        </w:tabs>
        <w:ind w:left="1814" w:hanging="850"/>
      </w:pPr>
      <w:rPr>
        <w:rFonts w:ascii="Symbol" w:hAnsi="Symbol" w:hint="default"/>
      </w:rPr>
    </w:lvl>
    <w:lvl w:ilvl="8">
      <w:numFmt w:val="decimal"/>
      <w:lvlText w:val=""/>
      <w:lvlJc w:val="left"/>
    </w:lvl>
  </w:abstractNum>
  <w:abstractNum w:abstractNumId="21" w15:restartNumberingAfterBreak="0">
    <w:nsid w:val="36163746"/>
    <w:multiLevelType w:val="multilevel"/>
    <w:tmpl w:val="53C071FA"/>
    <w:lvl w:ilvl="0">
      <w:start w:val="2"/>
      <w:numFmt w:val="decimal"/>
      <w:lvlText w:val="%1"/>
      <w:lvlJc w:val="left"/>
      <w:pPr>
        <w:ind w:left="360" w:hanging="360"/>
      </w:pPr>
      <w:rPr>
        <w:rFonts w:hint="default"/>
        <w:b/>
        <w:i w:val="0"/>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440" w:hanging="144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2160" w:hanging="2160"/>
      </w:pPr>
      <w:rPr>
        <w:rFonts w:hint="default"/>
        <w:b/>
        <w:i w:val="0"/>
      </w:rPr>
    </w:lvl>
    <w:lvl w:ilvl="8">
      <w:start w:val="1"/>
      <w:numFmt w:val="decimal"/>
      <w:lvlText w:val="%1.%2.%3.%4.%5.%6.%7.%8.%9"/>
      <w:lvlJc w:val="left"/>
      <w:pPr>
        <w:ind w:left="2160" w:hanging="2160"/>
      </w:pPr>
      <w:rPr>
        <w:rFonts w:hint="default"/>
        <w:b/>
        <w:i w:val="0"/>
      </w:rPr>
    </w:lvl>
  </w:abstractNum>
  <w:abstractNum w:abstractNumId="22" w15:restartNumberingAfterBreak="0">
    <w:nsid w:val="3A451254"/>
    <w:multiLevelType w:val="multilevel"/>
    <w:tmpl w:val="63113351"/>
    <w:name w:val="S dash"/>
    <w:lvl w:ilvl="0">
      <w:start w:val="1"/>
      <w:numFmt w:val="bullet"/>
      <w:lvlText w:val=""/>
      <w:lvlJc w:val="left"/>
    </w:lvl>
    <w:lvl w:ilvl="1">
      <w:start w:val="1"/>
      <w:numFmt w:val="bullet"/>
      <w:lvlText w:val="-"/>
      <w:lvlJc w:val="left"/>
      <w:pPr>
        <w:tabs>
          <w:tab w:val="num" w:pos="680"/>
        </w:tabs>
        <w:ind w:left="680" w:hanging="680"/>
      </w:pPr>
    </w:lvl>
    <w:lvl w:ilvl="2">
      <w:start w:val="1"/>
      <w:numFmt w:val="bullet"/>
      <w:lvlText w:val="-"/>
      <w:lvlJc w:val="left"/>
      <w:pPr>
        <w:tabs>
          <w:tab w:val="num" w:pos="1531"/>
        </w:tabs>
        <w:ind w:left="1531" w:hanging="851"/>
      </w:pPr>
    </w:lvl>
    <w:lvl w:ilvl="3">
      <w:start w:val="1"/>
      <w:numFmt w:val="bullet"/>
      <w:lvlText w:val="-"/>
      <w:lvlJc w:val="left"/>
      <w:pPr>
        <w:tabs>
          <w:tab w:val="num" w:pos="1531"/>
        </w:tabs>
        <w:ind w:left="1531" w:hanging="851"/>
      </w:pPr>
    </w:lvl>
    <w:lvl w:ilvl="4">
      <w:start w:val="1"/>
      <w:numFmt w:val="bullet"/>
      <w:lvlText w:val="-"/>
      <w:lvlJc w:val="left"/>
      <w:pPr>
        <w:tabs>
          <w:tab w:val="num" w:pos="2778"/>
        </w:tabs>
        <w:ind w:left="2778" w:hanging="1247"/>
      </w:pPr>
    </w:lvl>
    <w:lvl w:ilvl="5">
      <w:start w:val="1"/>
      <w:numFmt w:val="bullet"/>
      <w:lvlText w:val="-"/>
      <w:lvlJc w:val="left"/>
      <w:pPr>
        <w:tabs>
          <w:tab w:val="num" w:pos="4025"/>
        </w:tabs>
        <w:ind w:left="4025" w:hanging="1247"/>
      </w:pPr>
    </w:lvl>
    <w:lvl w:ilvl="6">
      <w:start w:val="1"/>
      <w:numFmt w:val="bullet"/>
      <w:lvlText w:val="-"/>
      <w:lvlJc w:val="left"/>
      <w:pPr>
        <w:tabs>
          <w:tab w:val="num" w:pos="4025"/>
        </w:tabs>
        <w:ind w:left="4025" w:hanging="1247"/>
      </w:pPr>
    </w:lvl>
    <w:lvl w:ilvl="7">
      <w:start w:val="1"/>
      <w:numFmt w:val="bullet"/>
      <w:lvlText w:val="-"/>
      <w:lvlJc w:val="left"/>
      <w:pPr>
        <w:tabs>
          <w:tab w:val="num" w:pos="1814"/>
        </w:tabs>
        <w:ind w:left="1814" w:hanging="850"/>
      </w:pPr>
    </w:lvl>
    <w:lvl w:ilvl="8">
      <w:numFmt w:val="decimal"/>
      <w:lvlText w:val=""/>
      <w:lvlJc w:val="left"/>
    </w:lvl>
  </w:abstractNum>
  <w:abstractNum w:abstractNumId="23" w15:restartNumberingAfterBreak="0">
    <w:nsid w:val="3B456474"/>
    <w:multiLevelType w:val="multilevel"/>
    <w:tmpl w:val="63443353"/>
    <w:name w:val="S bullet_arb"/>
    <w:lvl w:ilvl="0">
      <w:start w:val="1"/>
      <w:numFmt w:val="bullet"/>
      <w:lvlText w:val=""/>
      <w:lvlJc w:val="left"/>
    </w:lvl>
    <w:lvl w:ilvl="1">
      <w:start w:val="1"/>
      <w:numFmt w:val="bullet"/>
      <w:lvlText w:val=""/>
      <w:lvlJc w:val="left"/>
      <w:pPr>
        <w:tabs>
          <w:tab w:val="num" w:pos="851"/>
        </w:tabs>
        <w:ind w:left="851" w:hanging="851"/>
      </w:pPr>
      <w:rPr>
        <w:rFonts w:ascii="Symbol" w:hAnsi="Symbol" w:hint="default"/>
      </w:rPr>
    </w:lvl>
    <w:lvl w:ilvl="2">
      <w:start w:val="1"/>
      <w:numFmt w:val="bullet"/>
      <w:lvlText w:val=""/>
      <w:lvlJc w:val="left"/>
      <w:pPr>
        <w:tabs>
          <w:tab w:val="num" w:pos="1560"/>
        </w:tabs>
        <w:ind w:left="1560" w:hanging="709"/>
      </w:pPr>
      <w:rPr>
        <w:rFonts w:ascii="Symbol" w:hAnsi="Symbol" w:hint="default"/>
      </w:rPr>
    </w:lvl>
    <w:lvl w:ilvl="3">
      <w:start w:val="1"/>
      <w:numFmt w:val="bullet"/>
      <w:lvlText w:val=""/>
      <w:lvlJc w:val="left"/>
      <w:pPr>
        <w:tabs>
          <w:tab w:val="num" w:pos="2269"/>
        </w:tabs>
        <w:ind w:left="2269" w:hanging="1418"/>
      </w:pPr>
      <w:rPr>
        <w:rFonts w:ascii="Symbol" w:hAnsi="Symbol" w:hint="default"/>
      </w:rPr>
    </w:lvl>
    <w:lvl w:ilvl="4">
      <w:start w:val="1"/>
      <w:numFmt w:val="bullet"/>
      <w:lvlText w:val=""/>
      <w:lvlJc w:val="left"/>
      <w:pPr>
        <w:tabs>
          <w:tab w:val="num" w:pos="2269"/>
        </w:tabs>
        <w:ind w:left="2269" w:hanging="709"/>
      </w:pPr>
      <w:rPr>
        <w:rFonts w:ascii="Symbol" w:hAnsi="Symbol" w:hint="default"/>
      </w:rPr>
    </w:lvl>
    <w:lvl w:ilvl="5">
      <w:start w:val="1"/>
      <w:numFmt w:val="bullet"/>
      <w:lvlText w:val=""/>
      <w:lvlJc w:val="left"/>
      <w:pPr>
        <w:tabs>
          <w:tab w:val="num" w:pos="2978"/>
        </w:tabs>
        <w:ind w:left="2978" w:hanging="709"/>
      </w:pPr>
      <w:rPr>
        <w:rFonts w:ascii="Symbol" w:hAnsi="Symbol" w:hint="default"/>
      </w:rPr>
    </w:lvl>
    <w:lvl w:ilvl="6">
      <w:start w:val="1"/>
      <w:numFmt w:val="bullet"/>
      <w:lvlText w:val=""/>
      <w:lvlJc w:val="left"/>
      <w:pPr>
        <w:tabs>
          <w:tab w:val="num" w:pos="3687"/>
        </w:tabs>
        <w:ind w:left="3687" w:hanging="1418"/>
      </w:pPr>
      <w:rPr>
        <w:rFonts w:ascii="Symbol" w:hAnsi="Symbol" w:hint="default"/>
      </w:rPr>
    </w:lvl>
    <w:lvl w:ilvl="7">
      <w:start w:val="1"/>
      <w:numFmt w:val="bullet"/>
      <w:lvlText w:val=""/>
      <w:lvlJc w:val="left"/>
      <w:pPr>
        <w:tabs>
          <w:tab w:val="num" w:pos="3687"/>
        </w:tabs>
        <w:ind w:left="3687" w:hanging="709"/>
      </w:pPr>
      <w:rPr>
        <w:rFonts w:ascii="Symbol" w:hAnsi="Symbol" w:hint="default"/>
      </w:rPr>
    </w:lvl>
    <w:lvl w:ilvl="8">
      <w:numFmt w:val="decimal"/>
      <w:lvlText w:val=""/>
      <w:lvlJc w:val="left"/>
    </w:lvl>
  </w:abstractNum>
  <w:abstractNum w:abstractNumId="24" w15:restartNumberingAfterBreak="0">
    <w:nsid w:val="3D451254"/>
    <w:multiLevelType w:val="multilevel"/>
    <w:tmpl w:val="53863951"/>
    <w:name w:val="S dash_arb"/>
    <w:lvl w:ilvl="0">
      <w:start w:val="1"/>
      <w:numFmt w:val="bullet"/>
      <w:lvlText w:val=""/>
      <w:lvlJc w:val="left"/>
    </w:lvl>
    <w:lvl w:ilvl="1">
      <w:start w:val="1"/>
      <w:numFmt w:val="bullet"/>
      <w:lvlText w:val="-"/>
      <w:lvlJc w:val="left"/>
      <w:pPr>
        <w:tabs>
          <w:tab w:val="num" w:pos="851"/>
        </w:tabs>
        <w:ind w:left="851" w:hanging="851"/>
      </w:pPr>
    </w:lvl>
    <w:lvl w:ilvl="2">
      <w:start w:val="1"/>
      <w:numFmt w:val="bullet"/>
      <w:lvlText w:val="-"/>
      <w:lvlJc w:val="left"/>
      <w:pPr>
        <w:tabs>
          <w:tab w:val="num" w:pos="1560"/>
        </w:tabs>
        <w:ind w:left="1560" w:hanging="709"/>
      </w:pPr>
    </w:lvl>
    <w:lvl w:ilvl="3">
      <w:start w:val="1"/>
      <w:numFmt w:val="bullet"/>
      <w:lvlText w:val="-"/>
      <w:lvlJc w:val="left"/>
      <w:pPr>
        <w:tabs>
          <w:tab w:val="num" w:pos="2269"/>
        </w:tabs>
        <w:ind w:left="2269" w:hanging="1418"/>
      </w:pPr>
    </w:lvl>
    <w:lvl w:ilvl="4">
      <w:start w:val="1"/>
      <w:numFmt w:val="bullet"/>
      <w:lvlText w:val="-"/>
      <w:lvlJc w:val="left"/>
      <w:pPr>
        <w:tabs>
          <w:tab w:val="num" w:pos="2269"/>
        </w:tabs>
        <w:ind w:left="2269" w:hanging="709"/>
      </w:pPr>
    </w:lvl>
    <w:lvl w:ilvl="5">
      <w:start w:val="1"/>
      <w:numFmt w:val="bullet"/>
      <w:lvlText w:val="-"/>
      <w:lvlJc w:val="left"/>
      <w:pPr>
        <w:tabs>
          <w:tab w:val="num" w:pos="2978"/>
        </w:tabs>
        <w:ind w:left="2978" w:hanging="709"/>
      </w:pPr>
    </w:lvl>
    <w:lvl w:ilvl="6">
      <w:start w:val="1"/>
      <w:numFmt w:val="bullet"/>
      <w:lvlText w:val="-"/>
      <w:lvlJc w:val="left"/>
      <w:pPr>
        <w:tabs>
          <w:tab w:val="num" w:pos="3687"/>
        </w:tabs>
        <w:ind w:left="3687" w:hanging="1418"/>
      </w:pPr>
    </w:lvl>
    <w:lvl w:ilvl="7">
      <w:start w:val="1"/>
      <w:numFmt w:val="bullet"/>
      <w:lvlText w:val="-"/>
      <w:lvlJc w:val="left"/>
      <w:pPr>
        <w:tabs>
          <w:tab w:val="num" w:pos="3687"/>
        </w:tabs>
        <w:ind w:left="3687" w:hanging="709"/>
      </w:pPr>
    </w:lvl>
    <w:lvl w:ilvl="8">
      <w:numFmt w:val="decimal"/>
      <w:lvlText w:val=""/>
      <w:lvlJc w:val="left"/>
    </w:lvl>
  </w:abstractNum>
  <w:abstractNum w:abstractNumId="25" w15:restartNumberingAfterBreak="0">
    <w:nsid w:val="4A5E31B5"/>
    <w:multiLevelType w:val="hybridMultilevel"/>
    <w:tmpl w:val="3B8856DE"/>
    <w:lvl w:ilvl="0" w:tplc="4DB0B3C4">
      <w:start w:val="1"/>
      <w:numFmt w:val="decimal"/>
      <w:lvlText w:val="(%1)"/>
      <w:lvlJc w:val="left"/>
      <w:pPr>
        <w:ind w:left="720" w:hanging="360"/>
      </w:pPr>
      <w:rPr>
        <w:b w:val="0"/>
        <w:bCs w:val="0"/>
        <w:i w:val="0"/>
        <w:iCs w:val="0"/>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4A47314"/>
    <w:multiLevelType w:val="singleLevel"/>
    <w:tmpl w:val="56344297"/>
    <w:name w:val="S marginal number"/>
    <w:lvl w:ilvl="0">
      <w:start w:val="1"/>
      <w:numFmt w:val="decimal"/>
      <w:pStyle w:val="Smarginalnumber"/>
      <w:lvlText w:val="%1"/>
      <w:lvlJc w:val="left"/>
      <w:pPr>
        <w:tabs>
          <w:tab w:val="num" w:pos="680"/>
        </w:tabs>
      </w:pPr>
    </w:lvl>
  </w:abstractNum>
  <w:abstractNum w:abstractNumId="27" w15:restartNumberingAfterBreak="0">
    <w:nsid w:val="55B47314"/>
    <w:multiLevelType w:val="singleLevel"/>
    <w:tmpl w:val="56344297"/>
    <w:name w:val="S marginal number_arb"/>
    <w:lvl w:ilvl="0">
      <w:start w:val="1"/>
      <w:numFmt w:val="decimal"/>
      <w:pStyle w:val="Smarginalnumberarb"/>
      <w:lvlText w:val="%1"/>
      <w:lvlJc w:val="left"/>
      <w:pPr>
        <w:tabs>
          <w:tab w:val="num" w:pos="851"/>
        </w:tabs>
      </w:pPr>
    </w:lvl>
  </w:abstractNum>
  <w:abstractNum w:abstractNumId="28" w15:restartNumberingAfterBreak="0">
    <w:nsid w:val="661C1C63"/>
    <w:multiLevelType w:val="multilevel"/>
    <w:tmpl w:val="7B7A8A60"/>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0DC718F"/>
    <w:multiLevelType w:val="hybridMultilevel"/>
    <w:tmpl w:val="F40AAD4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48B5350"/>
    <w:multiLevelType w:val="multilevel"/>
    <w:tmpl w:val="D318E39A"/>
    <w:lvl w:ilvl="0">
      <w:start w:val="2"/>
      <w:numFmt w:val="decimal"/>
      <w:lvlText w:val="%1"/>
      <w:lvlJc w:val="left"/>
      <w:pPr>
        <w:ind w:left="360" w:hanging="360"/>
      </w:pPr>
      <w:rPr>
        <w:rFonts w:hint="default"/>
        <w:i w:val="0"/>
      </w:rPr>
    </w:lvl>
    <w:lvl w:ilvl="1">
      <w:start w:val="6"/>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31" w15:restartNumberingAfterBreak="0">
    <w:nsid w:val="7AA9079C"/>
    <w:multiLevelType w:val="hybridMultilevel"/>
    <w:tmpl w:val="36CC8C96"/>
    <w:lvl w:ilvl="0" w:tplc="4DB0B3C4">
      <w:start w:val="1"/>
      <w:numFmt w:val="decimal"/>
      <w:lvlText w:val="(%1)"/>
      <w:lvlJc w:val="left"/>
      <w:pPr>
        <w:ind w:left="720" w:hanging="360"/>
      </w:pPr>
      <w:rPr>
        <w:b w:val="0"/>
        <w:bCs w:val="0"/>
        <w:i w:val="0"/>
        <w:iCs w:val="0"/>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7EBF310D"/>
    <w:multiLevelType w:val="hybridMultilevel"/>
    <w:tmpl w:val="24CE477E"/>
    <w:lvl w:ilvl="0" w:tplc="4DB0B3C4">
      <w:start w:val="1"/>
      <w:numFmt w:val="decimal"/>
      <w:lvlText w:val="(%1)"/>
      <w:lvlJc w:val="left"/>
      <w:pPr>
        <w:ind w:left="360" w:hanging="360"/>
      </w:pPr>
      <w:rPr>
        <w:b w:val="0"/>
        <w:bCs w:val="0"/>
        <w:i w:val="0"/>
        <w:iCs w:val="0"/>
        <w:sz w:val="16"/>
        <w:szCs w:val="16"/>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2145614411">
    <w:abstractNumId w:val="9"/>
  </w:num>
  <w:num w:numId="2" w16cid:durableId="984971845">
    <w:abstractNumId w:val="10"/>
  </w:num>
  <w:num w:numId="3" w16cid:durableId="1266696043">
    <w:abstractNumId w:val="6"/>
  </w:num>
  <w:num w:numId="4" w16cid:durableId="368336300">
    <w:abstractNumId w:val="7"/>
  </w:num>
  <w:num w:numId="5" w16cid:durableId="1007320954">
    <w:abstractNumId w:val="8"/>
  </w:num>
  <w:num w:numId="6" w16cid:durableId="208617145">
    <w:abstractNumId w:val="5"/>
  </w:num>
  <w:num w:numId="7" w16cid:durableId="1180848311">
    <w:abstractNumId w:val="20"/>
  </w:num>
  <w:num w:numId="8" w16cid:durableId="1656228055">
    <w:abstractNumId w:val="22"/>
  </w:num>
  <w:num w:numId="9" w16cid:durableId="1479570561">
    <w:abstractNumId w:val="23"/>
  </w:num>
  <w:num w:numId="10" w16cid:durableId="1899976384">
    <w:abstractNumId w:val="24"/>
  </w:num>
  <w:num w:numId="11" w16cid:durableId="1293171364">
    <w:abstractNumId w:val="26"/>
  </w:num>
  <w:num w:numId="12" w16cid:durableId="943806328">
    <w:abstractNumId w:val="27"/>
  </w:num>
  <w:num w:numId="13" w16cid:durableId="226307353">
    <w:abstractNumId w:val="11"/>
  </w:num>
  <w:num w:numId="14" w16cid:durableId="962805196">
    <w:abstractNumId w:val="18"/>
  </w:num>
  <w:num w:numId="15" w16cid:durableId="1008682033">
    <w:abstractNumId w:val="15"/>
  </w:num>
  <w:num w:numId="16" w16cid:durableId="617376800">
    <w:abstractNumId w:val="19"/>
  </w:num>
  <w:num w:numId="17" w16cid:durableId="241912467">
    <w:abstractNumId w:val="16"/>
  </w:num>
  <w:num w:numId="18" w16cid:durableId="1614751590">
    <w:abstractNumId w:val="17"/>
  </w:num>
  <w:num w:numId="19" w16cid:durableId="1478451270">
    <w:abstractNumId w:val="29"/>
  </w:num>
  <w:num w:numId="20" w16cid:durableId="804128611">
    <w:abstractNumId w:val="0"/>
  </w:num>
  <w:num w:numId="21" w16cid:durableId="710613776">
    <w:abstractNumId w:val="3"/>
  </w:num>
  <w:num w:numId="22" w16cid:durableId="812451866">
    <w:abstractNumId w:val="28"/>
  </w:num>
  <w:num w:numId="23" w16cid:durableId="1007558100">
    <w:abstractNumId w:val="2"/>
  </w:num>
  <w:num w:numId="24" w16cid:durableId="1931886298">
    <w:abstractNumId w:val="4"/>
  </w:num>
  <w:num w:numId="25" w16cid:durableId="1818568006">
    <w:abstractNumId w:val="21"/>
  </w:num>
  <w:num w:numId="26" w16cid:durableId="1786777908">
    <w:abstractNumId w:val="30"/>
  </w:num>
  <w:num w:numId="27" w16cid:durableId="668093763">
    <w:abstractNumId w:val="32"/>
  </w:num>
  <w:num w:numId="28" w16cid:durableId="1580167515">
    <w:abstractNumId w:val="25"/>
  </w:num>
  <w:num w:numId="29" w16cid:durableId="1423526775">
    <w:abstractNumId w:val="1"/>
  </w:num>
  <w:num w:numId="30" w16cid:durableId="14495409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RAFTER_VERSION" w:val="3.40"/>
    <w:docVar w:name="DOCDRAFTERREINDEX" w:val="NO"/>
    <w:docVar w:name="DOCDRAFTERTASKPANE" w:val="4a758959-4005-49e2-b12e-cc3726bc675b"/>
    <w:docVar w:name="VERSIONDETAIL" w:val="0"/>
  </w:docVars>
  <w:rsids>
    <w:rsidRoot w:val="00D45CB9"/>
    <w:rsid w:val="00000BA4"/>
    <w:rsid w:val="00003516"/>
    <w:rsid w:val="00011CE1"/>
    <w:rsid w:val="00012C3A"/>
    <w:rsid w:val="00013439"/>
    <w:rsid w:val="000158D8"/>
    <w:rsid w:val="00020C64"/>
    <w:rsid w:val="000228DE"/>
    <w:rsid w:val="00022B0F"/>
    <w:rsid w:val="00023A70"/>
    <w:rsid w:val="0002461E"/>
    <w:rsid w:val="0002673F"/>
    <w:rsid w:val="0003049C"/>
    <w:rsid w:val="000447B5"/>
    <w:rsid w:val="00045B1D"/>
    <w:rsid w:val="0004681A"/>
    <w:rsid w:val="0006525A"/>
    <w:rsid w:val="000671F2"/>
    <w:rsid w:val="00072BD5"/>
    <w:rsid w:val="000738EF"/>
    <w:rsid w:val="00085175"/>
    <w:rsid w:val="00094D4F"/>
    <w:rsid w:val="00096C3E"/>
    <w:rsid w:val="000A6794"/>
    <w:rsid w:val="000B0D77"/>
    <w:rsid w:val="000B0F62"/>
    <w:rsid w:val="000B121D"/>
    <w:rsid w:val="000B1552"/>
    <w:rsid w:val="000B2CD2"/>
    <w:rsid w:val="000C2966"/>
    <w:rsid w:val="000C2AD0"/>
    <w:rsid w:val="000C5163"/>
    <w:rsid w:val="000C56B2"/>
    <w:rsid w:val="000C69CA"/>
    <w:rsid w:val="000C7E2D"/>
    <w:rsid w:val="000D06D7"/>
    <w:rsid w:val="000D09DB"/>
    <w:rsid w:val="000E0525"/>
    <w:rsid w:val="000E0830"/>
    <w:rsid w:val="000E2075"/>
    <w:rsid w:val="000F777B"/>
    <w:rsid w:val="001039F0"/>
    <w:rsid w:val="001061DD"/>
    <w:rsid w:val="00106291"/>
    <w:rsid w:val="0011214B"/>
    <w:rsid w:val="00126675"/>
    <w:rsid w:val="0013727F"/>
    <w:rsid w:val="00146D5A"/>
    <w:rsid w:val="00146ED2"/>
    <w:rsid w:val="00152220"/>
    <w:rsid w:val="001528FE"/>
    <w:rsid w:val="00152AD7"/>
    <w:rsid w:val="001535EA"/>
    <w:rsid w:val="001619D6"/>
    <w:rsid w:val="00167540"/>
    <w:rsid w:val="00171C7A"/>
    <w:rsid w:val="00176174"/>
    <w:rsid w:val="00183E35"/>
    <w:rsid w:val="0018681A"/>
    <w:rsid w:val="00187C8C"/>
    <w:rsid w:val="00195C44"/>
    <w:rsid w:val="001B23FD"/>
    <w:rsid w:val="001B28CD"/>
    <w:rsid w:val="001C0B28"/>
    <w:rsid w:val="001C0F68"/>
    <w:rsid w:val="001C1A82"/>
    <w:rsid w:val="001C2388"/>
    <w:rsid w:val="001C70A2"/>
    <w:rsid w:val="001D0512"/>
    <w:rsid w:val="001D643A"/>
    <w:rsid w:val="001D70D3"/>
    <w:rsid w:val="001D7468"/>
    <w:rsid w:val="001E0BD0"/>
    <w:rsid w:val="001E12F8"/>
    <w:rsid w:val="001E7829"/>
    <w:rsid w:val="001F062D"/>
    <w:rsid w:val="001F253F"/>
    <w:rsid w:val="001F2958"/>
    <w:rsid w:val="001F2F0E"/>
    <w:rsid w:val="001F304D"/>
    <w:rsid w:val="001F46FA"/>
    <w:rsid w:val="00203396"/>
    <w:rsid w:val="00203DE0"/>
    <w:rsid w:val="00204DD4"/>
    <w:rsid w:val="00205D83"/>
    <w:rsid w:val="002131F4"/>
    <w:rsid w:val="00222A32"/>
    <w:rsid w:val="00223471"/>
    <w:rsid w:val="0023647A"/>
    <w:rsid w:val="00241953"/>
    <w:rsid w:val="0024225B"/>
    <w:rsid w:val="00243736"/>
    <w:rsid w:val="00247BFD"/>
    <w:rsid w:val="00251318"/>
    <w:rsid w:val="00251663"/>
    <w:rsid w:val="002706CF"/>
    <w:rsid w:val="00274F88"/>
    <w:rsid w:val="00280691"/>
    <w:rsid w:val="002849EB"/>
    <w:rsid w:val="00290CF9"/>
    <w:rsid w:val="00293950"/>
    <w:rsid w:val="00294350"/>
    <w:rsid w:val="00295571"/>
    <w:rsid w:val="002A005F"/>
    <w:rsid w:val="002A1BEC"/>
    <w:rsid w:val="002A3A6B"/>
    <w:rsid w:val="002A3BC0"/>
    <w:rsid w:val="002B2022"/>
    <w:rsid w:val="002B2BB7"/>
    <w:rsid w:val="002B3BC0"/>
    <w:rsid w:val="002B4AEC"/>
    <w:rsid w:val="002C06B1"/>
    <w:rsid w:val="002C1D75"/>
    <w:rsid w:val="002C4207"/>
    <w:rsid w:val="002D487B"/>
    <w:rsid w:val="002D517C"/>
    <w:rsid w:val="002E1246"/>
    <w:rsid w:val="002E1C85"/>
    <w:rsid w:val="002E2014"/>
    <w:rsid w:val="003002C8"/>
    <w:rsid w:val="00301439"/>
    <w:rsid w:val="003072D4"/>
    <w:rsid w:val="003107F0"/>
    <w:rsid w:val="00310EBA"/>
    <w:rsid w:val="00313732"/>
    <w:rsid w:val="003269D8"/>
    <w:rsid w:val="00327F81"/>
    <w:rsid w:val="00334A20"/>
    <w:rsid w:val="00335780"/>
    <w:rsid w:val="00335A03"/>
    <w:rsid w:val="0034078F"/>
    <w:rsid w:val="00341031"/>
    <w:rsid w:val="00342E7A"/>
    <w:rsid w:val="00353463"/>
    <w:rsid w:val="00353C06"/>
    <w:rsid w:val="003553C4"/>
    <w:rsid w:val="00357CB6"/>
    <w:rsid w:val="003604C8"/>
    <w:rsid w:val="00360701"/>
    <w:rsid w:val="00361272"/>
    <w:rsid w:val="0036420B"/>
    <w:rsid w:val="003664CB"/>
    <w:rsid w:val="00372530"/>
    <w:rsid w:val="003732F6"/>
    <w:rsid w:val="00376567"/>
    <w:rsid w:val="003957AE"/>
    <w:rsid w:val="003A48D9"/>
    <w:rsid w:val="003A7D38"/>
    <w:rsid w:val="003B149E"/>
    <w:rsid w:val="003B2543"/>
    <w:rsid w:val="003B4A78"/>
    <w:rsid w:val="003C00F9"/>
    <w:rsid w:val="003D0DD1"/>
    <w:rsid w:val="003D650A"/>
    <w:rsid w:val="003E0738"/>
    <w:rsid w:val="003F143B"/>
    <w:rsid w:val="003F660E"/>
    <w:rsid w:val="0040091E"/>
    <w:rsid w:val="00403802"/>
    <w:rsid w:val="00410C19"/>
    <w:rsid w:val="00410F57"/>
    <w:rsid w:val="00411E6A"/>
    <w:rsid w:val="0041774F"/>
    <w:rsid w:val="004232F1"/>
    <w:rsid w:val="004273FF"/>
    <w:rsid w:val="00432B0D"/>
    <w:rsid w:val="004517F3"/>
    <w:rsid w:val="00452105"/>
    <w:rsid w:val="004524D7"/>
    <w:rsid w:val="004528C2"/>
    <w:rsid w:val="00456FB0"/>
    <w:rsid w:val="004620D5"/>
    <w:rsid w:val="00474D3C"/>
    <w:rsid w:val="004814B8"/>
    <w:rsid w:val="0048402A"/>
    <w:rsid w:val="0048558F"/>
    <w:rsid w:val="004A2810"/>
    <w:rsid w:val="004A3AAC"/>
    <w:rsid w:val="004A51B1"/>
    <w:rsid w:val="004C16BE"/>
    <w:rsid w:val="004C4F89"/>
    <w:rsid w:val="004C4FD1"/>
    <w:rsid w:val="004C6717"/>
    <w:rsid w:val="004C6B90"/>
    <w:rsid w:val="004D2733"/>
    <w:rsid w:val="004D321A"/>
    <w:rsid w:val="004D4FAA"/>
    <w:rsid w:val="004D7F84"/>
    <w:rsid w:val="004E0030"/>
    <w:rsid w:val="004E3C1E"/>
    <w:rsid w:val="004E3CFC"/>
    <w:rsid w:val="004F29A7"/>
    <w:rsid w:val="0050018A"/>
    <w:rsid w:val="00501BE9"/>
    <w:rsid w:val="005028EC"/>
    <w:rsid w:val="005056B9"/>
    <w:rsid w:val="005144BB"/>
    <w:rsid w:val="00514BD0"/>
    <w:rsid w:val="0053272B"/>
    <w:rsid w:val="00533201"/>
    <w:rsid w:val="005377E8"/>
    <w:rsid w:val="00541637"/>
    <w:rsid w:val="00541E9F"/>
    <w:rsid w:val="005430E7"/>
    <w:rsid w:val="0055124C"/>
    <w:rsid w:val="0056609A"/>
    <w:rsid w:val="00566316"/>
    <w:rsid w:val="005717BE"/>
    <w:rsid w:val="00574128"/>
    <w:rsid w:val="0057466B"/>
    <w:rsid w:val="005764CD"/>
    <w:rsid w:val="00582788"/>
    <w:rsid w:val="005857DB"/>
    <w:rsid w:val="00586071"/>
    <w:rsid w:val="0058772F"/>
    <w:rsid w:val="005A0FE3"/>
    <w:rsid w:val="005A3517"/>
    <w:rsid w:val="005A6E42"/>
    <w:rsid w:val="005A7E86"/>
    <w:rsid w:val="005B5C03"/>
    <w:rsid w:val="005C3CFD"/>
    <w:rsid w:val="005C4292"/>
    <w:rsid w:val="005C6BBB"/>
    <w:rsid w:val="005D3811"/>
    <w:rsid w:val="005D693E"/>
    <w:rsid w:val="005E04A0"/>
    <w:rsid w:val="005E0D59"/>
    <w:rsid w:val="005E168F"/>
    <w:rsid w:val="005E734D"/>
    <w:rsid w:val="005F2371"/>
    <w:rsid w:val="005F379A"/>
    <w:rsid w:val="0060045F"/>
    <w:rsid w:val="00612BFE"/>
    <w:rsid w:val="00621CC7"/>
    <w:rsid w:val="00622947"/>
    <w:rsid w:val="00622BB8"/>
    <w:rsid w:val="00625E47"/>
    <w:rsid w:val="00626532"/>
    <w:rsid w:val="00634D0D"/>
    <w:rsid w:val="00637D7A"/>
    <w:rsid w:val="006433BB"/>
    <w:rsid w:val="006531E7"/>
    <w:rsid w:val="00653F5D"/>
    <w:rsid w:val="0066416C"/>
    <w:rsid w:val="00667776"/>
    <w:rsid w:val="006713A6"/>
    <w:rsid w:val="00676E1F"/>
    <w:rsid w:val="00676EA0"/>
    <w:rsid w:val="00683BF7"/>
    <w:rsid w:val="00694953"/>
    <w:rsid w:val="00695B45"/>
    <w:rsid w:val="006A4193"/>
    <w:rsid w:val="006A6686"/>
    <w:rsid w:val="006C2CE8"/>
    <w:rsid w:val="006D0B3E"/>
    <w:rsid w:val="006D64FB"/>
    <w:rsid w:val="006D733E"/>
    <w:rsid w:val="006E4BA0"/>
    <w:rsid w:val="006F3049"/>
    <w:rsid w:val="007126DB"/>
    <w:rsid w:val="00712B46"/>
    <w:rsid w:val="007130C6"/>
    <w:rsid w:val="00713F58"/>
    <w:rsid w:val="007305C0"/>
    <w:rsid w:val="00731222"/>
    <w:rsid w:val="00732FA5"/>
    <w:rsid w:val="0073502D"/>
    <w:rsid w:val="00751A44"/>
    <w:rsid w:val="007525CD"/>
    <w:rsid w:val="00755380"/>
    <w:rsid w:val="00755DB4"/>
    <w:rsid w:val="00757C73"/>
    <w:rsid w:val="0076019B"/>
    <w:rsid w:val="00761E71"/>
    <w:rsid w:val="00763807"/>
    <w:rsid w:val="00765C31"/>
    <w:rsid w:val="00767949"/>
    <w:rsid w:val="00770D6C"/>
    <w:rsid w:val="00771A9F"/>
    <w:rsid w:val="00777413"/>
    <w:rsid w:val="00777A89"/>
    <w:rsid w:val="00786023"/>
    <w:rsid w:val="00787B97"/>
    <w:rsid w:val="0079392A"/>
    <w:rsid w:val="007A144A"/>
    <w:rsid w:val="007A14AB"/>
    <w:rsid w:val="007A4E5B"/>
    <w:rsid w:val="007C4316"/>
    <w:rsid w:val="007C48D0"/>
    <w:rsid w:val="007C7265"/>
    <w:rsid w:val="007D08C3"/>
    <w:rsid w:val="007D5293"/>
    <w:rsid w:val="007E587B"/>
    <w:rsid w:val="007F571D"/>
    <w:rsid w:val="007F6E3A"/>
    <w:rsid w:val="007F7099"/>
    <w:rsid w:val="007F7A9B"/>
    <w:rsid w:val="008008E7"/>
    <w:rsid w:val="00800A09"/>
    <w:rsid w:val="008037E3"/>
    <w:rsid w:val="00807122"/>
    <w:rsid w:val="00814E45"/>
    <w:rsid w:val="008226FF"/>
    <w:rsid w:val="00823784"/>
    <w:rsid w:val="008238AF"/>
    <w:rsid w:val="0082676C"/>
    <w:rsid w:val="00841DD7"/>
    <w:rsid w:val="008438F3"/>
    <w:rsid w:val="00851C59"/>
    <w:rsid w:val="0085496D"/>
    <w:rsid w:val="0085740A"/>
    <w:rsid w:val="00857441"/>
    <w:rsid w:val="00861F3E"/>
    <w:rsid w:val="008622AA"/>
    <w:rsid w:val="00876623"/>
    <w:rsid w:val="008818D2"/>
    <w:rsid w:val="00895747"/>
    <w:rsid w:val="0089605B"/>
    <w:rsid w:val="00896684"/>
    <w:rsid w:val="00896F8A"/>
    <w:rsid w:val="008A0C39"/>
    <w:rsid w:val="008A29EA"/>
    <w:rsid w:val="008A7F6D"/>
    <w:rsid w:val="008B04C0"/>
    <w:rsid w:val="008B3E00"/>
    <w:rsid w:val="008B45B0"/>
    <w:rsid w:val="008C0977"/>
    <w:rsid w:val="008C098F"/>
    <w:rsid w:val="008C26ED"/>
    <w:rsid w:val="008C3A9A"/>
    <w:rsid w:val="008C5749"/>
    <w:rsid w:val="008C7D2B"/>
    <w:rsid w:val="008D12BA"/>
    <w:rsid w:val="008D6FF4"/>
    <w:rsid w:val="008D7E38"/>
    <w:rsid w:val="008E16B6"/>
    <w:rsid w:val="008E775F"/>
    <w:rsid w:val="008F0798"/>
    <w:rsid w:val="008F764A"/>
    <w:rsid w:val="00902D28"/>
    <w:rsid w:val="009059A2"/>
    <w:rsid w:val="00906E50"/>
    <w:rsid w:val="009221A4"/>
    <w:rsid w:val="009277A8"/>
    <w:rsid w:val="00932F49"/>
    <w:rsid w:val="00936452"/>
    <w:rsid w:val="00941246"/>
    <w:rsid w:val="00947741"/>
    <w:rsid w:val="00951C60"/>
    <w:rsid w:val="00954D89"/>
    <w:rsid w:val="00955558"/>
    <w:rsid w:val="00960082"/>
    <w:rsid w:val="0096112B"/>
    <w:rsid w:val="00967F18"/>
    <w:rsid w:val="00971A4F"/>
    <w:rsid w:val="00974B91"/>
    <w:rsid w:val="00980D99"/>
    <w:rsid w:val="00986437"/>
    <w:rsid w:val="00986908"/>
    <w:rsid w:val="00992A49"/>
    <w:rsid w:val="00992E8D"/>
    <w:rsid w:val="00996C4E"/>
    <w:rsid w:val="009A0244"/>
    <w:rsid w:val="009A0B6C"/>
    <w:rsid w:val="009A2A10"/>
    <w:rsid w:val="009A33EE"/>
    <w:rsid w:val="009A48F9"/>
    <w:rsid w:val="009A787F"/>
    <w:rsid w:val="009B042C"/>
    <w:rsid w:val="009B21AE"/>
    <w:rsid w:val="009B249E"/>
    <w:rsid w:val="009B7BA4"/>
    <w:rsid w:val="009D4345"/>
    <w:rsid w:val="009E17AD"/>
    <w:rsid w:val="009E3168"/>
    <w:rsid w:val="009E489B"/>
    <w:rsid w:val="009E677D"/>
    <w:rsid w:val="009F21E6"/>
    <w:rsid w:val="009F7E3D"/>
    <w:rsid w:val="00A004E1"/>
    <w:rsid w:val="00A02A07"/>
    <w:rsid w:val="00A2215A"/>
    <w:rsid w:val="00A232E4"/>
    <w:rsid w:val="00A24099"/>
    <w:rsid w:val="00A25B00"/>
    <w:rsid w:val="00A26D98"/>
    <w:rsid w:val="00A2705C"/>
    <w:rsid w:val="00A275C7"/>
    <w:rsid w:val="00A30476"/>
    <w:rsid w:val="00A30BBD"/>
    <w:rsid w:val="00A33673"/>
    <w:rsid w:val="00A37FE7"/>
    <w:rsid w:val="00A41B08"/>
    <w:rsid w:val="00A44EB8"/>
    <w:rsid w:val="00A458D2"/>
    <w:rsid w:val="00A45A31"/>
    <w:rsid w:val="00A53B75"/>
    <w:rsid w:val="00A63574"/>
    <w:rsid w:val="00A64D22"/>
    <w:rsid w:val="00A6578F"/>
    <w:rsid w:val="00A679E7"/>
    <w:rsid w:val="00A735D7"/>
    <w:rsid w:val="00A73671"/>
    <w:rsid w:val="00A746AA"/>
    <w:rsid w:val="00A75840"/>
    <w:rsid w:val="00A7646A"/>
    <w:rsid w:val="00A77DAB"/>
    <w:rsid w:val="00A839C7"/>
    <w:rsid w:val="00A845CC"/>
    <w:rsid w:val="00A91573"/>
    <w:rsid w:val="00A9160A"/>
    <w:rsid w:val="00A91EFC"/>
    <w:rsid w:val="00A94BD5"/>
    <w:rsid w:val="00AA0FCE"/>
    <w:rsid w:val="00AA2873"/>
    <w:rsid w:val="00AB07A0"/>
    <w:rsid w:val="00AB4BBD"/>
    <w:rsid w:val="00AC13E5"/>
    <w:rsid w:val="00AC2E4C"/>
    <w:rsid w:val="00AD113F"/>
    <w:rsid w:val="00AD343C"/>
    <w:rsid w:val="00AD3A27"/>
    <w:rsid w:val="00AE0205"/>
    <w:rsid w:val="00AE234F"/>
    <w:rsid w:val="00AE45BA"/>
    <w:rsid w:val="00AE7B9E"/>
    <w:rsid w:val="00B00B9C"/>
    <w:rsid w:val="00B00DC0"/>
    <w:rsid w:val="00B06302"/>
    <w:rsid w:val="00B10E66"/>
    <w:rsid w:val="00B12C7B"/>
    <w:rsid w:val="00B200D1"/>
    <w:rsid w:val="00B27731"/>
    <w:rsid w:val="00B40878"/>
    <w:rsid w:val="00B43238"/>
    <w:rsid w:val="00B51E8B"/>
    <w:rsid w:val="00B57955"/>
    <w:rsid w:val="00B63311"/>
    <w:rsid w:val="00B63EAA"/>
    <w:rsid w:val="00B7143C"/>
    <w:rsid w:val="00B72BD5"/>
    <w:rsid w:val="00B73412"/>
    <w:rsid w:val="00B74C46"/>
    <w:rsid w:val="00B812F2"/>
    <w:rsid w:val="00B9003B"/>
    <w:rsid w:val="00B915E6"/>
    <w:rsid w:val="00B93476"/>
    <w:rsid w:val="00B93687"/>
    <w:rsid w:val="00B96AA6"/>
    <w:rsid w:val="00BA0E17"/>
    <w:rsid w:val="00BA20E7"/>
    <w:rsid w:val="00BC0339"/>
    <w:rsid w:val="00BC197F"/>
    <w:rsid w:val="00BC4F82"/>
    <w:rsid w:val="00BD6120"/>
    <w:rsid w:val="00BE31E4"/>
    <w:rsid w:val="00BF1EC0"/>
    <w:rsid w:val="00BF20E2"/>
    <w:rsid w:val="00BF487E"/>
    <w:rsid w:val="00BF545F"/>
    <w:rsid w:val="00C00046"/>
    <w:rsid w:val="00C034B7"/>
    <w:rsid w:val="00C062CA"/>
    <w:rsid w:val="00C065AB"/>
    <w:rsid w:val="00C072E0"/>
    <w:rsid w:val="00C10E66"/>
    <w:rsid w:val="00C20A91"/>
    <w:rsid w:val="00C22F7F"/>
    <w:rsid w:val="00C23D59"/>
    <w:rsid w:val="00C3119F"/>
    <w:rsid w:val="00C31985"/>
    <w:rsid w:val="00C43ADA"/>
    <w:rsid w:val="00C45A5C"/>
    <w:rsid w:val="00C53CD6"/>
    <w:rsid w:val="00C54077"/>
    <w:rsid w:val="00C571F4"/>
    <w:rsid w:val="00C57B50"/>
    <w:rsid w:val="00C64873"/>
    <w:rsid w:val="00C67084"/>
    <w:rsid w:val="00C674AA"/>
    <w:rsid w:val="00C72513"/>
    <w:rsid w:val="00C741CB"/>
    <w:rsid w:val="00C756D1"/>
    <w:rsid w:val="00C7574C"/>
    <w:rsid w:val="00C75C41"/>
    <w:rsid w:val="00C81BE5"/>
    <w:rsid w:val="00C851C1"/>
    <w:rsid w:val="00C87EC0"/>
    <w:rsid w:val="00C90684"/>
    <w:rsid w:val="00C939F0"/>
    <w:rsid w:val="00C93FB0"/>
    <w:rsid w:val="00C94DDA"/>
    <w:rsid w:val="00C952D1"/>
    <w:rsid w:val="00CA096C"/>
    <w:rsid w:val="00CA6182"/>
    <w:rsid w:val="00CB6559"/>
    <w:rsid w:val="00CC31B9"/>
    <w:rsid w:val="00CC5DA2"/>
    <w:rsid w:val="00CC71AF"/>
    <w:rsid w:val="00CD2843"/>
    <w:rsid w:val="00CD331A"/>
    <w:rsid w:val="00CD393E"/>
    <w:rsid w:val="00CD4DFD"/>
    <w:rsid w:val="00CE1D3C"/>
    <w:rsid w:val="00CF0D7C"/>
    <w:rsid w:val="00CF7666"/>
    <w:rsid w:val="00D02CFE"/>
    <w:rsid w:val="00D0475B"/>
    <w:rsid w:val="00D05A59"/>
    <w:rsid w:val="00D13289"/>
    <w:rsid w:val="00D146CB"/>
    <w:rsid w:val="00D1489F"/>
    <w:rsid w:val="00D25EDE"/>
    <w:rsid w:val="00D264F6"/>
    <w:rsid w:val="00D372DC"/>
    <w:rsid w:val="00D37E5D"/>
    <w:rsid w:val="00D4019B"/>
    <w:rsid w:val="00D44979"/>
    <w:rsid w:val="00D45CB9"/>
    <w:rsid w:val="00D474C5"/>
    <w:rsid w:val="00D62CBC"/>
    <w:rsid w:val="00D63A93"/>
    <w:rsid w:val="00D757FE"/>
    <w:rsid w:val="00D810AA"/>
    <w:rsid w:val="00D83CBA"/>
    <w:rsid w:val="00D85A5A"/>
    <w:rsid w:val="00D87F00"/>
    <w:rsid w:val="00D923F3"/>
    <w:rsid w:val="00D96519"/>
    <w:rsid w:val="00DA7490"/>
    <w:rsid w:val="00DB033A"/>
    <w:rsid w:val="00DB1CA7"/>
    <w:rsid w:val="00DB335A"/>
    <w:rsid w:val="00DB4910"/>
    <w:rsid w:val="00DB569D"/>
    <w:rsid w:val="00DD1141"/>
    <w:rsid w:val="00DD315C"/>
    <w:rsid w:val="00DD67A4"/>
    <w:rsid w:val="00DE1919"/>
    <w:rsid w:val="00DE4696"/>
    <w:rsid w:val="00DE74E1"/>
    <w:rsid w:val="00DF63AC"/>
    <w:rsid w:val="00DF6F08"/>
    <w:rsid w:val="00E01CE1"/>
    <w:rsid w:val="00E117EF"/>
    <w:rsid w:val="00E13DA1"/>
    <w:rsid w:val="00E215BD"/>
    <w:rsid w:val="00E25FF0"/>
    <w:rsid w:val="00E269DF"/>
    <w:rsid w:val="00E306B0"/>
    <w:rsid w:val="00E42B95"/>
    <w:rsid w:val="00E462E2"/>
    <w:rsid w:val="00E56282"/>
    <w:rsid w:val="00E578D7"/>
    <w:rsid w:val="00E633C5"/>
    <w:rsid w:val="00E7039B"/>
    <w:rsid w:val="00E70452"/>
    <w:rsid w:val="00E7301D"/>
    <w:rsid w:val="00E73CF5"/>
    <w:rsid w:val="00E872CE"/>
    <w:rsid w:val="00E875B3"/>
    <w:rsid w:val="00E90D7C"/>
    <w:rsid w:val="00E940A1"/>
    <w:rsid w:val="00E9495C"/>
    <w:rsid w:val="00EA08B4"/>
    <w:rsid w:val="00EA222A"/>
    <w:rsid w:val="00EA3D3F"/>
    <w:rsid w:val="00EB17FA"/>
    <w:rsid w:val="00EB48B4"/>
    <w:rsid w:val="00EB69DA"/>
    <w:rsid w:val="00EB79EF"/>
    <w:rsid w:val="00EC5B5F"/>
    <w:rsid w:val="00EC70A2"/>
    <w:rsid w:val="00ED10F3"/>
    <w:rsid w:val="00ED25F0"/>
    <w:rsid w:val="00EE06AA"/>
    <w:rsid w:val="00EE0826"/>
    <w:rsid w:val="00EE1BBB"/>
    <w:rsid w:val="00EE716E"/>
    <w:rsid w:val="00EF0665"/>
    <w:rsid w:val="00EF6BCE"/>
    <w:rsid w:val="00F0046A"/>
    <w:rsid w:val="00F01528"/>
    <w:rsid w:val="00F024B0"/>
    <w:rsid w:val="00F029BD"/>
    <w:rsid w:val="00F036E8"/>
    <w:rsid w:val="00F05F0E"/>
    <w:rsid w:val="00F123FC"/>
    <w:rsid w:val="00F12939"/>
    <w:rsid w:val="00F1556F"/>
    <w:rsid w:val="00F16DC4"/>
    <w:rsid w:val="00F174F9"/>
    <w:rsid w:val="00F21116"/>
    <w:rsid w:val="00F222D9"/>
    <w:rsid w:val="00F35C13"/>
    <w:rsid w:val="00F43DCA"/>
    <w:rsid w:val="00F44C35"/>
    <w:rsid w:val="00F478FE"/>
    <w:rsid w:val="00F5113B"/>
    <w:rsid w:val="00F52818"/>
    <w:rsid w:val="00F56925"/>
    <w:rsid w:val="00F57DD2"/>
    <w:rsid w:val="00F67680"/>
    <w:rsid w:val="00F721CC"/>
    <w:rsid w:val="00F73662"/>
    <w:rsid w:val="00F81A1C"/>
    <w:rsid w:val="00F835FD"/>
    <w:rsid w:val="00F84B98"/>
    <w:rsid w:val="00F928BE"/>
    <w:rsid w:val="00F974A9"/>
    <w:rsid w:val="00FA0AF8"/>
    <w:rsid w:val="00FA54ED"/>
    <w:rsid w:val="00FB4115"/>
    <w:rsid w:val="00FC3356"/>
    <w:rsid w:val="00FC6F51"/>
    <w:rsid w:val="00FD0132"/>
    <w:rsid w:val="00FD37A8"/>
    <w:rsid w:val="00FD3B28"/>
    <w:rsid w:val="00FD49C3"/>
    <w:rsid w:val="00FD7F71"/>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B38D4F"/>
  <w15:chartTrackingRefBased/>
  <w15:docId w15:val="{7D1FCB84-7E6C-4CCD-9AD4-6D30BBF0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de-AT" w:eastAsia="de-AT" w:bidi="ar-SA"/>
      </w:rPr>
    </w:rPrDefault>
    <w:pPrDefault>
      <w:pPr>
        <w:spacing w:line="280" w:lineRule="atLeast"/>
      </w:pPr>
    </w:pPrDefault>
  </w:docDefaults>
  <w:latentStyles w:defLockedState="0" w:defUIPriority="0" w:defSemiHidden="0" w:defUnhideWhenUsed="0" w:defQFormat="0" w:count="376">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style>
  <w:style w:type="paragraph" w:styleId="Heading1">
    <w:name w:val="heading 1"/>
    <w:basedOn w:val="Normal"/>
    <w:next w:val="Normal"/>
    <w:link w:val="Heading1Char"/>
    <w:semiHidden/>
    <w:rsid w:val="00D45C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semiHidden/>
    <w:rsid w:val="00D45C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rsid w:val="00D45CB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rsid w:val="00D45CB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rsid w:val="00D45CB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rsid w:val="00D45CB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rsid w:val="00D45CB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rsid w:val="00D45CB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rsid w:val="00D45CB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zero">
    <w:name w:val="S_zero"/>
    <w:hidden/>
    <w:uiPriority w:val="1"/>
  </w:style>
  <w:style w:type="paragraph" w:customStyle="1" w:styleId="SheadingI">
    <w:name w:val="S_heading I."/>
    <w:basedOn w:val="Stext"/>
    <w:next w:val="Sheading1"/>
    <w:qFormat/>
    <w:pPr>
      <w:keepNext/>
      <w:keepLines/>
      <w:numPr>
        <w:numId w:val="1"/>
      </w:numPr>
      <w:outlineLvl w:val="0"/>
    </w:pPr>
    <w:rPr>
      <w:b/>
    </w:rPr>
  </w:style>
  <w:style w:type="paragraph" w:customStyle="1" w:styleId="Sheading1">
    <w:name w:val="S_heading 1"/>
    <w:basedOn w:val="Stext1"/>
    <w:next w:val="Stext1"/>
    <w:uiPriority w:val="1"/>
    <w:qFormat/>
    <w:pPr>
      <w:keepNext/>
      <w:keepLines/>
      <w:numPr>
        <w:ilvl w:val="1"/>
        <w:numId w:val="1"/>
      </w:numPr>
      <w:outlineLvl w:val="0"/>
    </w:pPr>
    <w:rPr>
      <w:b/>
    </w:rPr>
  </w:style>
  <w:style w:type="paragraph" w:customStyle="1" w:styleId="Sheading2">
    <w:name w:val="S_heading 2"/>
    <w:basedOn w:val="Stext2"/>
    <w:next w:val="Stext2"/>
    <w:uiPriority w:val="1"/>
    <w:qFormat/>
    <w:pPr>
      <w:keepNext/>
      <w:keepLines/>
      <w:numPr>
        <w:ilvl w:val="2"/>
        <w:numId w:val="1"/>
      </w:numPr>
      <w:outlineLvl w:val="1"/>
    </w:pPr>
  </w:style>
  <w:style w:type="paragraph" w:customStyle="1" w:styleId="Sheading3">
    <w:name w:val="S_heading 3"/>
    <w:basedOn w:val="Stext3"/>
    <w:next w:val="Stext3"/>
    <w:uiPriority w:val="1"/>
    <w:qFormat/>
    <w:pPr>
      <w:keepNext/>
      <w:keepLines/>
      <w:numPr>
        <w:ilvl w:val="3"/>
        <w:numId w:val="1"/>
      </w:numPr>
      <w:outlineLvl w:val="2"/>
    </w:pPr>
  </w:style>
  <w:style w:type="paragraph" w:customStyle="1" w:styleId="Sheading4">
    <w:name w:val="S_heading 4"/>
    <w:basedOn w:val="Stext4"/>
    <w:next w:val="Stext4"/>
    <w:uiPriority w:val="1"/>
    <w:qFormat/>
    <w:pPr>
      <w:keepNext/>
      <w:keepLines/>
      <w:numPr>
        <w:ilvl w:val="4"/>
        <w:numId w:val="1"/>
      </w:numPr>
      <w:outlineLvl w:val="3"/>
    </w:pPr>
  </w:style>
  <w:style w:type="paragraph" w:customStyle="1" w:styleId="Sheading5">
    <w:name w:val="S_heading 5"/>
    <w:basedOn w:val="Stext5"/>
    <w:next w:val="Stext5"/>
    <w:uiPriority w:val="1"/>
    <w:qFormat/>
    <w:pPr>
      <w:keepNext/>
      <w:keepLines/>
      <w:numPr>
        <w:ilvl w:val="5"/>
        <w:numId w:val="1"/>
      </w:numPr>
      <w:outlineLvl w:val="4"/>
    </w:pPr>
  </w:style>
  <w:style w:type="paragraph" w:customStyle="1" w:styleId="SheadingIarb">
    <w:name w:val="S_heading I._arb"/>
    <w:basedOn w:val="Stext"/>
    <w:next w:val="Sheading1arb"/>
    <w:uiPriority w:val="8"/>
    <w:semiHidden/>
    <w:unhideWhenUsed/>
    <w:qFormat/>
    <w:pPr>
      <w:keepNext/>
      <w:keepLines/>
      <w:numPr>
        <w:numId w:val="6"/>
      </w:numPr>
      <w:outlineLvl w:val="0"/>
    </w:pPr>
    <w:rPr>
      <w:b/>
    </w:rPr>
  </w:style>
  <w:style w:type="paragraph" w:customStyle="1" w:styleId="Sheading1arb">
    <w:name w:val="S_heading 1_arb"/>
    <w:basedOn w:val="Stext1"/>
    <w:next w:val="Stext1arb"/>
    <w:uiPriority w:val="9"/>
    <w:semiHidden/>
    <w:unhideWhenUsed/>
    <w:qFormat/>
    <w:pPr>
      <w:keepNext/>
      <w:keepLines/>
      <w:numPr>
        <w:ilvl w:val="1"/>
        <w:numId w:val="6"/>
      </w:numPr>
      <w:outlineLvl w:val="0"/>
    </w:pPr>
    <w:rPr>
      <w:b/>
    </w:rPr>
  </w:style>
  <w:style w:type="paragraph" w:customStyle="1" w:styleId="Sheading2arb">
    <w:name w:val="S_heading 2_arb"/>
    <w:basedOn w:val="Stext2"/>
    <w:next w:val="Stext2arb"/>
    <w:uiPriority w:val="9"/>
    <w:semiHidden/>
    <w:unhideWhenUsed/>
    <w:qFormat/>
    <w:pPr>
      <w:keepNext/>
      <w:keepLines/>
      <w:numPr>
        <w:ilvl w:val="2"/>
        <w:numId w:val="6"/>
      </w:numPr>
      <w:outlineLvl w:val="1"/>
    </w:pPr>
    <w:rPr>
      <w:b/>
    </w:rPr>
  </w:style>
  <w:style w:type="paragraph" w:customStyle="1" w:styleId="Sheading3arb">
    <w:name w:val="S_heading 3_arb"/>
    <w:basedOn w:val="Stext3"/>
    <w:next w:val="Stext3arb"/>
    <w:uiPriority w:val="9"/>
    <w:semiHidden/>
    <w:unhideWhenUsed/>
    <w:qFormat/>
    <w:pPr>
      <w:keepNext/>
      <w:keepLines/>
      <w:numPr>
        <w:ilvl w:val="3"/>
        <w:numId w:val="6"/>
      </w:numPr>
      <w:outlineLvl w:val="2"/>
    </w:pPr>
    <w:rPr>
      <w:b/>
    </w:rPr>
  </w:style>
  <w:style w:type="paragraph" w:customStyle="1" w:styleId="Sheading4arb">
    <w:name w:val="S_heading 4_arb"/>
    <w:basedOn w:val="Stext4"/>
    <w:next w:val="Stext4arb"/>
    <w:uiPriority w:val="9"/>
    <w:semiHidden/>
    <w:unhideWhenUsed/>
    <w:qFormat/>
    <w:pPr>
      <w:keepNext/>
      <w:keepLines/>
      <w:numPr>
        <w:ilvl w:val="4"/>
        <w:numId w:val="6"/>
      </w:numPr>
      <w:outlineLvl w:val="3"/>
    </w:pPr>
  </w:style>
  <w:style w:type="paragraph" w:customStyle="1" w:styleId="Sheading5arb">
    <w:name w:val="S_heading 5_arb"/>
    <w:basedOn w:val="Stext5arb"/>
    <w:next w:val="Stext5"/>
    <w:uiPriority w:val="9"/>
    <w:semiHidden/>
    <w:unhideWhenUsed/>
    <w:qFormat/>
    <w:pPr>
      <w:keepNext/>
      <w:keepLines/>
      <w:numPr>
        <w:ilvl w:val="5"/>
        <w:numId w:val="6"/>
      </w:numPr>
      <w:outlineLvl w:val="4"/>
    </w:pPr>
  </w:style>
  <w:style w:type="paragraph" w:customStyle="1" w:styleId="SheadingIL">
    <w:name w:val="S_heading I. L"/>
    <w:basedOn w:val="Stext"/>
    <w:next w:val="SheadingL1"/>
    <w:uiPriority w:val="2"/>
    <w:semiHidden/>
    <w:unhideWhenUsed/>
    <w:qFormat/>
    <w:pPr>
      <w:keepNext/>
      <w:keepLines/>
      <w:numPr>
        <w:numId w:val="3"/>
      </w:numPr>
      <w:outlineLvl w:val="0"/>
    </w:pPr>
    <w:rPr>
      <w:b/>
    </w:rPr>
  </w:style>
  <w:style w:type="paragraph" w:customStyle="1" w:styleId="SheadingL1">
    <w:name w:val="S_headingL1"/>
    <w:basedOn w:val="Stext1"/>
    <w:next w:val="Stext1"/>
    <w:uiPriority w:val="3"/>
    <w:semiHidden/>
    <w:unhideWhenUsed/>
    <w:qFormat/>
    <w:pPr>
      <w:keepNext/>
      <w:numPr>
        <w:ilvl w:val="1"/>
        <w:numId w:val="3"/>
      </w:numPr>
      <w:outlineLvl w:val="0"/>
    </w:pPr>
    <w:rPr>
      <w:b/>
    </w:rPr>
  </w:style>
  <w:style w:type="paragraph" w:customStyle="1" w:styleId="SheadingL2">
    <w:name w:val="S_headingL2"/>
    <w:basedOn w:val="Stext2"/>
    <w:next w:val="Stext2"/>
    <w:uiPriority w:val="3"/>
    <w:semiHidden/>
    <w:unhideWhenUsed/>
    <w:qFormat/>
    <w:pPr>
      <w:keepNext/>
      <w:numPr>
        <w:ilvl w:val="2"/>
        <w:numId w:val="3"/>
      </w:numPr>
      <w:outlineLvl w:val="1"/>
    </w:pPr>
  </w:style>
  <w:style w:type="paragraph" w:customStyle="1" w:styleId="SheadingL3">
    <w:name w:val="S_headingL3"/>
    <w:basedOn w:val="Stext3"/>
    <w:next w:val="Stext3"/>
    <w:uiPriority w:val="3"/>
    <w:semiHidden/>
    <w:unhideWhenUsed/>
    <w:qFormat/>
    <w:pPr>
      <w:keepNext/>
      <w:numPr>
        <w:ilvl w:val="3"/>
        <w:numId w:val="3"/>
      </w:numPr>
      <w:outlineLvl w:val="2"/>
    </w:pPr>
  </w:style>
  <w:style w:type="paragraph" w:customStyle="1" w:styleId="SheadingL4">
    <w:name w:val="S_headingL4"/>
    <w:basedOn w:val="Stext4"/>
    <w:next w:val="Stext4"/>
    <w:uiPriority w:val="3"/>
    <w:semiHidden/>
    <w:unhideWhenUsed/>
    <w:qFormat/>
    <w:pPr>
      <w:keepNext/>
      <w:numPr>
        <w:ilvl w:val="4"/>
        <w:numId w:val="3"/>
      </w:numPr>
      <w:outlineLvl w:val="3"/>
    </w:pPr>
  </w:style>
  <w:style w:type="paragraph" w:customStyle="1" w:styleId="SheadingL5">
    <w:name w:val="S_headingL5"/>
    <w:basedOn w:val="Stext5"/>
    <w:next w:val="Stext5"/>
    <w:uiPriority w:val="3"/>
    <w:semiHidden/>
    <w:unhideWhenUsed/>
    <w:qFormat/>
    <w:pPr>
      <w:keepNext/>
      <w:numPr>
        <w:ilvl w:val="5"/>
        <w:numId w:val="3"/>
      </w:numPr>
      <w:outlineLvl w:val="4"/>
    </w:pPr>
  </w:style>
  <w:style w:type="paragraph" w:customStyle="1" w:styleId="SheadingIM">
    <w:name w:val="S_heading I. M"/>
    <w:basedOn w:val="Stext"/>
    <w:next w:val="SheadingM1"/>
    <w:uiPriority w:val="4"/>
    <w:semiHidden/>
    <w:unhideWhenUsed/>
    <w:qFormat/>
    <w:pPr>
      <w:keepNext/>
      <w:keepLines/>
      <w:numPr>
        <w:numId w:val="4"/>
      </w:numPr>
      <w:outlineLvl w:val="0"/>
    </w:pPr>
    <w:rPr>
      <w:b/>
    </w:rPr>
  </w:style>
  <w:style w:type="paragraph" w:customStyle="1" w:styleId="SheadingM1">
    <w:name w:val="S_headingM1"/>
    <w:basedOn w:val="Stext1"/>
    <w:next w:val="Stext1"/>
    <w:uiPriority w:val="5"/>
    <w:semiHidden/>
    <w:unhideWhenUsed/>
    <w:qFormat/>
    <w:pPr>
      <w:keepNext/>
      <w:numPr>
        <w:ilvl w:val="1"/>
        <w:numId w:val="4"/>
      </w:numPr>
      <w:outlineLvl w:val="0"/>
    </w:pPr>
    <w:rPr>
      <w:b/>
    </w:rPr>
  </w:style>
  <w:style w:type="paragraph" w:customStyle="1" w:styleId="SheadingM2">
    <w:name w:val="S_headingM2"/>
    <w:basedOn w:val="Stext2"/>
    <w:next w:val="Stext2"/>
    <w:uiPriority w:val="5"/>
    <w:semiHidden/>
    <w:unhideWhenUsed/>
    <w:qFormat/>
    <w:pPr>
      <w:keepNext/>
      <w:numPr>
        <w:ilvl w:val="2"/>
        <w:numId w:val="4"/>
      </w:numPr>
      <w:outlineLvl w:val="1"/>
    </w:pPr>
  </w:style>
  <w:style w:type="paragraph" w:customStyle="1" w:styleId="SheadingM3">
    <w:name w:val="S_headingM3"/>
    <w:basedOn w:val="Stext3"/>
    <w:next w:val="Stext3"/>
    <w:uiPriority w:val="5"/>
    <w:semiHidden/>
    <w:unhideWhenUsed/>
    <w:qFormat/>
    <w:pPr>
      <w:keepNext/>
      <w:numPr>
        <w:ilvl w:val="3"/>
        <w:numId w:val="4"/>
      </w:numPr>
      <w:outlineLvl w:val="2"/>
    </w:pPr>
  </w:style>
  <w:style w:type="paragraph" w:customStyle="1" w:styleId="SheadingM4">
    <w:name w:val="S_headingM4"/>
    <w:basedOn w:val="Stext4"/>
    <w:next w:val="Stext4"/>
    <w:uiPriority w:val="5"/>
    <w:semiHidden/>
    <w:unhideWhenUsed/>
    <w:qFormat/>
    <w:pPr>
      <w:keepNext/>
      <w:numPr>
        <w:ilvl w:val="4"/>
        <w:numId w:val="4"/>
      </w:numPr>
      <w:outlineLvl w:val="3"/>
    </w:pPr>
  </w:style>
  <w:style w:type="paragraph" w:customStyle="1" w:styleId="SheadingM5">
    <w:name w:val="S_headingM5"/>
    <w:basedOn w:val="Stext5"/>
    <w:next w:val="Stext5"/>
    <w:uiPriority w:val="5"/>
    <w:semiHidden/>
    <w:unhideWhenUsed/>
    <w:qFormat/>
    <w:pPr>
      <w:keepNext/>
      <w:numPr>
        <w:ilvl w:val="5"/>
        <w:numId w:val="4"/>
      </w:numPr>
      <w:outlineLvl w:val="4"/>
    </w:pPr>
  </w:style>
  <w:style w:type="paragraph" w:customStyle="1" w:styleId="SheadingIR">
    <w:name w:val="S_heading I. R"/>
    <w:basedOn w:val="Stext"/>
    <w:next w:val="SheadingR1"/>
    <w:uiPriority w:val="6"/>
    <w:semiHidden/>
    <w:unhideWhenUsed/>
    <w:qFormat/>
    <w:pPr>
      <w:keepNext/>
      <w:keepLines/>
      <w:numPr>
        <w:numId w:val="5"/>
      </w:numPr>
      <w:outlineLvl w:val="0"/>
    </w:pPr>
    <w:rPr>
      <w:b/>
    </w:rPr>
  </w:style>
  <w:style w:type="paragraph" w:customStyle="1" w:styleId="SheadingR1">
    <w:name w:val="S_headingR1"/>
    <w:basedOn w:val="Stext1"/>
    <w:next w:val="Stext1"/>
    <w:uiPriority w:val="7"/>
    <w:semiHidden/>
    <w:unhideWhenUsed/>
    <w:qFormat/>
    <w:pPr>
      <w:keepNext/>
      <w:numPr>
        <w:ilvl w:val="1"/>
        <w:numId w:val="5"/>
      </w:numPr>
      <w:outlineLvl w:val="0"/>
    </w:pPr>
    <w:rPr>
      <w:b/>
    </w:rPr>
  </w:style>
  <w:style w:type="paragraph" w:customStyle="1" w:styleId="SheadingR2">
    <w:name w:val="S_headingR2"/>
    <w:basedOn w:val="Stext2"/>
    <w:next w:val="Stext2"/>
    <w:uiPriority w:val="7"/>
    <w:semiHidden/>
    <w:unhideWhenUsed/>
    <w:qFormat/>
    <w:pPr>
      <w:keepNext/>
      <w:numPr>
        <w:ilvl w:val="2"/>
        <w:numId w:val="5"/>
      </w:numPr>
      <w:outlineLvl w:val="1"/>
    </w:pPr>
  </w:style>
  <w:style w:type="paragraph" w:customStyle="1" w:styleId="SheadingR3">
    <w:name w:val="S_headingR3"/>
    <w:basedOn w:val="Stext3"/>
    <w:next w:val="Stext3"/>
    <w:uiPriority w:val="7"/>
    <w:semiHidden/>
    <w:unhideWhenUsed/>
    <w:qFormat/>
    <w:pPr>
      <w:keepNext/>
      <w:numPr>
        <w:ilvl w:val="3"/>
        <w:numId w:val="5"/>
      </w:numPr>
      <w:outlineLvl w:val="2"/>
    </w:pPr>
  </w:style>
  <w:style w:type="paragraph" w:customStyle="1" w:styleId="SheadingR4">
    <w:name w:val="S_headingR4"/>
    <w:basedOn w:val="Stext4"/>
    <w:next w:val="Stext4"/>
    <w:uiPriority w:val="7"/>
    <w:semiHidden/>
    <w:unhideWhenUsed/>
    <w:qFormat/>
    <w:pPr>
      <w:keepNext/>
      <w:numPr>
        <w:ilvl w:val="4"/>
        <w:numId w:val="5"/>
      </w:numPr>
      <w:outlineLvl w:val="3"/>
    </w:pPr>
  </w:style>
  <w:style w:type="paragraph" w:customStyle="1" w:styleId="SheadingR5">
    <w:name w:val="S_headingR5"/>
    <w:basedOn w:val="Stext5"/>
    <w:next w:val="Stext5"/>
    <w:uiPriority w:val="7"/>
    <w:semiHidden/>
    <w:unhideWhenUsed/>
    <w:qFormat/>
    <w:pPr>
      <w:keepNext/>
      <w:numPr>
        <w:ilvl w:val="5"/>
        <w:numId w:val="5"/>
      </w:numPr>
      <w:outlineLvl w:val="4"/>
    </w:pPr>
  </w:style>
  <w:style w:type="paragraph" w:customStyle="1" w:styleId="Stext">
    <w:name w:val="S_text"/>
    <w:link w:val="StextZchn"/>
    <w:uiPriority w:val="11"/>
    <w:qFormat/>
    <w:pPr>
      <w:spacing w:before="240" w:after="60"/>
      <w:jc w:val="both"/>
    </w:pPr>
  </w:style>
  <w:style w:type="paragraph" w:customStyle="1" w:styleId="Stext1">
    <w:name w:val="S_text 1"/>
    <w:basedOn w:val="Stext"/>
    <w:uiPriority w:val="20"/>
    <w:qFormat/>
    <w:pPr>
      <w:ind w:left="680"/>
    </w:pPr>
  </w:style>
  <w:style w:type="paragraph" w:customStyle="1" w:styleId="Stext2">
    <w:name w:val="S_text 2"/>
    <w:basedOn w:val="Stext1"/>
    <w:uiPriority w:val="20"/>
    <w:qFormat/>
  </w:style>
  <w:style w:type="paragraph" w:customStyle="1" w:styleId="Stext3">
    <w:name w:val="S_text 3"/>
    <w:basedOn w:val="Stext2"/>
    <w:uiPriority w:val="20"/>
    <w:qFormat/>
    <w:pPr>
      <w:ind w:left="1531"/>
    </w:pPr>
  </w:style>
  <w:style w:type="paragraph" w:customStyle="1" w:styleId="Stext4">
    <w:name w:val="S_text 4"/>
    <w:basedOn w:val="Stext3"/>
    <w:uiPriority w:val="20"/>
    <w:qFormat/>
    <w:pPr>
      <w:ind w:left="2778"/>
    </w:pPr>
  </w:style>
  <w:style w:type="paragraph" w:customStyle="1" w:styleId="Stext5">
    <w:name w:val="S_text 5"/>
    <w:basedOn w:val="Stext4"/>
    <w:uiPriority w:val="20"/>
    <w:qFormat/>
  </w:style>
  <w:style w:type="paragraph" w:customStyle="1" w:styleId="Stextarb">
    <w:name w:val="S_text_arb"/>
    <w:basedOn w:val="Stext"/>
    <w:uiPriority w:val="19"/>
    <w:semiHidden/>
    <w:unhideWhenUsed/>
    <w:qFormat/>
  </w:style>
  <w:style w:type="paragraph" w:customStyle="1" w:styleId="Stext1arb">
    <w:name w:val="S_text 1_arb"/>
    <w:basedOn w:val="Stextarb"/>
    <w:uiPriority w:val="20"/>
    <w:semiHidden/>
    <w:unhideWhenUsed/>
    <w:qFormat/>
    <w:pPr>
      <w:ind w:left="851"/>
    </w:pPr>
  </w:style>
  <w:style w:type="paragraph" w:customStyle="1" w:styleId="Stext2arb">
    <w:name w:val="S_text 2_arb"/>
    <w:basedOn w:val="Stext1arb"/>
    <w:uiPriority w:val="20"/>
    <w:semiHidden/>
    <w:unhideWhenUsed/>
    <w:qFormat/>
  </w:style>
  <w:style w:type="paragraph" w:customStyle="1" w:styleId="Stext3arb">
    <w:name w:val="S_text 3_arb"/>
    <w:basedOn w:val="Stext2arb"/>
    <w:uiPriority w:val="20"/>
    <w:semiHidden/>
    <w:unhideWhenUsed/>
    <w:qFormat/>
    <w:pPr>
      <w:ind w:left="1560"/>
    </w:pPr>
  </w:style>
  <w:style w:type="paragraph" w:customStyle="1" w:styleId="Stext4arb">
    <w:name w:val="S_text 4_arb"/>
    <w:basedOn w:val="Stext3arb"/>
    <w:uiPriority w:val="20"/>
    <w:semiHidden/>
    <w:unhideWhenUsed/>
    <w:qFormat/>
    <w:pPr>
      <w:ind w:left="2269"/>
    </w:pPr>
  </w:style>
  <w:style w:type="paragraph" w:customStyle="1" w:styleId="Stext5arb">
    <w:name w:val="S_text 5_arb"/>
    <w:basedOn w:val="Stext4arb"/>
    <w:uiPriority w:val="20"/>
    <w:semiHidden/>
    <w:unhideWhenUsed/>
    <w:qFormat/>
    <w:pPr>
      <w:ind w:left="2978"/>
    </w:pPr>
  </w:style>
  <w:style w:type="paragraph" w:customStyle="1" w:styleId="Stextquotationarb">
    <w:name w:val="S_text quotation_arb"/>
    <w:basedOn w:val="Stext4arb"/>
    <w:uiPriority w:val="20"/>
    <w:semiHidden/>
    <w:unhideWhenUsed/>
    <w:qFormat/>
    <w:pPr>
      <w:spacing w:line="240" w:lineRule="auto"/>
      <w:ind w:right="1134"/>
    </w:pPr>
  </w:style>
  <w:style w:type="paragraph" w:customStyle="1" w:styleId="Stextmultilingual">
    <w:name w:val="S_text multilingual"/>
    <w:basedOn w:val="Stext"/>
    <w:uiPriority w:val="20"/>
    <w:semiHidden/>
    <w:unhideWhenUsed/>
    <w:qFormat/>
    <w:pPr>
      <w:ind w:left="964"/>
    </w:pPr>
  </w:style>
  <w:style w:type="paragraph" w:customStyle="1" w:styleId="Smarginalnumber">
    <w:name w:val="S_marginal number"/>
    <w:basedOn w:val="Stext1"/>
    <w:uiPriority w:val="25"/>
    <w:qFormat/>
    <w:pPr>
      <w:numPr>
        <w:numId w:val="11"/>
      </w:numPr>
      <w:ind w:hanging="680"/>
    </w:pPr>
  </w:style>
  <w:style w:type="paragraph" w:customStyle="1" w:styleId="Smarginalnumberarb">
    <w:name w:val="S_marginal number_arb"/>
    <w:basedOn w:val="Stext1arb"/>
    <w:uiPriority w:val="25"/>
    <w:semiHidden/>
    <w:unhideWhenUsed/>
    <w:qFormat/>
    <w:pPr>
      <w:numPr>
        <w:numId w:val="12"/>
      </w:numPr>
      <w:ind w:hanging="851"/>
    </w:pPr>
  </w:style>
  <w:style w:type="paragraph" w:customStyle="1" w:styleId="SNumberedParagraph1">
    <w:name w:val="S_Numbered Paragraph 1"/>
    <w:basedOn w:val="Sheading1"/>
    <w:uiPriority w:val="10"/>
    <w:qFormat/>
    <w:pPr>
      <w:keepNext w:val="0"/>
      <w:keepLines w:val="0"/>
    </w:pPr>
    <w:rPr>
      <w:b w:val="0"/>
    </w:rPr>
  </w:style>
  <w:style w:type="paragraph" w:customStyle="1" w:styleId="SNumberedParagraph2">
    <w:name w:val="S_Numbered Paragraph 2"/>
    <w:basedOn w:val="Sheading2"/>
    <w:uiPriority w:val="10"/>
    <w:qFormat/>
    <w:pPr>
      <w:keepNext w:val="0"/>
      <w:keepLines w:val="0"/>
    </w:pPr>
  </w:style>
  <w:style w:type="paragraph" w:customStyle="1" w:styleId="SNumberedParagraph3">
    <w:name w:val="S_Numbered Paragraph 3"/>
    <w:basedOn w:val="Sheading3"/>
    <w:uiPriority w:val="10"/>
    <w:qFormat/>
    <w:pPr>
      <w:keepNext w:val="0"/>
      <w:keepLines w:val="0"/>
    </w:pPr>
  </w:style>
  <w:style w:type="paragraph" w:customStyle="1" w:styleId="SNumberedParagraph4">
    <w:name w:val="S_Numbered Paragraph 4"/>
    <w:basedOn w:val="Sheading4"/>
    <w:uiPriority w:val="10"/>
    <w:qFormat/>
    <w:pPr>
      <w:keepNext w:val="0"/>
      <w:keepLines w:val="0"/>
    </w:pPr>
  </w:style>
  <w:style w:type="paragraph" w:customStyle="1" w:styleId="SNumberedParagraph5">
    <w:name w:val="S_Numbered Paragraph 5"/>
    <w:basedOn w:val="Sheading5"/>
    <w:uiPriority w:val="10"/>
    <w:qFormat/>
    <w:pPr>
      <w:keepNext w:val="0"/>
      <w:keepLines w:val="0"/>
    </w:pPr>
  </w:style>
  <w:style w:type="paragraph" w:customStyle="1" w:styleId="SNumberedParagraphL1">
    <w:name w:val="S_Numbered ParagraphL1"/>
    <w:basedOn w:val="SheadingL1"/>
    <w:uiPriority w:val="11"/>
    <w:semiHidden/>
    <w:unhideWhenUsed/>
    <w:qFormat/>
    <w:pPr>
      <w:keepNext w:val="0"/>
    </w:pPr>
    <w:rPr>
      <w:b w:val="0"/>
    </w:rPr>
  </w:style>
  <w:style w:type="paragraph" w:customStyle="1" w:styleId="SNumberedParagraphL2">
    <w:name w:val="S_Numbered ParagraphL2"/>
    <w:basedOn w:val="SheadingL2"/>
    <w:uiPriority w:val="11"/>
    <w:semiHidden/>
    <w:unhideWhenUsed/>
    <w:qFormat/>
    <w:pPr>
      <w:keepNext w:val="0"/>
    </w:pPr>
  </w:style>
  <w:style w:type="paragraph" w:customStyle="1" w:styleId="SNumberedParagraphL3">
    <w:name w:val="S_Numbered ParagraphL3"/>
    <w:basedOn w:val="SheadingL3"/>
    <w:uiPriority w:val="11"/>
    <w:semiHidden/>
    <w:unhideWhenUsed/>
    <w:qFormat/>
    <w:pPr>
      <w:keepNext w:val="0"/>
    </w:pPr>
  </w:style>
  <w:style w:type="paragraph" w:customStyle="1" w:styleId="SNumberedParagraphL4">
    <w:name w:val="S_Numbered ParagraphL4"/>
    <w:basedOn w:val="SheadingL4"/>
    <w:uiPriority w:val="11"/>
    <w:semiHidden/>
    <w:unhideWhenUsed/>
    <w:qFormat/>
    <w:pPr>
      <w:keepNext w:val="0"/>
    </w:pPr>
  </w:style>
  <w:style w:type="paragraph" w:customStyle="1" w:styleId="SNumberedParagraphL5">
    <w:name w:val="S_Numbered ParagraphL5"/>
    <w:basedOn w:val="SheadingL5"/>
    <w:uiPriority w:val="11"/>
    <w:semiHidden/>
    <w:unhideWhenUsed/>
    <w:qFormat/>
    <w:pPr>
      <w:keepNext w:val="0"/>
    </w:pPr>
  </w:style>
  <w:style w:type="paragraph" w:customStyle="1" w:styleId="SNumberedParagraphM1">
    <w:name w:val="S_Numbered ParagraphM1"/>
    <w:basedOn w:val="SheadingM1"/>
    <w:uiPriority w:val="12"/>
    <w:semiHidden/>
    <w:unhideWhenUsed/>
    <w:qFormat/>
    <w:pPr>
      <w:keepNext w:val="0"/>
    </w:pPr>
    <w:rPr>
      <w:b w:val="0"/>
    </w:rPr>
  </w:style>
  <w:style w:type="paragraph" w:customStyle="1" w:styleId="SNumberedParagraphM2">
    <w:name w:val="S_Numbered ParagraphM2"/>
    <w:basedOn w:val="SheadingM2"/>
    <w:uiPriority w:val="12"/>
    <w:semiHidden/>
    <w:unhideWhenUsed/>
    <w:qFormat/>
    <w:pPr>
      <w:keepNext w:val="0"/>
    </w:pPr>
  </w:style>
  <w:style w:type="paragraph" w:customStyle="1" w:styleId="SNumberedParagraphM3">
    <w:name w:val="S_Numbered ParagraphM3"/>
    <w:basedOn w:val="SheadingM3"/>
    <w:uiPriority w:val="12"/>
    <w:semiHidden/>
    <w:unhideWhenUsed/>
    <w:qFormat/>
    <w:pPr>
      <w:keepNext w:val="0"/>
    </w:pPr>
  </w:style>
  <w:style w:type="paragraph" w:customStyle="1" w:styleId="SNumberedParagraphM4">
    <w:name w:val="S_Numbered ParagraphM4"/>
    <w:basedOn w:val="SheadingM4"/>
    <w:uiPriority w:val="12"/>
    <w:semiHidden/>
    <w:unhideWhenUsed/>
    <w:qFormat/>
    <w:pPr>
      <w:keepNext w:val="0"/>
    </w:pPr>
  </w:style>
  <w:style w:type="paragraph" w:customStyle="1" w:styleId="SNumberedParagraphM5">
    <w:name w:val="S_Numbered ParagraphM5"/>
    <w:basedOn w:val="SheadingM5"/>
    <w:uiPriority w:val="12"/>
    <w:semiHidden/>
    <w:unhideWhenUsed/>
    <w:qFormat/>
    <w:pPr>
      <w:keepNext w:val="0"/>
    </w:pPr>
  </w:style>
  <w:style w:type="paragraph" w:customStyle="1" w:styleId="SNumberedParagraphR1">
    <w:name w:val="S_Numbered ParagraphR1"/>
    <w:basedOn w:val="SheadingR1"/>
    <w:uiPriority w:val="13"/>
    <w:semiHidden/>
    <w:unhideWhenUsed/>
    <w:qFormat/>
    <w:pPr>
      <w:keepNext w:val="0"/>
    </w:pPr>
    <w:rPr>
      <w:b w:val="0"/>
    </w:rPr>
  </w:style>
  <w:style w:type="paragraph" w:customStyle="1" w:styleId="SNumberedParagraphR2">
    <w:name w:val="S_Numbered ParagraphR2"/>
    <w:basedOn w:val="SheadingR2"/>
    <w:uiPriority w:val="13"/>
    <w:semiHidden/>
    <w:unhideWhenUsed/>
    <w:qFormat/>
    <w:pPr>
      <w:keepNext w:val="0"/>
    </w:pPr>
  </w:style>
  <w:style w:type="paragraph" w:customStyle="1" w:styleId="SNumberedParagraphR3">
    <w:name w:val="S_Numbered ParagraphR3"/>
    <w:basedOn w:val="SheadingR3"/>
    <w:uiPriority w:val="13"/>
    <w:semiHidden/>
    <w:unhideWhenUsed/>
    <w:qFormat/>
    <w:pPr>
      <w:keepNext w:val="0"/>
    </w:pPr>
  </w:style>
  <w:style w:type="paragraph" w:customStyle="1" w:styleId="SNumberedParagraphR4">
    <w:name w:val="S_Numbered ParagraphR4"/>
    <w:basedOn w:val="SheadingR4"/>
    <w:uiPriority w:val="13"/>
    <w:semiHidden/>
    <w:unhideWhenUsed/>
    <w:qFormat/>
    <w:pPr>
      <w:keepNext w:val="0"/>
    </w:pPr>
  </w:style>
  <w:style w:type="paragraph" w:customStyle="1" w:styleId="SNumberedParagraphR5">
    <w:name w:val="S_Numbered ParagraphR5"/>
    <w:basedOn w:val="SheadingR5"/>
    <w:uiPriority w:val="13"/>
    <w:semiHidden/>
    <w:unhideWhenUsed/>
    <w:qFormat/>
    <w:pPr>
      <w:keepNext w:val="0"/>
    </w:pPr>
  </w:style>
  <w:style w:type="paragraph" w:customStyle="1" w:styleId="SSchedule1">
    <w:name w:val="S_Schedule 1"/>
    <w:basedOn w:val="Stext"/>
    <w:next w:val="Stext1"/>
    <w:uiPriority w:val="30"/>
    <w:pPr>
      <w:keepNext/>
      <w:keepLines/>
      <w:numPr>
        <w:ilvl w:val="1"/>
        <w:numId w:val="2"/>
      </w:numPr>
      <w:spacing w:before="360" w:after="120"/>
      <w:outlineLvl w:val="0"/>
    </w:pPr>
    <w:rPr>
      <w:b/>
    </w:rPr>
  </w:style>
  <w:style w:type="paragraph" w:customStyle="1" w:styleId="SSchedule2">
    <w:name w:val="S_Schedule 2"/>
    <w:basedOn w:val="Stext1"/>
    <w:next w:val="Stext2"/>
    <w:uiPriority w:val="30"/>
    <w:pPr>
      <w:numPr>
        <w:ilvl w:val="2"/>
        <w:numId w:val="2"/>
      </w:numPr>
      <w:outlineLvl w:val="1"/>
    </w:pPr>
  </w:style>
  <w:style w:type="paragraph" w:customStyle="1" w:styleId="SSchedule3">
    <w:name w:val="S_Schedule 3"/>
    <w:basedOn w:val="Stext2"/>
    <w:next w:val="Stext3"/>
    <w:uiPriority w:val="30"/>
    <w:pPr>
      <w:numPr>
        <w:ilvl w:val="3"/>
        <w:numId w:val="2"/>
      </w:numPr>
      <w:outlineLvl w:val="2"/>
    </w:pPr>
  </w:style>
  <w:style w:type="paragraph" w:customStyle="1" w:styleId="SSchedule4">
    <w:name w:val="S_Schedule 4"/>
    <w:basedOn w:val="Stext3"/>
    <w:next w:val="Stext4"/>
    <w:uiPriority w:val="30"/>
    <w:pPr>
      <w:numPr>
        <w:ilvl w:val="4"/>
        <w:numId w:val="2"/>
      </w:numPr>
      <w:outlineLvl w:val="3"/>
    </w:pPr>
  </w:style>
  <w:style w:type="paragraph" w:customStyle="1" w:styleId="SSchedule5">
    <w:name w:val="S_Schedule 5"/>
    <w:basedOn w:val="Stext4"/>
    <w:next w:val="Stext5"/>
    <w:uiPriority w:val="30"/>
    <w:pPr>
      <w:numPr>
        <w:ilvl w:val="5"/>
        <w:numId w:val="2"/>
      </w:numPr>
      <w:outlineLvl w:val="4"/>
    </w:pPr>
  </w:style>
  <w:style w:type="paragraph" w:customStyle="1" w:styleId="Spreamble">
    <w:name w:val="S_preamble"/>
    <w:basedOn w:val="Stext"/>
    <w:uiPriority w:val="99"/>
    <w:semiHidden/>
    <w:pPr>
      <w:spacing w:before="120" w:line="240" w:lineRule="atLeast"/>
      <w:jc w:val="center"/>
    </w:pPr>
  </w:style>
  <w:style w:type="paragraph" w:customStyle="1" w:styleId="Stextnarrow">
    <w:name w:val="S_text_narrow"/>
    <w:basedOn w:val="Stext"/>
    <w:uiPriority w:val="27"/>
    <w:qFormat/>
    <w:pPr>
      <w:contextualSpacing/>
    </w:pPr>
  </w:style>
  <w:style w:type="paragraph" w:customStyle="1" w:styleId="Stext1narrow">
    <w:name w:val="S_text_1_narrow"/>
    <w:basedOn w:val="Stext1"/>
    <w:uiPriority w:val="28"/>
    <w:qFormat/>
    <w:pPr>
      <w:contextualSpacing/>
    </w:pPr>
  </w:style>
  <w:style w:type="paragraph" w:customStyle="1" w:styleId="Stext2narrow">
    <w:name w:val="S_text_2_narrow"/>
    <w:basedOn w:val="Stext2"/>
    <w:uiPriority w:val="28"/>
    <w:qFormat/>
    <w:pPr>
      <w:contextualSpacing/>
    </w:pPr>
  </w:style>
  <w:style w:type="paragraph" w:customStyle="1" w:styleId="Stext3narrow">
    <w:name w:val="S_text_3_narrow"/>
    <w:basedOn w:val="Stext3"/>
    <w:uiPriority w:val="28"/>
    <w:qFormat/>
    <w:pPr>
      <w:contextualSpacing/>
    </w:pPr>
  </w:style>
  <w:style w:type="paragraph" w:customStyle="1" w:styleId="Stext4narrow">
    <w:name w:val="S_text_4_narrow"/>
    <w:basedOn w:val="Stext4"/>
    <w:uiPriority w:val="28"/>
    <w:qFormat/>
    <w:pPr>
      <w:contextualSpacing/>
    </w:pPr>
  </w:style>
  <w:style w:type="paragraph" w:customStyle="1" w:styleId="Stext5narrow">
    <w:name w:val="S_text_5_narrow"/>
    <w:basedOn w:val="Stext5"/>
    <w:uiPriority w:val="28"/>
    <w:qFormat/>
    <w:pPr>
      <w:contextualSpacing/>
    </w:pPr>
  </w:style>
  <w:style w:type="paragraph" w:customStyle="1" w:styleId="Stitleofdocument">
    <w:name w:val="S_title of document"/>
    <w:basedOn w:val="Stext"/>
    <w:uiPriority w:val="39"/>
    <w:pPr>
      <w:spacing w:before="1800" w:after="400"/>
      <w:jc w:val="center"/>
    </w:pPr>
    <w:rPr>
      <w:b/>
      <w:caps/>
      <w:spacing w:val="80"/>
      <w:szCs w:val="18"/>
    </w:rPr>
  </w:style>
  <w:style w:type="paragraph" w:customStyle="1" w:styleId="Sunnumberedheadline">
    <w:name w:val="S_unnumbered headline"/>
    <w:basedOn w:val="Stext"/>
    <w:next w:val="Stext"/>
    <w:uiPriority w:val="39"/>
    <w:pPr>
      <w:spacing w:before="360" w:after="240"/>
      <w:jc w:val="center"/>
    </w:pPr>
    <w:rPr>
      <w:b/>
    </w:rPr>
  </w:style>
  <w:style w:type="paragraph" w:customStyle="1" w:styleId="SunnumberedheadlineSchedule1">
    <w:name w:val="S_unnumbered headline Schedule 1"/>
    <w:basedOn w:val="Sunnumberedheadline"/>
    <w:uiPriority w:val="39"/>
    <w:qFormat/>
    <w:pPr>
      <w:outlineLvl w:val="0"/>
    </w:pPr>
  </w:style>
  <w:style w:type="paragraph" w:customStyle="1" w:styleId="SunnumberedheadlineSchedule2">
    <w:name w:val="S_unnumbered headline Schedule 2"/>
    <w:basedOn w:val="SunnumberedheadlineSchedule1"/>
    <w:uiPriority w:val="39"/>
    <w:qFormat/>
    <w:pPr>
      <w:outlineLvl w:val="1"/>
    </w:pPr>
  </w:style>
  <w:style w:type="paragraph" w:customStyle="1" w:styleId="SSeller">
    <w:name w:val="S_Seller"/>
    <w:basedOn w:val="Stext"/>
    <w:uiPriority w:val="39"/>
    <w:pPr>
      <w:spacing w:before="0" w:after="0"/>
      <w:jc w:val="center"/>
    </w:pPr>
  </w:style>
  <w:style w:type="paragraph" w:customStyle="1" w:styleId="Ssmallgap">
    <w:name w:val="S_small gap"/>
    <w:basedOn w:val="Stext"/>
    <w:uiPriority w:val="39"/>
    <w:qFormat/>
    <w:pPr>
      <w:spacing w:before="0" w:after="0" w:line="240" w:lineRule="auto"/>
    </w:pPr>
  </w:style>
  <w:style w:type="paragraph" w:customStyle="1" w:styleId="Saddressee">
    <w:name w:val="S_addressee"/>
    <w:basedOn w:val="Stext"/>
    <w:uiPriority w:val="39"/>
    <w:pPr>
      <w:spacing w:before="0" w:after="0"/>
    </w:pPr>
  </w:style>
  <w:style w:type="paragraph" w:customStyle="1" w:styleId="Sbyandbetween">
    <w:name w:val="S_by and between"/>
    <w:basedOn w:val="Stext"/>
    <w:uiPriority w:val="39"/>
    <w:pPr>
      <w:spacing w:before="400" w:after="400"/>
      <w:jc w:val="center"/>
    </w:pPr>
    <w:rPr>
      <w:sz w:val="18"/>
      <w:szCs w:val="18"/>
    </w:rPr>
  </w:style>
  <w:style w:type="paragraph" w:customStyle="1" w:styleId="Sdatefile">
    <w:name w:val="S_date_file"/>
    <w:basedOn w:val="Stext"/>
    <w:uiPriority w:val="44"/>
    <w:pPr>
      <w:spacing w:before="0" w:after="0" w:line="240" w:lineRule="auto"/>
      <w:jc w:val="right"/>
    </w:pPr>
    <w:rPr>
      <w:sz w:val="16"/>
      <w:szCs w:val="16"/>
    </w:rPr>
  </w:style>
  <w:style w:type="paragraph" w:customStyle="1" w:styleId="Stableofcontents">
    <w:name w:val="S_table of contents"/>
    <w:basedOn w:val="Stext"/>
    <w:next w:val="Stext"/>
    <w:uiPriority w:val="99"/>
    <w:semiHidden/>
    <w:pPr>
      <w:pageBreakBefore/>
      <w:spacing w:before="120" w:after="360"/>
      <w:jc w:val="center"/>
    </w:pPr>
    <w:rPr>
      <w:b/>
      <w:caps/>
      <w:spacing w:val="70"/>
    </w:rPr>
  </w:style>
  <w:style w:type="paragraph" w:customStyle="1" w:styleId="Stexttable">
    <w:name w:val="S_text table"/>
    <w:basedOn w:val="Stext"/>
    <w:uiPriority w:val="49"/>
    <w:qFormat/>
    <w:pPr>
      <w:spacing w:before="80"/>
    </w:pPr>
  </w:style>
  <w:style w:type="paragraph" w:customStyle="1" w:styleId="Stexttablesmall">
    <w:name w:val="S_text table_small"/>
    <w:basedOn w:val="Stexttable"/>
    <w:uiPriority w:val="49"/>
    <w:qFormat/>
    <w:pPr>
      <w:spacing w:before="60"/>
    </w:pPr>
    <w:rPr>
      <w:sz w:val="16"/>
      <w:szCs w:val="16"/>
    </w:rPr>
  </w:style>
  <w:style w:type="paragraph" w:customStyle="1" w:styleId="SKopfzeile6pt">
    <w:name w:val="S_Kopfzeile 6pt"/>
    <w:basedOn w:val="Stext"/>
    <w:uiPriority w:val="1"/>
    <w:semiHidden/>
    <w:pPr>
      <w:spacing w:before="0" w:after="0" w:line="240" w:lineRule="auto"/>
      <w:ind w:left="510"/>
    </w:pPr>
    <w:rPr>
      <w:color w:val="000000"/>
      <w:sz w:val="12"/>
      <w:szCs w:val="12"/>
    </w:rPr>
  </w:style>
  <w:style w:type="paragraph" w:customStyle="1" w:styleId="SKopfzeile5">
    <w:name w:val="S_Kopfzeile 5"/>
    <w:aliases w:val="5 pt"/>
    <w:basedOn w:val="SKopfzeile6pt"/>
    <w:semiHidden/>
    <w:rPr>
      <w:sz w:val="11"/>
      <w:szCs w:val="11"/>
    </w:rPr>
  </w:style>
  <w:style w:type="paragraph" w:customStyle="1" w:styleId="SKopfzeile5pt">
    <w:name w:val="S_Kopfzeile 5 pt"/>
    <w:basedOn w:val="Stext"/>
    <w:uiPriority w:val="1"/>
    <w:semiHidden/>
    <w:pPr>
      <w:ind w:left="510"/>
    </w:pPr>
    <w:rPr>
      <w:rFonts w:ascii="HelveticaNeueLT Pro 43 LtEx" w:hAnsi="HelveticaNeueLT Pro 43 LtEx"/>
      <w:color w:val="000000"/>
      <w:sz w:val="10"/>
      <w:szCs w:val="10"/>
    </w:rPr>
  </w:style>
  <w:style w:type="paragraph" w:customStyle="1" w:styleId="Snumberofpages">
    <w:name w:val="S_number of pages"/>
    <w:basedOn w:val="Stext"/>
    <w:uiPriority w:val="1"/>
    <w:semiHidden/>
    <w:pPr>
      <w:jc w:val="center"/>
    </w:pPr>
    <w:rPr>
      <w:snapToGrid w:val="0"/>
      <w:sz w:val="14"/>
    </w:rPr>
  </w:style>
  <w:style w:type="paragraph" w:styleId="FootnoteText">
    <w:name w:val="footnote text"/>
    <w:aliases w:val="S_footer"/>
    <w:basedOn w:val="Stext"/>
    <w:semiHidden/>
    <w:pPr>
      <w:tabs>
        <w:tab w:val="left" w:pos="340"/>
      </w:tabs>
      <w:spacing w:before="0" w:after="0" w:line="0" w:lineRule="atLeast"/>
      <w:ind w:left="340" w:hanging="340"/>
    </w:pPr>
    <w:rPr>
      <w:sz w:val="16"/>
    </w:rPr>
  </w:style>
  <w:style w:type="paragraph" w:customStyle="1" w:styleId="Sheader">
    <w:name w:val="S_header"/>
    <w:basedOn w:val="Stext"/>
    <w:semiHidden/>
    <w:pPr>
      <w:spacing w:before="0" w:after="0" w:line="0" w:lineRule="atLeast"/>
    </w:pPr>
    <w:rPr>
      <w:sz w:val="16"/>
    </w:rPr>
  </w:style>
  <w:style w:type="paragraph" w:styleId="Header">
    <w:name w:val="header"/>
    <w:semiHidden/>
  </w:style>
  <w:style w:type="table" w:customStyle="1" w:styleId="Stableplain">
    <w:name w:val="S_table plain"/>
    <w:uiPriority w:val="99"/>
    <w:pPr>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0" w:type="dxa"/>
        <w:left w:w="68" w:type="dxa"/>
        <w:bottom w:w="0" w:type="dxa"/>
        <w:right w:w="68" w:type="dxa"/>
      </w:tblCellMar>
    </w:tblPr>
  </w:style>
  <w:style w:type="table" w:customStyle="1" w:styleId="StableplainnoBorder">
    <w:name w:val="S_table plain_noBorder"/>
    <w:basedOn w:val="Stableplain"/>
    <w:uiPriority w:val="99"/>
    <w:pPr>
      <w:ind w:left="0" w:right="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Stableplaincolumnasheader">
    <w:name w:val="S_table plain column as header"/>
    <w:basedOn w:val="Stableplain"/>
    <w:uiPriority w:val="99"/>
    <w:qFormat/>
    <w:tblPr/>
    <w:tblStylePr w:type="firstCol">
      <w:rPr>
        <w:rFonts w:ascii="Verdana" w:hAnsi="Verdana"/>
        <w:b/>
        <w:sz w:val="20"/>
      </w:rPr>
      <w:tblPr/>
      <w:tcPr>
        <w:shd w:val="clear" w:color="auto" w:fill="BFBFBF"/>
      </w:tcPr>
    </w:tblStylePr>
  </w:style>
  <w:style w:type="table" w:customStyle="1" w:styleId="Stableplainrowasheader">
    <w:name w:val="S_table plain row as header"/>
    <w:basedOn w:val="Stableplain"/>
    <w:uiPriority w:val="99"/>
    <w:qFormat/>
    <w:pPr>
      <w:ind w:left="0" w:right="0"/>
    </w:pPr>
    <w:tblPr/>
    <w:tblStylePr w:type="firstRow">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
    <w:name w:val="S_table structured"/>
    <w:basedOn w:val="Stableplain"/>
    <w:uiPriority w:val="99"/>
    <w:qFormat/>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tblPr>
      <w:tblStyleRowBandSize w:val="1"/>
    </w:tblPr>
    <w:tcPr>
      <w:shd w:val="clear" w:color="auto" w:fill="auto"/>
    </w:tcPr>
    <w:tblStylePr w:type="firstCol">
      <w:tblPr/>
      <w:tcPr>
        <w:shd w:val="clear" w:color="auto" w:fill="BFBFBF"/>
      </w:tcPr>
    </w:tblStylePr>
    <w:tblStylePr w:type="band1Horz">
      <w:rPr>
        <w:rFonts w:ascii="Verdana" w:hAnsi="Verdana"/>
        <w:sz w:val="20"/>
      </w:rPr>
      <w:tblPr/>
      <w:tcPr>
        <w:shd w:val="clear" w:color="auto" w:fill="F2F2F2"/>
      </w:tcPr>
    </w:tblStylePr>
    <w:tblStylePr w:type="nwCell">
      <w:tblPr/>
      <w:tcPr>
        <w:shd w:val="clear" w:color="auto" w:fill="BFBFBF"/>
      </w:tcPr>
    </w:tblStylePr>
  </w:style>
  <w:style w:type="table" w:customStyle="1" w:styleId="Stablestructuredrowasheader">
    <w:name w:val="S_table structured row as header"/>
    <w:basedOn w:val="Stablestructured"/>
    <w:uiPriority w:val="99"/>
    <w:qFormat/>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uturedrowandcolumnasheader">
    <w:name w:val="S_table strucutured row and column as header"/>
    <w:basedOn w:val="Stablestructured"/>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character" w:customStyle="1" w:styleId="StextZchn">
    <w:name w:val="S_text Zchn"/>
    <w:basedOn w:val="DefaultParagraphFont"/>
    <w:link w:val="Stext"/>
    <w:uiPriority w:val="11"/>
    <w:rsid w:val="00E56282"/>
  </w:style>
  <w:style w:type="character" w:customStyle="1" w:styleId="Heading1Char">
    <w:name w:val="Heading 1 Char"/>
    <w:basedOn w:val="DefaultParagraphFont"/>
    <w:link w:val="Heading1"/>
    <w:semiHidden/>
    <w:rsid w:val="00D45C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semiHidden/>
    <w:rsid w:val="00D45C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D45CB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semiHidden/>
    <w:rsid w:val="00D45CB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semiHidden/>
    <w:rsid w:val="00D45CB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semiHidden/>
    <w:rsid w:val="00D45C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D45C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D45C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D45CB9"/>
    <w:rPr>
      <w:rFonts w:asciiTheme="minorHAnsi" w:eastAsiaTheme="majorEastAsia" w:hAnsiTheme="minorHAnsi" w:cstheme="majorBidi"/>
      <w:color w:val="272727" w:themeColor="text1" w:themeTint="D8"/>
    </w:rPr>
  </w:style>
  <w:style w:type="paragraph" w:styleId="Title">
    <w:name w:val="Title"/>
    <w:basedOn w:val="Normal"/>
    <w:next w:val="Normal"/>
    <w:link w:val="TitleChar"/>
    <w:semiHidden/>
    <w:rsid w:val="00D4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4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D45C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D45C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semiHidden/>
    <w:rsid w:val="00D45CB9"/>
    <w:pPr>
      <w:spacing w:before="160" w:after="160"/>
      <w:jc w:val="center"/>
    </w:pPr>
    <w:rPr>
      <w:i/>
      <w:iCs/>
      <w:color w:val="404040" w:themeColor="text1" w:themeTint="BF"/>
    </w:rPr>
  </w:style>
  <w:style w:type="character" w:customStyle="1" w:styleId="QuoteChar">
    <w:name w:val="Quote Char"/>
    <w:basedOn w:val="DefaultParagraphFont"/>
    <w:link w:val="Quote"/>
    <w:semiHidden/>
    <w:rsid w:val="00D45CB9"/>
    <w:rPr>
      <w:i/>
      <w:iCs/>
      <w:color w:val="404040" w:themeColor="text1" w:themeTint="BF"/>
    </w:rPr>
  </w:style>
  <w:style w:type="paragraph" w:styleId="ListParagraph">
    <w:name w:val="List Paragraph"/>
    <w:basedOn w:val="Normal"/>
    <w:semiHidden/>
    <w:rsid w:val="00D45CB9"/>
    <w:pPr>
      <w:ind w:left="720"/>
      <w:contextualSpacing/>
    </w:pPr>
  </w:style>
  <w:style w:type="character" w:styleId="IntenseEmphasis">
    <w:name w:val="Intense Emphasis"/>
    <w:basedOn w:val="DefaultParagraphFont"/>
    <w:semiHidden/>
    <w:rsid w:val="00D45CB9"/>
    <w:rPr>
      <w:i/>
      <w:iCs/>
      <w:color w:val="365F91" w:themeColor="accent1" w:themeShade="BF"/>
    </w:rPr>
  </w:style>
  <w:style w:type="paragraph" w:styleId="IntenseQuote">
    <w:name w:val="Intense Quote"/>
    <w:basedOn w:val="Normal"/>
    <w:next w:val="Normal"/>
    <w:link w:val="IntenseQuoteChar"/>
    <w:semiHidden/>
    <w:rsid w:val="00D45C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semiHidden/>
    <w:rsid w:val="00D45CB9"/>
    <w:rPr>
      <w:i/>
      <w:iCs/>
      <w:color w:val="365F91" w:themeColor="accent1" w:themeShade="BF"/>
    </w:rPr>
  </w:style>
  <w:style w:type="character" w:styleId="IntenseReference">
    <w:name w:val="Intense Reference"/>
    <w:basedOn w:val="DefaultParagraphFont"/>
    <w:semiHidden/>
    <w:rsid w:val="00D45CB9"/>
    <w:rPr>
      <w:b/>
      <w:bCs/>
      <w:smallCaps/>
      <w:color w:val="365F91" w:themeColor="accent1" w:themeShade="BF"/>
      <w:spacing w:val="5"/>
    </w:rPr>
  </w:style>
  <w:style w:type="paragraph" w:styleId="Footer">
    <w:name w:val="footer"/>
    <w:basedOn w:val="Normal"/>
    <w:link w:val="FooterChar"/>
    <w:semiHidden/>
    <w:rsid w:val="00CA096C"/>
    <w:pPr>
      <w:tabs>
        <w:tab w:val="center" w:pos="4513"/>
        <w:tab w:val="right" w:pos="9026"/>
      </w:tabs>
      <w:spacing w:line="240" w:lineRule="auto"/>
    </w:pPr>
  </w:style>
  <w:style w:type="character" w:customStyle="1" w:styleId="FooterChar">
    <w:name w:val="Footer Char"/>
    <w:basedOn w:val="DefaultParagraphFont"/>
    <w:link w:val="Footer"/>
    <w:semiHidden/>
    <w:rsid w:val="00CA096C"/>
  </w:style>
  <w:style w:type="paragraph" w:styleId="NormalWeb">
    <w:name w:val="Normal (Web)"/>
    <w:basedOn w:val="Normal"/>
    <w:uiPriority w:val="99"/>
    <w:semiHidden/>
    <w:unhideWhenUsed/>
    <w:rsid w:val="00F974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023"/>
    <w:rPr>
      <w:b/>
      <w:bCs/>
    </w:rPr>
  </w:style>
  <w:style w:type="character" w:styleId="Hyperlink">
    <w:name w:val="Hyperlink"/>
    <w:basedOn w:val="DefaultParagraphFont"/>
    <w:semiHidden/>
    <w:rsid w:val="00376567"/>
    <w:rPr>
      <w:color w:val="0000FF" w:themeColor="hyperlink"/>
      <w:u w:val="single"/>
    </w:rPr>
  </w:style>
  <w:style w:type="character" w:customStyle="1" w:styleId="UnresolvedMention1">
    <w:name w:val="Unresolved Mention1"/>
    <w:basedOn w:val="DefaultParagraphFont"/>
    <w:semiHidden/>
    <w:rsid w:val="00376567"/>
    <w:rPr>
      <w:color w:val="605E5C"/>
      <w:shd w:val="clear" w:color="auto" w:fill="E1DFDD"/>
    </w:rPr>
  </w:style>
  <w:style w:type="character" w:styleId="Emphasis">
    <w:name w:val="Emphasis"/>
    <w:basedOn w:val="DefaultParagraphFont"/>
    <w:uiPriority w:val="20"/>
    <w:qFormat/>
    <w:rsid w:val="00B63311"/>
    <w:rPr>
      <w:i/>
      <w:iCs/>
    </w:rPr>
  </w:style>
  <w:style w:type="character" w:customStyle="1" w:styleId="kursiv">
    <w:name w:val="kursiv"/>
    <w:basedOn w:val="DefaultParagraphFont"/>
    <w:rsid w:val="00807122"/>
  </w:style>
  <w:style w:type="character" w:customStyle="1" w:styleId="hoch">
    <w:name w:val="hoch"/>
    <w:basedOn w:val="DefaultParagraphFont"/>
    <w:rsid w:val="00807122"/>
  </w:style>
  <w:style w:type="character" w:styleId="FootnoteReference">
    <w:name w:val="footnote reference"/>
    <w:basedOn w:val="DefaultParagraphFont"/>
    <w:semiHidden/>
    <w:rsid w:val="000228DE"/>
    <w:rPr>
      <w:vertAlign w:val="superscript"/>
    </w:rPr>
  </w:style>
  <w:style w:type="table" w:styleId="TableGrid">
    <w:name w:val="Table Grid"/>
    <w:basedOn w:val="TableNormal"/>
    <w:rsid w:val="00146E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46E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46E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59215">
      <w:bodyDiv w:val="1"/>
      <w:marLeft w:val="0"/>
      <w:marRight w:val="0"/>
      <w:marTop w:val="0"/>
      <w:marBottom w:val="0"/>
      <w:divBdr>
        <w:top w:val="none" w:sz="0" w:space="0" w:color="auto"/>
        <w:left w:val="none" w:sz="0" w:space="0" w:color="auto"/>
        <w:bottom w:val="none" w:sz="0" w:space="0" w:color="auto"/>
        <w:right w:val="none" w:sz="0" w:space="0" w:color="auto"/>
      </w:divBdr>
    </w:div>
    <w:div w:id="692417441">
      <w:bodyDiv w:val="1"/>
      <w:marLeft w:val="0"/>
      <w:marRight w:val="0"/>
      <w:marTop w:val="0"/>
      <w:marBottom w:val="0"/>
      <w:divBdr>
        <w:top w:val="none" w:sz="0" w:space="0" w:color="auto"/>
        <w:left w:val="none" w:sz="0" w:space="0" w:color="auto"/>
        <w:bottom w:val="none" w:sz="0" w:space="0" w:color="auto"/>
        <w:right w:val="none" w:sz="0" w:space="0" w:color="auto"/>
      </w:divBdr>
    </w:div>
    <w:div w:id="943339782">
      <w:bodyDiv w:val="1"/>
      <w:marLeft w:val="0"/>
      <w:marRight w:val="0"/>
      <w:marTop w:val="0"/>
      <w:marBottom w:val="0"/>
      <w:divBdr>
        <w:top w:val="none" w:sz="0" w:space="0" w:color="auto"/>
        <w:left w:val="none" w:sz="0" w:space="0" w:color="auto"/>
        <w:bottom w:val="none" w:sz="0" w:space="0" w:color="auto"/>
        <w:right w:val="none" w:sz="0" w:space="0" w:color="auto"/>
      </w:divBdr>
      <w:divsChild>
        <w:div w:id="134109455">
          <w:marLeft w:val="0"/>
          <w:marRight w:val="0"/>
          <w:marTop w:val="0"/>
          <w:marBottom w:val="0"/>
          <w:divBdr>
            <w:top w:val="none" w:sz="0" w:space="0" w:color="auto"/>
            <w:left w:val="none" w:sz="0" w:space="0" w:color="auto"/>
            <w:bottom w:val="none" w:sz="0" w:space="0" w:color="auto"/>
            <w:right w:val="none" w:sz="0" w:space="0" w:color="auto"/>
          </w:divBdr>
        </w:div>
      </w:divsChild>
    </w:div>
    <w:div w:id="1106585805">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525439345">
      <w:bodyDiv w:val="1"/>
      <w:marLeft w:val="0"/>
      <w:marRight w:val="0"/>
      <w:marTop w:val="0"/>
      <w:marBottom w:val="0"/>
      <w:divBdr>
        <w:top w:val="none" w:sz="0" w:space="0" w:color="auto"/>
        <w:left w:val="none" w:sz="0" w:space="0" w:color="auto"/>
        <w:bottom w:val="none" w:sz="0" w:space="0" w:color="auto"/>
        <w:right w:val="none" w:sz="0" w:space="0" w:color="auto"/>
      </w:divBdr>
    </w:div>
    <w:div w:id="1800567917">
      <w:bodyDiv w:val="1"/>
      <w:marLeft w:val="0"/>
      <w:marRight w:val="0"/>
      <w:marTop w:val="0"/>
      <w:marBottom w:val="0"/>
      <w:divBdr>
        <w:top w:val="none" w:sz="0" w:space="0" w:color="auto"/>
        <w:left w:val="none" w:sz="0" w:space="0" w:color="auto"/>
        <w:bottom w:val="none" w:sz="0" w:space="0" w:color="auto"/>
        <w:right w:val="none" w:sz="0" w:space="0" w:color="auto"/>
      </w:divBdr>
    </w:div>
    <w:div w:id="1834953151">
      <w:bodyDiv w:val="1"/>
      <w:marLeft w:val="0"/>
      <w:marRight w:val="0"/>
      <w:marTop w:val="0"/>
      <w:marBottom w:val="0"/>
      <w:divBdr>
        <w:top w:val="none" w:sz="0" w:space="0" w:color="auto"/>
        <w:left w:val="none" w:sz="0" w:space="0" w:color="auto"/>
        <w:bottom w:val="none" w:sz="0" w:space="0" w:color="auto"/>
        <w:right w:val="none" w:sz="0" w:space="0" w:color="auto"/>
      </w:divBdr>
    </w:div>
    <w:div w:id="1998142210">
      <w:bodyDiv w:val="1"/>
      <w:marLeft w:val="0"/>
      <w:marRight w:val="0"/>
      <w:marTop w:val="0"/>
      <w:marBottom w:val="0"/>
      <w:divBdr>
        <w:top w:val="none" w:sz="0" w:space="0" w:color="auto"/>
        <w:left w:val="none" w:sz="0" w:space="0" w:color="auto"/>
        <w:bottom w:val="none" w:sz="0" w:space="0" w:color="auto"/>
        <w:right w:val="none" w:sz="0" w:space="0" w:color="auto"/>
      </w:divBdr>
    </w:div>
    <w:div w:id="2104185506">
      <w:bodyDiv w:val="1"/>
      <w:marLeft w:val="0"/>
      <w:marRight w:val="0"/>
      <w:marTop w:val="0"/>
      <w:marBottom w:val="0"/>
      <w:divBdr>
        <w:top w:val="none" w:sz="0" w:space="0" w:color="auto"/>
        <w:left w:val="none" w:sz="0" w:space="0" w:color="auto"/>
        <w:bottom w:val="none" w:sz="0" w:space="0" w:color="auto"/>
        <w:right w:val="none" w:sz="0" w:space="0" w:color="auto"/>
      </w:divBdr>
      <w:divsChild>
        <w:div w:id="1928342841">
          <w:marLeft w:val="0"/>
          <w:marRight w:val="0"/>
          <w:marTop w:val="0"/>
          <w:marBottom w:val="0"/>
          <w:divBdr>
            <w:top w:val="none" w:sz="0" w:space="0" w:color="auto"/>
            <w:left w:val="none" w:sz="0" w:space="0" w:color="auto"/>
            <w:bottom w:val="none" w:sz="0" w:space="0" w:color="auto"/>
            <w:right w:val="none" w:sz="0" w:space="0" w:color="auto"/>
          </w:divBdr>
          <w:divsChild>
            <w:div w:id="1769690848">
              <w:marLeft w:val="0"/>
              <w:marRight w:val="0"/>
              <w:marTop w:val="0"/>
              <w:marBottom w:val="0"/>
              <w:divBdr>
                <w:top w:val="none" w:sz="0" w:space="0" w:color="auto"/>
                <w:left w:val="none" w:sz="0" w:space="0" w:color="auto"/>
                <w:bottom w:val="none" w:sz="0" w:space="0" w:color="auto"/>
                <w:right w:val="none" w:sz="0" w:space="0" w:color="auto"/>
              </w:divBdr>
              <w:divsChild>
                <w:div w:id="356542314">
                  <w:marLeft w:val="0"/>
                  <w:marRight w:val="0"/>
                  <w:marTop w:val="0"/>
                  <w:marBottom w:val="0"/>
                  <w:divBdr>
                    <w:top w:val="none" w:sz="0" w:space="0" w:color="auto"/>
                    <w:left w:val="none" w:sz="0" w:space="0" w:color="auto"/>
                    <w:bottom w:val="none" w:sz="0" w:space="0" w:color="auto"/>
                    <w:right w:val="none" w:sz="0" w:space="0" w:color="auto"/>
                  </w:divBdr>
                  <w:divsChild>
                    <w:div w:id="1860314682">
                      <w:marLeft w:val="0"/>
                      <w:marRight w:val="0"/>
                      <w:marTop w:val="0"/>
                      <w:marBottom w:val="0"/>
                      <w:divBdr>
                        <w:top w:val="none" w:sz="0" w:space="0" w:color="auto"/>
                        <w:left w:val="none" w:sz="0" w:space="0" w:color="auto"/>
                        <w:bottom w:val="none" w:sz="0" w:space="0" w:color="auto"/>
                        <w:right w:val="none" w:sz="0" w:space="0" w:color="auto"/>
                      </w:divBdr>
                      <w:divsChild>
                        <w:div w:id="789738187">
                          <w:marLeft w:val="0"/>
                          <w:marRight w:val="0"/>
                          <w:marTop w:val="0"/>
                          <w:marBottom w:val="0"/>
                          <w:divBdr>
                            <w:top w:val="none" w:sz="0" w:space="0" w:color="auto"/>
                            <w:left w:val="none" w:sz="0" w:space="0" w:color="auto"/>
                            <w:bottom w:val="none" w:sz="0" w:space="0" w:color="auto"/>
                            <w:right w:val="none" w:sz="0" w:space="0" w:color="auto"/>
                          </w:divBdr>
                          <w:divsChild>
                            <w:div w:id="604461270">
                              <w:marLeft w:val="0"/>
                              <w:marRight w:val="0"/>
                              <w:marTop w:val="0"/>
                              <w:marBottom w:val="0"/>
                              <w:divBdr>
                                <w:top w:val="none" w:sz="0" w:space="0" w:color="auto"/>
                                <w:left w:val="none" w:sz="0" w:space="0" w:color="auto"/>
                                <w:bottom w:val="none" w:sz="0" w:space="0" w:color="auto"/>
                                <w:right w:val="none" w:sz="0" w:space="0" w:color="auto"/>
                              </w:divBdr>
                              <w:divsChild>
                                <w:div w:id="699286307">
                                  <w:marLeft w:val="0"/>
                                  <w:marRight w:val="0"/>
                                  <w:marTop w:val="0"/>
                                  <w:marBottom w:val="0"/>
                                  <w:divBdr>
                                    <w:top w:val="none" w:sz="0" w:space="0" w:color="auto"/>
                                    <w:left w:val="none" w:sz="0" w:space="0" w:color="auto"/>
                                    <w:bottom w:val="none" w:sz="0" w:space="0" w:color="auto"/>
                                    <w:right w:val="none" w:sz="0" w:space="0" w:color="auto"/>
                                  </w:divBdr>
                                  <w:divsChild>
                                    <w:div w:id="10923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MANDATES!23777394.5</documentid>
  <senderid>WOLLMANN</senderid>
  <senderemail>H.WOLLMANN@SCHOENHERR.EU</senderemail>
  <lastmodified>2025-06-30T16:44:00.0000000+02:00</lastmodified>
  <database>MANDATES</database>
</properties>
</file>

<file path=customXML/itemProps2.xml><?xml version="1.0" encoding="utf-8"?>
<ds:datastoreItem xmlns:ds="http://schemas.openxmlformats.org/officeDocument/2006/customXml" ds:itemID="{D15F186C-DA08-4D33-ACC5-4181E20CB8C3}">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3A429-B9A1-434B-A771-A9848749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8011</Words>
  <Characters>47747</Characters>
  <Application>Microsoft Office Word</Application>
  <DocSecurity>0</DocSecurity>
  <Lines>575</Lines>
  <Paragraphs>152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Schoenherr Rechtsanwaelte GmbH</Company>
  <LinksUpToDate>false</LinksUpToDate>
  <CharactersWithSpaces>55606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Schoenherr Rechtsanwaelte</dc:creator>
  <cp:keywords/>
  <dc:description/>
  <cp:lastModifiedBy>Schoenherr Rechtsanwaelte</cp:lastModifiedBy>
  <cp:revision>3</cp:revision>
  <cp:lastPrinted>2009-01-09T15:08:00Z</cp:lastPrinted>
  <dcterms:created xsi:type="dcterms:W3CDTF">2025-06-30T14:17:00Z</dcterms:created>
  <dcterms:modified xsi:type="dcterms:W3CDTF">2025-06-30T14:44:00Z</dcterms:modified>
</cp:coreProperties>
</file>