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3D3A" w14:textId="77777777" w:rsidR="00032A99" w:rsidRPr="00C126E7" w:rsidRDefault="00032A99" w:rsidP="00B27941">
      <w:pPr>
        <w:jc w:val="both"/>
        <w:rPr>
          <w:rFonts w:ascii="Calibri" w:hAnsi="Calibri" w:cs="Calibri"/>
          <w:sz w:val="22"/>
          <w:szCs w:val="22"/>
        </w:rPr>
      </w:pPr>
    </w:p>
    <w:p w14:paraId="3C346546" w14:textId="77777777" w:rsidR="00A344DE" w:rsidRPr="00CF15A7" w:rsidRDefault="00A344DE" w:rsidP="00A344DE">
      <w:pPr>
        <w:jc w:val="both"/>
        <w:rPr>
          <w:rFonts w:ascii="Calibri" w:hAnsi="Calibri" w:cs="Calibri"/>
          <w:b/>
          <w:bCs/>
          <w:sz w:val="22"/>
          <w:szCs w:val="22"/>
          <w:lang w:val="en-US"/>
        </w:rPr>
      </w:pPr>
      <w:r w:rsidRPr="00CF15A7">
        <w:rPr>
          <w:rFonts w:ascii="Calibri" w:hAnsi="Calibri" w:cs="Calibri"/>
          <w:b/>
          <w:bCs/>
          <w:sz w:val="22"/>
          <w:szCs w:val="22"/>
          <w:lang w:val="en-US"/>
        </w:rPr>
        <w:t xml:space="preserve">Question B: What responsibility or obligations should online platforms assume when it comes to eliminating infringements committed by their users, </w:t>
      </w:r>
      <w:proofErr w:type="gramStart"/>
      <w:r w:rsidRPr="00CF15A7">
        <w:rPr>
          <w:rFonts w:ascii="Calibri" w:hAnsi="Calibri" w:cs="Calibri"/>
          <w:b/>
          <w:bCs/>
          <w:sz w:val="22"/>
          <w:szCs w:val="22"/>
          <w:lang w:val="en-US"/>
        </w:rPr>
        <w:t>in particular in</w:t>
      </w:r>
      <w:proofErr w:type="gramEnd"/>
      <w:r w:rsidRPr="00CF15A7">
        <w:rPr>
          <w:rFonts w:ascii="Calibri" w:hAnsi="Calibri" w:cs="Calibri"/>
          <w:b/>
          <w:bCs/>
          <w:sz w:val="22"/>
          <w:szCs w:val="22"/>
          <w:lang w:val="en-US"/>
        </w:rPr>
        <w:t xml:space="preserve"> the areas of intellectual property and unfair competition?</w:t>
      </w:r>
    </w:p>
    <w:p w14:paraId="65090C3E" w14:textId="77777777" w:rsidR="00A344DE" w:rsidRPr="00CF15A7" w:rsidRDefault="00A344DE" w:rsidP="00B27941">
      <w:pPr>
        <w:jc w:val="both"/>
        <w:rPr>
          <w:rFonts w:ascii="Times New Roman" w:hAnsi="Times New Roman" w:cs="Times New Roman"/>
          <w:sz w:val="22"/>
          <w:szCs w:val="22"/>
          <w:lang w:val="en-US"/>
        </w:rPr>
      </w:pPr>
    </w:p>
    <w:p w14:paraId="32713614" w14:textId="77777777" w:rsidR="00A344DE" w:rsidRPr="00CF15A7" w:rsidRDefault="00A344DE" w:rsidP="00B27941">
      <w:pPr>
        <w:jc w:val="both"/>
        <w:rPr>
          <w:rFonts w:ascii="Times New Roman" w:hAnsi="Times New Roman" w:cs="Times New Roman"/>
          <w:sz w:val="22"/>
          <w:szCs w:val="22"/>
          <w:lang w:val="en-US"/>
        </w:rPr>
      </w:pPr>
    </w:p>
    <w:p w14:paraId="29950CCA" w14:textId="272786F5" w:rsidR="00EA07A7" w:rsidRPr="00CF15A7" w:rsidRDefault="00F92930" w:rsidP="00B27941">
      <w:pPr>
        <w:jc w:val="both"/>
        <w:rPr>
          <w:rFonts w:ascii="Calibri" w:hAnsi="Calibri" w:cs="Calibri"/>
          <w:sz w:val="22"/>
          <w:szCs w:val="22"/>
          <w:lang w:val="en-US"/>
        </w:rPr>
      </w:pPr>
      <w:r w:rsidRPr="00CF15A7">
        <w:rPr>
          <w:rFonts w:ascii="Calibri" w:hAnsi="Calibri" w:cs="Calibri"/>
          <w:sz w:val="22"/>
          <w:szCs w:val="22"/>
          <w:lang w:val="en-US"/>
        </w:rPr>
        <w:t xml:space="preserve">Digital platforms have been developing </w:t>
      </w:r>
      <w:proofErr w:type="gramStart"/>
      <w:r w:rsidRPr="00CF15A7">
        <w:rPr>
          <w:rFonts w:ascii="Calibri" w:hAnsi="Calibri" w:cs="Calibri"/>
          <w:sz w:val="22"/>
          <w:szCs w:val="22"/>
          <w:lang w:val="en-US"/>
        </w:rPr>
        <w:t>more and more</w:t>
      </w:r>
      <w:proofErr w:type="gramEnd"/>
      <w:r w:rsidRPr="00CF15A7">
        <w:rPr>
          <w:rFonts w:ascii="Calibri" w:hAnsi="Calibri" w:cs="Calibri"/>
          <w:sz w:val="22"/>
          <w:szCs w:val="22"/>
          <w:lang w:val="en-US"/>
        </w:rPr>
        <w:t xml:space="preserve"> over the past twenty years, both in the European Union and in the rest of the world. The current digital giants are mainly American</w:t>
      </w:r>
      <w:r w:rsidRPr="00C126E7">
        <w:rPr>
          <w:rStyle w:val="Appelnotedebasdep"/>
          <w:rFonts w:ascii="Calibri" w:hAnsi="Calibri" w:cs="Calibri"/>
          <w:sz w:val="22"/>
          <w:szCs w:val="22"/>
        </w:rPr>
        <w:footnoteReference w:id="1"/>
      </w:r>
      <w:r w:rsidRPr="00CF15A7">
        <w:rPr>
          <w:rFonts w:ascii="Calibri" w:hAnsi="Calibri" w:cs="Calibri"/>
          <w:sz w:val="22"/>
          <w:szCs w:val="22"/>
          <w:lang w:val="en-US"/>
        </w:rPr>
        <w:t xml:space="preserve"> and Chinese</w:t>
      </w:r>
      <w:r w:rsidRPr="00C126E7">
        <w:rPr>
          <w:rStyle w:val="Appelnotedebasdep"/>
          <w:rFonts w:ascii="Calibri" w:hAnsi="Calibri" w:cs="Calibri"/>
          <w:sz w:val="22"/>
          <w:szCs w:val="22"/>
        </w:rPr>
        <w:footnoteReference w:id="2"/>
      </w:r>
      <w:r w:rsidRPr="00CF15A7">
        <w:rPr>
          <w:rFonts w:ascii="Calibri" w:hAnsi="Calibri" w:cs="Calibri"/>
          <w:sz w:val="22"/>
          <w:szCs w:val="22"/>
          <w:lang w:val="en-US"/>
        </w:rPr>
        <w:t>,  even though French and European digital platforms</w:t>
      </w:r>
      <w:r w:rsidRPr="00C126E7">
        <w:rPr>
          <w:rStyle w:val="Appelnotedebasdep"/>
          <w:rFonts w:ascii="Calibri" w:hAnsi="Calibri" w:cs="Calibri"/>
          <w:sz w:val="22"/>
          <w:szCs w:val="22"/>
        </w:rPr>
        <w:footnoteReference w:id="3"/>
      </w:r>
      <w:r w:rsidRPr="00CF15A7">
        <w:rPr>
          <w:rFonts w:ascii="Calibri" w:hAnsi="Calibri" w:cs="Calibri"/>
          <w:sz w:val="22"/>
          <w:szCs w:val="22"/>
          <w:lang w:val="en-US"/>
        </w:rPr>
        <w:t xml:space="preserve"> are tending to develop</w:t>
      </w:r>
      <w:r w:rsidRPr="00C126E7">
        <w:rPr>
          <w:rStyle w:val="Appelnotedebasdep"/>
          <w:rFonts w:ascii="Calibri" w:hAnsi="Calibri" w:cs="Calibri"/>
          <w:sz w:val="22"/>
          <w:szCs w:val="22"/>
        </w:rPr>
        <w:footnoteReference w:id="4"/>
      </w:r>
      <w:r w:rsidRPr="00CF15A7">
        <w:rPr>
          <w:rFonts w:ascii="Calibri" w:hAnsi="Calibri" w:cs="Calibri"/>
          <w:sz w:val="22"/>
          <w:szCs w:val="22"/>
          <w:lang w:val="en-US"/>
        </w:rPr>
        <w:t>.</w:t>
      </w:r>
    </w:p>
    <w:p w14:paraId="594EC641" w14:textId="70BFD30D" w:rsidR="00EA07A7" w:rsidRPr="00CF15A7" w:rsidRDefault="00EA07A7" w:rsidP="00B27941">
      <w:pPr>
        <w:pStyle w:val="NormalWeb"/>
        <w:jc w:val="both"/>
        <w:rPr>
          <w:rFonts w:ascii="Calibri" w:hAnsi="Calibri" w:cs="Calibri"/>
          <w:sz w:val="22"/>
          <w:szCs w:val="22"/>
          <w:lang w:val="en-US"/>
        </w:rPr>
      </w:pPr>
      <w:r w:rsidRPr="00CF15A7">
        <w:rPr>
          <w:rFonts w:ascii="Calibri" w:hAnsi="Calibri" w:cs="Calibri"/>
          <w:sz w:val="22"/>
          <w:szCs w:val="22"/>
          <w:lang w:val="en-US"/>
        </w:rPr>
        <w:t>The heterogeneity of platforms was first enshrined in Article L. 111-5-1 paragraph 1</w:t>
      </w:r>
      <w:r w:rsidRPr="00CF15A7">
        <w:rPr>
          <w:rFonts w:ascii="Calibri" w:hAnsi="Calibri" w:cs="Calibri"/>
          <w:position w:val="6"/>
          <w:sz w:val="22"/>
          <w:szCs w:val="22"/>
          <w:lang w:val="en-US"/>
        </w:rPr>
        <w:t xml:space="preserve">of </w:t>
      </w:r>
      <w:r w:rsidRPr="00CF15A7">
        <w:rPr>
          <w:rFonts w:ascii="Calibri" w:hAnsi="Calibri" w:cs="Calibri"/>
          <w:sz w:val="22"/>
          <w:szCs w:val="22"/>
          <w:lang w:val="en-US"/>
        </w:rPr>
        <w:t xml:space="preserve">the Consumer Code, integrated by the law of 6 August 2015 on growth, activity and equal economic opportunities, which defined them as "any person whose activity consists of connecting, by electronic means, several parties with a view to the sale of a good,  the supply of a service or the exchange or sharing of goods or services". The Law for a Digital Republic No. 2016-1321 of 7 October 2016 had taken up this definition which appeared in Article L. 111-7 I of the Consumer Code: </w:t>
      </w:r>
    </w:p>
    <w:p w14:paraId="3E187F02" w14:textId="7DF10FBC" w:rsidR="00EA07A7" w:rsidRPr="00CF15A7" w:rsidRDefault="00EA07A7" w:rsidP="00A95198">
      <w:pPr>
        <w:pStyle w:val="NormalWeb"/>
        <w:ind w:left="708"/>
        <w:jc w:val="both"/>
        <w:rPr>
          <w:rFonts w:ascii="Calibri" w:hAnsi="Calibri" w:cs="Calibri"/>
          <w:sz w:val="22"/>
          <w:szCs w:val="22"/>
          <w:lang w:val="en-US"/>
        </w:rPr>
      </w:pPr>
      <w:r w:rsidRPr="00CF15A7">
        <w:rPr>
          <w:rFonts w:ascii="Calibri" w:hAnsi="Calibri" w:cs="Calibri"/>
          <w:sz w:val="22"/>
          <w:szCs w:val="22"/>
          <w:lang w:val="en-US"/>
        </w:rPr>
        <w:t xml:space="preserve">"An online platform operator is any natural or legal person offering, on a professional basis, whether remunerated or not, an online public communication service based on: </w:t>
      </w:r>
    </w:p>
    <w:p w14:paraId="4CCD4FEF" w14:textId="3C74A130" w:rsidR="00EA07A7" w:rsidRPr="00CF15A7" w:rsidRDefault="00EA07A7" w:rsidP="00A95198">
      <w:pPr>
        <w:pStyle w:val="NormalWeb"/>
        <w:ind w:left="708"/>
        <w:jc w:val="both"/>
        <w:rPr>
          <w:rFonts w:ascii="Calibri" w:hAnsi="Calibri" w:cs="Calibri"/>
          <w:sz w:val="22"/>
          <w:szCs w:val="22"/>
          <w:lang w:val="en-US"/>
        </w:rPr>
      </w:pPr>
      <w:r w:rsidRPr="00CF15A7">
        <w:rPr>
          <w:rFonts w:ascii="Calibri" w:hAnsi="Calibri" w:cs="Calibri"/>
          <w:sz w:val="22"/>
          <w:szCs w:val="22"/>
          <w:lang w:val="en-US"/>
        </w:rPr>
        <w:t xml:space="preserve">1° The classification or referencing, by means of computer algorithms, of content, goods or services offered or put online by third </w:t>
      </w:r>
      <w:proofErr w:type="gramStart"/>
      <w:r w:rsidRPr="00CF15A7">
        <w:rPr>
          <w:rFonts w:ascii="Calibri" w:hAnsi="Calibri" w:cs="Calibri"/>
          <w:sz w:val="22"/>
          <w:szCs w:val="22"/>
          <w:lang w:val="en-US"/>
        </w:rPr>
        <w:t>parties;</w:t>
      </w:r>
      <w:proofErr w:type="gramEnd"/>
      <w:r w:rsidRPr="00CF15A7">
        <w:rPr>
          <w:rFonts w:ascii="Calibri" w:hAnsi="Calibri" w:cs="Calibri"/>
          <w:sz w:val="22"/>
          <w:szCs w:val="22"/>
          <w:lang w:val="en-US"/>
        </w:rPr>
        <w:t xml:space="preserve"> </w:t>
      </w:r>
    </w:p>
    <w:p w14:paraId="7B80665A" w14:textId="546023D6" w:rsidR="00EA07A7" w:rsidRPr="00CF15A7" w:rsidRDefault="00EA07A7" w:rsidP="00A95198">
      <w:pPr>
        <w:pStyle w:val="NormalWeb"/>
        <w:ind w:left="708"/>
        <w:jc w:val="both"/>
        <w:rPr>
          <w:rFonts w:ascii="Calibri" w:hAnsi="Calibri" w:cs="Calibri"/>
          <w:sz w:val="22"/>
          <w:szCs w:val="22"/>
          <w:lang w:val="en-US"/>
        </w:rPr>
      </w:pPr>
      <w:r w:rsidRPr="00CF15A7">
        <w:rPr>
          <w:rFonts w:ascii="Calibri" w:hAnsi="Calibri" w:cs="Calibri"/>
          <w:sz w:val="22"/>
          <w:szCs w:val="22"/>
          <w:lang w:val="en-US"/>
        </w:rPr>
        <w:t xml:space="preserve">2° Or the connection of several parties with a view to the sale of a good, the provision of a service or the exchange or sharing of a content, good or service". </w:t>
      </w:r>
    </w:p>
    <w:p w14:paraId="177B4E24" w14:textId="4416B226" w:rsidR="00A344DE" w:rsidRPr="00CF15A7" w:rsidRDefault="00EA07A7" w:rsidP="00B27941">
      <w:pPr>
        <w:pStyle w:val="NormalWeb"/>
        <w:jc w:val="both"/>
        <w:rPr>
          <w:rFonts w:ascii="Calibri" w:hAnsi="Calibri" w:cs="Calibri"/>
          <w:sz w:val="22"/>
          <w:szCs w:val="22"/>
          <w:lang w:val="en-US"/>
        </w:rPr>
      </w:pPr>
      <w:r w:rsidRPr="00CF15A7">
        <w:rPr>
          <w:rFonts w:ascii="Calibri" w:hAnsi="Calibri" w:cs="Calibri"/>
          <w:sz w:val="22"/>
          <w:szCs w:val="22"/>
          <w:lang w:val="en-US"/>
        </w:rPr>
        <w:t xml:space="preserve">The definition was extremely broad, in particular because of the use of the term "content", and included almost all operators, except ISPs. However, Law No. 2024-449 of 21 May 2024 to secure and regulate the digital space (SREN Law) repealed this article to bring French law into line with the DSA by referring to the definition of online platform in the </w:t>
      </w:r>
      <w:r w:rsidR="00A344DE" w:rsidRPr="00CF15A7">
        <w:rPr>
          <w:rFonts w:ascii="Calibri" w:hAnsi="Calibri" w:cs="Calibri"/>
          <w:i/>
          <w:iCs/>
          <w:sz w:val="22"/>
          <w:szCs w:val="22"/>
          <w:lang w:val="en-US"/>
        </w:rPr>
        <w:t>Digital Service Act (DSA)</w:t>
      </w:r>
      <w:r w:rsidR="00A344DE" w:rsidRPr="00C126E7">
        <w:rPr>
          <w:rStyle w:val="Appelnotedebasdep"/>
          <w:rFonts w:ascii="Calibri" w:hAnsi="Calibri" w:cs="Calibri"/>
          <w:sz w:val="22"/>
          <w:szCs w:val="22"/>
        </w:rPr>
        <w:footnoteReference w:id="5"/>
      </w:r>
      <w:r w:rsidR="00A344DE" w:rsidRPr="00CF15A7">
        <w:rPr>
          <w:rFonts w:ascii="Calibri" w:hAnsi="Calibri" w:cs="Calibri"/>
          <w:sz w:val="22"/>
          <w:szCs w:val="22"/>
          <w:lang w:val="en-US"/>
        </w:rPr>
        <w:t xml:space="preserve"> in 15° of the </w:t>
      </w:r>
      <w:r w:rsidR="00A95198">
        <w:rPr>
          <w:rFonts w:ascii="Calibri" w:hAnsi="Calibri" w:cs="Calibri"/>
          <w:sz w:val="22"/>
          <w:szCs w:val="22"/>
          <w:lang w:val="en-US"/>
        </w:rPr>
        <w:t>preliminary</w:t>
      </w:r>
      <w:r w:rsidR="00A344DE" w:rsidRPr="00CF15A7">
        <w:rPr>
          <w:rFonts w:ascii="Calibri" w:hAnsi="Calibri" w:cs="Calibri"/>
          <w:sz w:val="22"/>
          <w:szCs w:val="22"/>
          <w:lang w:val="en-US"/>
        </w:rPr>
        <w:t xml:space="preserve"> </w:t>
      </w:r>
      <w:proofErr w:type="gramStart"/>
      <w:r w:rsidR="00A95198" w:rsidRPr="00CF15A7">
        <w:rPr>
          <w:rFonts w:ascii="Calibri" w:hAnsi="Calibri" w:cs="Calibri"/>
          <w:sz w:val="22"/>
          <w:szCs w:val="22"/>
          <w:lang w:val="en-US"/>
        </w:rPr>
        <w:t>article</w:t>
      </w:r>
      <w:proofErr w:type="gramEnd"/>
      <w:r w:rsidR="00A344DE" w:rsidRPr="00CF15A7">
        <w:rPr>
          <w:rFonts w:ascii="Calibri" w:hAnsi="Calibri" w:cs="Calibri"/>
          <w:sz w:val="22"/>
          <w:szCs w:val="22"/>
          <w:lang w:val="en-US"/>
        </w:rPr>
        <w:t xml:space="preserve"> of the Consumer Code. French law is thus brought into line with and directly dependent on the European regulation.</w:t>
      </w:r>
    </w:p>
    <w:p w14:paraId="7574425F" w14:textId="542CACBF" w:rsidR="00FD13B6" w:rsidRPr="00CF15A7" w:rsidRDefault="00FD13B6" w:rsidP="00B27941">
      <w:pPr>
        <w:pStyle w:val="NormalWeb"/>
        <w:jc w:val="both"/>
        <w:rPr>
          <w:rFonts w:ascii="Calibri" w:hAnsi="Calibri" w:cs="Calibri"/>
          <w:sz w:val="22"/>
          <w:szCs w:val="22"/>
          <w:lang w:val="en-US"/>
        </w:rPr>
      </w:pPr>
      <w:r w:rsidRPr="00CF15A7">
        <w:rPr>
          <w:rFonts w:ascii="Calibri" w:hAnsi="Calibri" w:cs="Calibri"/>
          <w:sz w:val="22"/>
          <w:szCs w:val="22"/>
          <w:lang w:val="en-US"/>
        </w:rPr>
        <w:t xml:space="preserve">The DSA expressly links platforms to the notion of hosting. It is </w:t>
      </w:r>
      <w:r w:rsidR="00094316">
        <w:rPr>
          <w:rFonts w:ascii="Calibri" w:hAnsi="Calibri" w:cs="Calibri"/>
          <w:sz w:val="22"/>
          <w:szCs w:val="22"/>
          <w:lang w:val="en-US"/>
        </w:rPr>
        <w:t>“</w:t>
      </w:r>
      <w:r w:rsidR="00094316" w:rsidRPr="00094316">
        <w:rPr>
          <w:rFonts w:ascii="Calibri" w:hAnsi="Calibri" w:cs="Calibri"/>
          <w:sz w:val="22"/>
          <w:szCs w:val="22"/>
          <w:lang w:val="en-US"/>
        </w:rPr>
        <w:t xml:space="preserve">a hosting service that, at the request of a recipient of the service, stores and disseminates information to the public, unless that activity is a </w:t>
      </w:r>
      <w:r w:rsidR="00094316" w:rsidRPr="00094316">
        <w:rPr>
          <w:rFonts w:ascii="Calibri" w:hAnsi="Calibri" w:cs="Calibri"/>
          <w:sz w:val="22"/>
          <w:szCs w:val="22"/>
          <w:lang w:val="en-US"/>
        </w:rPr>
        <w:lastRenderedPageBreak/>
        <w:t>minor and purely ancillary feature of another service or a minor functionality of the principal service and, for objective and technical reasons, cannot be used without that other service, and the integration of the feature or functionality into the other service is not a means to circumvent the applicability of this Regulation</w:t>
      </w:r>
      <w:r w:rsidRPr="00CF15A7">
        <w:rPr>
          <w:rFonts w:ascii="Calibri" w:hAnsi="Calibri" w:cs="Calibri"/>
          <w:sz w:val="22"/>
          <w:szCs w:val="22"/>
          <w:lang w:val="en-US"/>
        </w:rPr>
        <w:t xml:space="preserve">" (Art. 3i). </w:t>
      </w:r>
    </w:p>
    <w:p w14:paraId="528D403B" w14:textId="1FF802A6" w:rsidR="00FD13B6" w:rsidRPr="00CF15A7" w:rsidRDefault="007474CD" w:rsidP="00B27941">
      <w:pPr>
        <w:pStyle w:val="NormalWeb"/>
        <w:jc w:val="both"/>
        <w:rPr>
          <w:rFonts w:ascii="Calibri" w:hAnsi="Calibri" w:cs="Calibri"/>
          <w:sz w:val="22"/>
          <w:szCs w:val="22"/>
          <w:lang w:val="en-US"/>
        </w:rPr>
      </w:pPr>
      <w:r w:rsidRPr="00CF15A7">
        <w:rPr>
          <w:rFonts w:ascii="Calibri" w:hAnsi="Calibri" w:cs="Calibri"/>
          <w:sz w:val="22"/>
          <w:szCs w:val="22"/>
          <w:lang w:val="en-US"/>
        </w:rPr>
        <w:t xml:space="preserve">The Consumer Code reproduces this definition in point 15 of its introductory article. </w:t>
      </w:r>
    </w:p>
    <w:p w14:paraId="4387D402" w14:textId="5291E627" w:rsidR="00EA07A7" w:rsidRPr="00CF15A7" w:rsidRDefault="00EA07A7" w:rsidP="00B27941">
      <w:pPr>
        <w:pStyle w:val="NormalWeb"/>
        <w:jc w:val="both"/>
        <w:rPr>
          <w:rFonts w:ascii="Calibri" w:hAnsi="Calibri" w:cs="Calibri"/>
          <w:sz w:val="22"/>
          <w:szCs w:val="22"/>
          <w:lang w:val="en-US"/>
        </w:rPr>
      </w:pPr>
      <w:proofErr w:type="gramStart"/>
      <w:r w:rsidRPr="00CF15A7">
        <w:rPr>
          <w:rFonts w:ascii="Calibri" w:hAnsi="Calibri" w:cs="Calibri"/>
          <w:sz w:val="22"/>
          <w:szCs w:val="22"/>
          <w:lang w:val="en-US"/>
        </w:rPr>
        <w:t>A variety</w:t>
      </w:r>
      <w:proofErr w:type="gramEnd"/>
      <w:r w:rsidRPr="00CF15A7">
        <w:rPr>
          <w:rFonts w:ascii="Calibri" w:hAnsi="Calibri" w:cs="Calibri"/>
          <w:sz w:val="22"/>
          <w:szCs w:val="22"/>
          <w:lang w:val="en-US"/>
        </w:rPr>
        <w:t xml:space="preserve"> of platforms, the concept of </w:t>
      </w:r>
      <w:r w:rsidRPr="00CF15A7">
        <w:rPr>
          <w:rFonts w:ascii="Calibri" w:hAnsi="Calibri" w:cs="Calibri"/>
          <w:i/>
          <w:iCs/>
          <w:sz w:val="22"/>
          <w:szCs w:val="22"/>
          <w:lang w:val="en-US"/>
        </w:rPr>
        <w:t>marketplace</w:t>
      </w:r>
      <w:r w:rsidRPr="00CF15A7">
        <w:rPr>
          <w:rFonts w:ascii="Calibri" w:hAnsi="Calibri" w:cs="Calibri"/>
          <w:sz w:val="22"/>
          <w:szCs w:val="22"/>
          <w:lang w:val="en-US"/>
        </w:rPr>
        <w:t xml:space="preserve"> entered the normative arsenal with Directive 2019/2161 of 27 November 2019 amending Council Directive 93/13/EEC and Directives 98/6/EC, 2005/29/EC and 2011/83/EU of the European Parliament and of the Council as regards better application and </w:t>
      </w:r>
      <w:proofErr w:type="spellStart"/>
      <w:r w:rsidRPr="00CF15A7">
        <w:rPr>
          <w:rFonts w:ascii="Calibri" w:hAnsi="Calibri" w:cs="Calibri"/>
          <w:sz w:val="22"/>
          <w:szCs w:val="22"/>
          <w:lang w:val="en-US"/>
        </w:rPr>
        <w:t>modernisation</w:t>
      </w:r>
      <w:proofErr w:type="spellEnd"/>
      <w:r w:rsidRPr="00CF15A7">
        <w:rPr>
          <w:rFonts w:ascii="Calibri" w:hAnsi="Calibri" w:cs="Calibri"/>
          <w:sz w:val="22"/>
          <w:szCs w:val="22"/>
          <w:lang w:val="en-US"/>
        </w:rPr>
        <w:t xml:space="preserve"> of EU consumer protection rules. According to Article 4, it is "a service using software, including a website, part of a website or an application, operated by or on behalf of a professional that allows consumers to conclude distance contracts with other professionals or consumers". The concept has been integrated into the introductory article of the Consumer Code. </w:t>
      </w:r>
    </w:p>
    <w:p w14:paraId="0AE827BA" w14:textId="77777777" w:rsidR="00A344DE" w:rsidRPr="00CF15A7" w:rsidRDefault="00A344DE" w:rsidP="00B27941">
      <w:pPr>
        <w:pStyle w:val="NormalWeb"/>
        <w:jc w:val="both"/>
        <w:rPr>
          <w:rFonts w:ascii="Calibri" w:hAnsi="Calibri" w:cs="Calibri"/>
          <w:sz w:val="22"/>
          <w:szCs w:val="22"/>
          <w:lang w:val="en-US"/>
        </w:rPr>
      </w:pPr>
    </w:p>
    <w:p w14:paraId="0DC9575C" w14:textId="531136E9" w:rsidR="00A344DE" w:rsidRPr="00CF15A7" w:rsidRDefault="00A344DE" w:rsidP="00B27941">
      <w:pPr>
        <w:pStyle w:val="NormalWeb"/>
        <w:jc w:val="both"/>
        <w:rPr>
          <w:rFonts w:ascii="Calibri" w:hAnsi="Calibri" w:cs="Calibri"/>
          <w:sz w:val="22"/>
          <w:szCs w:val="22"/>
          <w:lang w:val="en-US"/>
        </w:rPr>
      </w:pPr>
      <w:r w:rsidRPr="00CF15A7">
        <w:rPr>
          <w:rFonts w:ascii="Calibri" w:hAnsi="Calibri" w:cs="Calibri"/>
          <w:sz w:val="22"/>
          <w:szCs w:val="22"/>
          <w:lang w:val="en-US"/>
        </w:rPr>
        <w:t xml:space="preserve">Professor Nikolaus Forgó's International Questionnaire invites us to question the </w:t>
      </w:r>
      <w:r w:rsidRPr="00CF15A7">
        <w:rPr>
          <w:rFonts w:ascii="Calibri" w:hAnsi="Calibri" w:cs="Calibri"/>
          <w:b/>
          <w:bCs/>
          <w:sz w:val="22"/>
          <w:szCs w:val="22"/>
          <w:lang w:val="en-US"/>
        </w:rPr>
        <w:t xml:space="preserve">rules of liability applicable to the content of platforms (I) </w:t>
      </w:r>
      <w:proofErr w:type="gramStart"/>
      <w:r w:rsidRPr="00CF15A7">
        <w:rPr>
          <w:rFonts w:ascii="Calibri" w:hAnsi="Calibri" w:cs="Calibri"/>
          <w:b/>
          <w:bCs/>
          <w:sz w:val="22"/>
          <w:szCs w:val="22"/>
          <w:lang w:val="en-US"/>
        </w:rPr>
        <w:t>and also</w:t>
      </w:r>
      <w:proofErr w:type="gramEnd"/>
      <w:r w:rsidRPr="00CF15A7">
        <w:rPr>
          <w:rFonts w:ascii="Calibri" w:hAnsi="Calibri" w:cs="Calibri"/>
          <w:b/>
          <w:bCs/>
          <w:sz w:val="22"/>
          <w:szCs w:val="22"/>
          <w:lang w:val="en-US"/>
        </w:rPr>
        <w:t xml:space="preserve"> to the incurring of their liability for their activity (II).</w:t>
      </w:r>
    </w:p>
    <w:p w14:paraId="5587B893" w14:textId="4CDD3B46" w:rsidR="00EA07A7" w:rsidRPr="00CF15A7" w:rsidRDefault="00EA07A7" w:rsidP="00B27941">
      <w:pPr>
        <w:pStyle w:val="NormalWeb"/>
        <w:jc w:val="both"/>
        <w:rPr>
          <w:rFonts w:ascii="Calibri" w:hAnsi="Calibri" w:cs="Calibri"/>
          <w:sz w:val="22"/>
          <w:szCs w:val="22"/>
          <w:lang w:val="en-US"/>
        </w:rPr>
      </w:pPr>
      <w:r w:rsidRPr="00CF15A7">
        <w:rPr>
          <w:rFonts w:ascii="Calibri" w:hAnsi="Calibri" w:cs="Calibri"/>
          <w:sz w:val="22"/>
          <w:szCs w:val="22"/>
          <w:lang w:val="en-US"/>
        </w:rPr>
        <w:t xml:space="preserve"> </w:t>
      </w:r>
    </w:p>
    <w:p w14:paraId="7F81E1D2" w14:textId="79E5AC11" w:rsidR="00EA07A7" w:rsidRPr="00CF15A7" w:rsidRDefault="00EA07A7" w:rsidP="00B27941">
      <w:pPr>
        <w:jc w:val="both"/>
        <w:rPr>
          <w:rFonts w:ascii="Calibri" w:hAnsi="Calibri" w:cs="Calibri"/>
          <w:sz w:val="22"/>
          <w:szCs w:val="22"/>
          <w:lang w:val="en-US"/>
        </w:rPr>
      </w:pPr>
    </w:p>
    <w:p w14:paraId="11126F1D" w14:textId="430B38D5" w:rsidR="00863A62" w:rsidRPr="00CF15A7" w:rsidRDefault="00EF1AD5" w:rsidP="00B27941">
      <w:pPr>
        <w:pStyle w:val="Paragraphedeliste"/>
        <w:numPr>
          <w:ilvl w:val="0"/>
          <w:numId w:val="6"/>
        </w:numPr>
        <w:jc w:val="both"/>
        <w:rPr>
          <w:rFonts w:ascii="Calibri" w:hAnsi="Calibri" w:cs="Calibri"/>
          <w:b/>
          <w:bCs/>
          <w:sz w:val="22"/>
          <w:szCs w:val="22"/>
          <w:lang w:val="en-US"/>
        </w:rPr>
      </w:pPr>
      <w:r w:rsidRPr="00CF15A7">
        <w:rPr>
          <w:rFonts w:ascii="Calibri" w:hAnsi="Calibri" w:cs="Calibri"/>
          <w:b/>
          <w:bCs/>
          <w:sz w:val="22"/>
          <w:szCs w:val="22"/>
          <w:lang w:val="en-US"/>
        </w:rPr>
        <w:t>Liability of platforms for hosted content</w:t>
      </w:r>
    </w:p>
    <w:p w14:paraId="3C7E13EB" w14:textId="77777777" w:rsidR="00863A62" w:rsidRPr="00CF15A7" w:rsidRDefault="00863A62" w:rsidP="00B27941">
      <w:pPr>
        <w:jc w:val="both"/>
        <w:rPr>
          <w:rFonts w:ascii="Calibri" w:hAnsi="Calibri" w:cs="Calibri"/>
          <w:sz w:val="22"/>
          <w:szCs w:val="22"/>
          <w:lang w:val="en-US"/>
        </w:rPr>
      </w:pPr>
    </w:p>
    <w:p w14:paraId="5C4881E8" w14:textId="77777777" w:rsidR="00863A62" w:rsidRPr="00CF15A7" w:rsidRDefault="00863A62" w:rsidP="00B27941">
      <w:pPr>
        <w:jc w:val="both"/>
        <w:rPr>
          <w:rFonts w:ascii="Calibri" w:hAnsi="Calibri" w:cs="Calibri"/>
          <w:sz w:val="22"/>
          <w:szCs w:val="22"/>
          <w:lang w:val="en-US"/>
        </w:rPr>
      </w:pPr>
    </w:p>
    <w:p w14:paraId="47F0A673" w14:textId="3833EFC7" w:rsidR="00863A62" w:rsidRPr="00CF15A7" w:rsidRDefault="00863A62" w:rsidP="00B27941">
      <w:pPr>
        <w:pStyle w:val="Paragraphedeliste"/>
        <w:numPr>
          <w:ilvl w:val="0"/>
          <w:numId w:val="7"/>
        </w:numPr>
        <w:jc w:val="both"/>
        <w:rPr>
          <w:rFonts w:ascii="Calibri" w:hAnsi="Calibri" w:cs="Calibri"/>
          <w:b/>
          <w:bCs/>
          <w:sz w:val="22"/>
          <w:szCs w:val="22"/>
          <w:lang w:val="en-US"/>
        </w:rPr>
      </w:pPr>
      <w:r w:rsidRPr="00CF15A7">
        <w:rPr>
          <w:rFonts w:ascii="Calibri" w:hAnsi="Calibri" w:cs="Calibri"/>
          <w:b/>
          <w:bCs/>
          <w:sz w:val="22"/>
          <w:szCs w:val="22"/>
          <w:lang w:val="en-US"/>
        </w:rPr>
        <w:t>The absence of an obligation to supervise</w:t>
      </w:r>
    </w:p>
    <w:p w14:paraId="7BE0FC0F" w14:textId="77777777" w:rsidR="00863A62" w:rsidRPr="00CF15A7" w:rsidRDefault="00863A62" w:rsidP="00B27941">
      <w:pPr>
        <w:jc w:val="both"/>
        <w:rPr>
          <w:rFonts w:ascii="Calibri" w:hAnsi="Calibri" w:cs="Calibri"/>
          <w:sz w:val="22"/>
          <w:szCs w:val="22"/>
          <w:lang w:val="en-US"/>
        </w:rPr>
      </w:pPr>
    </w:p>
    <w:p w14:paraId="76002387" w14:textId="77777777" w:rsidR="009149E7" w:rsidRPr="00CF15A7" w:rsidRDefault="009149E7" w:rsidP="00B27941">
      <w:pPr>
        <w:jc w:val="both"/>
        <w:rPr>
          <w:rFonts w:ascii="Calibri" w:hAnsi="Calibri" w:cs="Calibri"/>
          <w:sz w:val="22"/>
          <w:szCs w:val="22"/>
          <w:lang w:val="en-US"/>
        </w:rPr>
      </w:pPr>
    </w:p>
    <w:p w14:paraId="3DA17D51" w14:textId="77777777" w:rsidR="009149E7" w:rsidRPr="00CF15A7" w:rsidRDefault="009149E7" w:rsidP="00B27941">
      <w:pPr>
        <w:jc w:val="both"/>
        <w:rPr>
          <w:rFonts w:ascii="Calibri" w:hAnsi="Calibri" w:cs="Calibri"/>
          <w:sz w:val="22"/>
          <w:szCs w:val="22"/>
          <w:lang w:val="en-US"/>
        </w:rPr>
      </w:pPr>
    </w:p>
    <w:p w14:paraId="15A15174" w14:textId="28F5D8A4" w:rsidR="009149E7" w:rsidRPr="00032A99" w:rsidRDefault="009149E7" w:rsidP="00B27941">
      <w:pPr>
        <w:pStyle w:val="Paragraphedeliste"/>
        <w:numPr>
          <w:ilvl w:val="0"/>
          <w:numId w:val="9"/>
        </w:numPr>
        <w:jc w:val="both"/>
        <w:rPr>
          <w:rFonts w:ascii="Calibri" w:hAnsi="Calibri" w:cs="Calibri"/>
          <w:b/>
          <w:bCs/>
          <w:sz w:val="22"/>
          <w:szCs w:val="22"/>
        </w:rPr>
      </w:pPr>
      <w:r w:rsidRPr="00032A99">
        <w:rPr>
          <w:rFonts w:ascii="Calibri" w:hAnsi="Calibri" w:cs="Calibri"/>
          <w:b/>
          <w:bCs/>
          <w:sz w:val="22"/>
          <w:szCs w:val="22"/>
        </w:rPr>
        <w:t xml:space="preserve">No </w:t>
      </w:r>
      <w:proofErr w:type="spellStart"/>
      <w:r w:rsidRPr="00032A99">
        <w:rPr>
          <w:rFonts w:ascii="Calibri" w:hAnsi="Calibri" w:cs="Calibri"/>
          <w:b/>
          <w:bCs/>
          <w:sz w:val="22"/>
          <w:szCs w:val="22"/>
        </w:rPr>
        <w:t>legal</w:t>
      </w:r>
      <w:proofErr w:type="spellEnd"/>
      <w:r w:rsidRPr="00032A99">
        <w:rPr>
          <w:rFonts w:ascii="Calibri" w:hAnsi="Calibri" w:cs="Calibri"/>
          <w:b/>
          <w:bCs/>
          <w:sz w:val="22"/>
          <w:szCs w:val="22"/>
        </w:rPr>
        <w:t xml:space="preserve"> obligation to monitor </w:t>
      </w:r>
    </w:p>
    <w:p w14:paraId="117C6221" w14:textId="77777777" w:rsidR="009149E7" w:rsidRPr="00032A99" w:rsidRDefault="009149E7" w:rsidP="00B27941">
      <w:pPr>
        <w:jc w:val="both"/>
        <w:rPr>
          <w:rFonts w:ascii="Calibri" w:hAnsi="Calibri" w:cs="Calibri"/>
          <w:sz w:val="22"/>
          <w:szCs w:val="22"/>
        </w:rPr>
      </w:pPr>
    </w:p>
    <w:p w14:paraId="57A963FE" w14:textId="063D78AE" w:rsidR="00863A62" w:rsidRPr="00CF15A7" w:rsidRDefault="00067B6B" w:rsidP="00B27941">
      <w:pPr>
        <w:jc w:val="both"/>
        <w:rPr>
          <w:rFonts w:ascii="Calibri" w:hAnsi="Calibri" w:cs="Calibri"/>
          <w:sz w:val="22"/>
          <w:szCs w:val="22"/>
          <w:lang w:val="en-US"/>
        </w:rPr>
      </w:pPr>
      <w:r w:rsidRPr="00CF15A7">
        <w:rPr>
          <w:rFonts w:ascii="Calibri" w:hAnsi="Calibri" w:cs="Calibri"/>
          <w:sz w:val="22"/>
          <w:szCs w:val="22"/>
          <w:lang w:val="en-US"/>
        </w:rPr>
        <w:t>There is no general monitoring obligation on hosting providers: "Providers of intermediary services are not subject to any general obligation to monitor the information they transmit or store or to actively search for facts or circumstances that reveal illegal activities" (Art. 8 of the DSA).</w:t>
      </w:r>
    </w:p>
    <w:p w14:paraId="4571D180" w14:textId="77777777" w:rsidR="00863A62" w:rsidRPr="00CF15A7" w:rsidRDefault="00863A62" w:rsidP="00B27941">
      <w:pPr>
        <w:jc w:val="both"/>
        <w:rPr>
          <w:rFonts w:ascii="Calibri" w:hAnsi="Calibri" w:cs="Calibri"/>
          <w:sz w:val="22"/>
          <w:szCs w:val="22"/>
          <w:lang w:val="en-US"/>
        </w:rPr>
      </w:pPr>
    </w:p>
    <w:p w14:paraId="6456E48E" w14:textId="77777777" w:rsidR="007537D2" w:rsidRPr="00CF15A7" w:rsidRDefault="007537D2" w:rsidP="00B27941">
      <w:pPr>
        <w:jc w:val="both"/>
        <w:rPr>
          <w:rFonts w:ascii="Calibri" w:hAnsi="Calibri" w:cs="Calibri"/>
          <w:sz w:val="22"/>
          <w:szCs w:val="22"/>
          <w:lang w:val="en-US"/>
        </w:rPr>
      </w:pPr>
    </w:p>
    <w:p w14:paraId="327FFA9C" w14:textId="3A44D2B8" w:rsidR="007537D2" w:rsidRPr="00CF15A7" w:rsidRDefault="007537D2" w:rsidP="00B27941">
      <w:pPr>
        <w:jc w:val="both"/>
        <w:rPr>
          <w:rFonts w:ascii="Calibri" w:hAnsi="Calibri" w:cs="Calibri"/>
          <w:sz w:val="22"/>
          <w:szCs w:val="22"/>
          <w:lang w:val="en-US"/>
        </w:rPr>
      </w:pPr>
      <w:r w:rsidRPr="00CF15A7">
        <w:rPr>
          <w:rFonts w:ascii="Calibri" w:hAnsi="Calibri" w:cs="Calibri"/>
          <w:sz w:val="22"/>
          <w:szCs w:val="22"/>
          <w:lang w:val="en-US"/>
        </w:rPr>
        <w:t xml:space="preserve">In domestic law, Article 6, I, 7 of the LCEN in its version prior to 2024 recognized that service providers were not subject to a general obligation to monitor the information they transmit or store, nor to a general obligation to search for facts or circumstances revealing illegal activities, but this "without </w:t>
      </w:r>
      <w:r w:rsidRPr="00CF15A7">
        <w:rPr>
          <w:rFonts w:ascii="Calibri" w:hAnsi="Calibri" w:cs="Calibri"/>
          <w:sz w:val="22"/>
          <w:szCs w:val="22"/>
          <w:lang w:val="en-US"/>
        </w:rPr>
        <w:lastRenderedPageBreak/>
        <w:t>prejudice to any targeted and temporary surveillance activity requested by the judicial authority". Some lower courts have tried to impose an obligation to stay down on the host. This was the case of the Paris Court of First Instance in the 2011 case of SPPF v. YouTube, which ruled that "admittedly, since the notification of May 7, 2008, YouTube was presumed to be aware of the illegal nature of the music videos and had not only to remove them from the links set out in the notification but also to implement the technical means at its disposal in order to make their access impossible". The Paris Court of Appeal, however, by substitution of grounds, reaffirmed "that it follows, on the other hand, from the combined provisions of Articles 6-1-2, 6-1-5 and 6-1-5 of the LCEN law that the host is not subject to a general obligation of monitoring and that the removal of content by a host, even if it has already been the subject of a notification, cannot take place without prior notification".</w:t>
      </w:r>
    </w:p>
    <w:p w14:paraId="4C20A7A1" w14:textId="77777777" w:rsidR="006E09AA" w:rsidRPr="00CF15A7" w:rsidRDefault="006E09AA" w:rsidP="00B27941">
      <w:pPr>
        <w:jc w:val="both"/>
        <w:rPr>
          <w:rFonts w:ascii="Calibri" w:hAnsi="Calibri" w:cs="Calibri"/>
          <w:sz w:val="22"/>
          <w:szCs w:val="22"/>
          <w:lang w:val="en-US"/>
        </w:rPr>
      </w:pPr>
    </w:p>
    <w:p w14:paraId="5829FDBD" w14:textId="175BCCB9" w:rsidR="007537D2" w:rsidRPr="00CF15A7" w:rsidRDefault="007537D2" w:rsidP="00B27941">
      <w:pPr>
        <w:jc w:val="both"/>
        <w:rPr>
          <w:rFonts w:ascii="Calibri" w:hAnsi="Calibri" w:cs="Calibri"/>
          <w:sz w:val="22"/>
          <w:szCs w:val="22"/>
          <w:lang w:val="en-US"/>
        </w:rPr>
      </w:pPr>
      <w:r w:rsidRPr="00CF15A7">
        <w:rPr>
          <w:rFonts w:ascii="Calibri" w:hAnsi="Calibri" w:cs="Calibri"/>
          <w:sz w:val="22"/>
          <w:szCs w:val="22"/>
          <w:lang w:val="en-US"/>
        </w:rPr>
        <w:t xml:space="preserve">It is above all several judgments handed down by the Court of Cassation on the same day that have buried the desires of the </w:t>
      </w:r>
      <w:r w:rsidR="006C027F">
        <w:rPr>
          <w:rFonts w:ascii="Calibri" w:hAnsi="Calibri" w:cs="Calibri"/>
          <w:sz w:val="22"/>
          <w:szCs w:val="22"/>
          <w:lang w:val="en-US"/>
        </w:rPr>
        <w:t>first</w:t>
      </w:r>
      <w:r w:rsidRPr="00CF15A7">
        <w:rPr>
          <w:rFonts w:ascii="Calibri" w:hAnsi="Calibri" w:cs="Calibri"/>
          <w:sz w:val="22"/>
          <w:szCs w:val="22"/>
          <w:lang w:val="en-US"/>
        </w:rPr>
        <w:t xml:space="preserve"> judges</w:t>
      </w:r>
      <w:r w:rsidR="00BB1D6B" w:rsidRPr="00032A99">
        <w:rPr>
          <w:rStyle w:val="Appelnotedebasdep"/>
          <w:rFonts w:ascii="Calibri" w:hAnsi="Calibri" w:cs="Calibri"/>
          <w:sz w:val="22"/>
          <w:szCs w:val="22"/>
        </w:rPr>
        <w:footnoteReference w:id="6"/>
      </w:r>
      <w:r w:rsidRPr="00CF15A7">
        <w:rPr>
          <w:rFonts w:ascii="Calibri" w:hAnsi="Calibri" w:cs="Calibri"/>
          <w:sz w:val="22"/>
          <w:szCs w:val="22"/>
          <w:lang w:val="en-US"/>
        </w:rPr>
        <w:t>. The Court of Cassation considers that the rights holder cannot impose filtering measures on a technical intermediary if they appear disproportionate to the aim pursued</w:t>
      </w:r>
      <w:r w:rsidR="00EF1AD5" w:rsidRPr="00032A99">
        <w:rPr>
          <w:rStyle w:val="Appelnotedebasdep"/>
          <w:rFonts w:ascii="Calibri" w:hAnsi="Calibri" w:cs="Calibri"/>
          <w:sz w:val="22"/>
          <w:szCs w:val="22"/>
        </w:rPr>
        <w:footnoteReference w:id="7"/>
      </w:r>
      <w:r w:rsidRPr="00CF15A7">
        <w:rPr>
          <w:rFonts w:ascii="Calibri" w:hAnsi="Calibri" w:cs="Calibri"/>
          <w:sz w:val="22"/>
          <w:szCs w:val="22"/>
          <w:lang w:val="en-US"/>
        </w:rPr>
        <w:t>. In the Aufeminin.com judgment, it quashed the appeal judgment, on the basis of Article 6 of Law No. 2004-575 of 21 June 2004 in its provisions I. 2, I. 5 and I. 7, which had ruled that "it is the responsibility of the hosting service provider who has received notification of the work to which it has been infringed and of the intellectual property rights that protect it to take the necessary measures to prevent it from being re-posted online". For the Court of Cassation, "by ruling in this way, when the prevention and prohibition imposed on the company Aufeminin.com, as host, and on the Google companies, as providers of referencing services, to prevent any re-posting of the infringing image, without them even having been notified by another regular notification that is required for them to be effectively aware of its illegal nature and then be required to act promptly in order to remove it or make access to it impossible, results in subjecting them, beyond the sole power to order a measure appropriate to prevent or put an end to the damage linked to the current content of the site in question, to a general obligation to monitor the images they store and to search for illegal reproductions and to prescribe them,  disproportionately in relation to the aim pursued, the establishment of a blocking mechanism without a time limit, the Court of Appeal violated the above-mentioned provisions".</w:t>
      </w:r>
    </w:p>
    <w:p w14:paraId="6F6CCF5B" w14:textId="77777777" w:rsidR="006E09AA" w:rsidRPr="00CF15A7" w:rsidRDefault="006E09AA" w:rsidP="00B27941">
      <w:pPr>
        <w:jc w:val="both"/>
        <w:rPr>
          <w:rFonts w:ascii="Calibri" w:hAnsi="Calibri" w:cs="Calibri"/>
          <w:sz w:val="22"/>
          <w:szCs w:val="22"/>
          <w:lang w:val="en-US"/>
        </w:rPr>
      </w:pPr>
    </w:p>
    <w:p w14:paraId="155A4137" w14:textId="1BCBAB06" w:rsidR="007537D2" w:rsidRPr="00CF15A7" w:rsidRDefault="007537D2" w:rsidP="00B27941">
      <w:pPr>
        <w:jc w:val="both"/>
        <w:rPr>
          <w:rFonts w:ascii="Calibri" w:hAnsi="Calibri" w:cs="Calibri"/>
          <w:sz w:val="22"/>
          <w:szCs w:val="22"/>
          <w:lang w:val="en-US"/>
        </w:rPr>
      </w:pPr>
      <w:r w:rsidRPr="00CF15A7">
        <w:rPr>
          <w:rFonts w:ascii="Calibri" w:hAnsi="Calibri" w:cs="Calibri"/>
          <w:sz w:val="22"/>
          <w:szCs w:val="22"/>
          <w:lang w:val="en-US"/>
        </w:rPr>
        <w:t xml:space="preserve">The Court of Cassation reaffirmed this exclusion from any permanent targeted surveillance in 2024 in its Le Bon Coin (LBC) decision: "It follows from these texts (Art. 6, I, 2; 6(I)(5) and (6)(I)(7) that while the judicial authority may prescribe, in summary proceedings or on request, any host or provider of access to online public communication services, any measures appropriate to prevent damage or to put an end to damage caused by the content of such a service, it may not subject that host or access provider to a general obligation to monitor the information it transmits, and stores or researches facts or </w:t>
      </w:r>
      <w:r w:rsidRPr="00CF15A7">
        <w:rPr>
          <w:rFonts w:ascii="Calibri" w:hAnsi="Calibri" w:cs="Calibri"/>
          <w:sz w:val="22"/>
          <w:szCs w:val="22"/>
          <w:lang w:val="en-US"/>
        </w:rPr>
        <w:lastRenderedPageBreak/>
        <w:t>circumstances revealing illegal activities, which would oblige it to make an independent assessment".</w:t>
      </w:r>
      <w:r w:rsidR="00EF1AD5" w:rsidRPr="00032A99">
        <w:rPr>
          <w:rStyle w:val="Appelnotedebasdep"/>
          <w:rFonts w:ascii="Calibri" w:hAnsi="Calibri" w:cs="Calibri"/>
          <w:sz w:val="22"/>
          <w:szCs w:val="22"/>
        </w:rPr>
        <w:footnoteReference w:id="8"/>
      </w:r>
      <w:r w:rsidRPr="00CF15A7">
        <w:rPr>
          <w:rFonts w:ascii="Calibri" w:hAnsi="Calibri" w:cs="Calibri"/>
          <w:sz w:val="22"/>
          <w:szCs w:val="22"/>
          <w:lang w:val="en-US"/>
        </w:rPr>
        <w:t xml:space="preserve"> In this case, a company was the victim of identity theft (company name and/or RCS number and/or IBAN) with the aim of drafting false quotes and false orders relating to the marketing of containers for maritime use. The Court of Appeal had ruled that the elements produced were sufficient to establish the existence of damage in terms of image and communication suffered by the victim company and caused by the online service managed by LBC, and that as fraudulent advertisements had continued to be published on the leboncoin.fr site, the publication of these advertisements constituted a manifestly unlawful disturbance that should be stopped. The Court of Cassation censured the analysis on the grounds that "by thus placing on LBC a device that is not only not limited in time but also which, relating to possible future announcements, results in it being subject to a general obligation to monitor the information stored, obliging it to make an autonomous assessment of the content of these announcements,  the Court of Appeal violated the above-mentioned text".</w:t>
      </w:r>
    </w:p>
    <w:p w14:paraId="5D284380" w14:textId="77777777" w:rsidR="00D2749A" w:rsidRPr="00CF15A7" w:rsidRDefault="00D2749A" w:rsidP="00B27941">
      <w:pPr>
        <w:jc w:val="both"/>
        <w:rPr>
          <w:rFonts w:ascii="Calibri" w:hAnsi="Calibri" w:cs="Calibri"/>
          <w:sz w:val="22"/>
          <w:szCs w:val="22"/>
          <w:lang w:val="en-US"/>
        </w:rPr>
      </w:pPr>
    </w:p>
    <w:p w14:paraId="12F1D36B" w14:textId="77777777" w:rsidR="00D2749A" w:rsidRPr="00CF15A7" w:rsidRDefault="00D2749A" w:rsidP="00B27941">
      <w:pPr>
        <w:jc w:val="both"/>
        <w:rPr>
          <w:rFonts w:ascii="Calibri" w:hAnsi="Calibri" w:cs="Calibri"/>
          <w:sz w:val="22"/>
          <w:szCs w:val="22"/>
          <w:lang w:val="en-US"/>
        </w:rPr>
      </w:pPr>
    </w:p>
    <w:p w14:paraId="4FE0CF87" w14:textId="2A891955" w:rsidR="00D86DF4" w:rsidRPr="00CF15A7" w:rsidRDefault="00D86DF4" w:rsidP="00B27941">
      <w:pPr>
        <w:pStyle w:val="Paragraphedeliste"/>
        <w:numPr>
          <w:ilvl w:val="0"/>
          <w:numId w:val="9"/>
        </w:numPr>
        <w:jc w:val="both"/>
        <w:rPr>
          <w:rFonts w:ascii="Calibri" w:hAnsi="Calibri" w:cs="Calibri"/>
          <w:b/>
          <w:bCs/>
          <w:sz w:val="22"/>
          <w:szCs w:val="22"/>
          <w:lang w:val="en-US"/>
        </w:rPr>
      </w:pPr>
      <w:r w:rsidRPr="00CF15A7">
        <w:rPr>
          <w:rFonts w:ascii="Calibri" w:hAnsi="Calibri" w:cs="Calibri"/>
          <w:b/>
          <w:bCs/>
          <w:sz w:val="22"/>
          <w:szCs w:val="22"/>
          <w:lang w:val="en-US"/>
        </w:rPr>
        <w:t xml:space="preserve">Possibility of a contractual obligation to monitor </w:t>
      </w:r>
    </w:p>
    <w:p w14:paraId="3AFAF3C3" w14:textId="19DFEFE4" w:rsidR="00D86DF4" w:rsidRPr="00CF15A7" w:rsidRDefault="00D86DF4" w:rsidP="00B27941">
      <w:pPr>
        <w:jc w:val="both"/>
        <w:rPr>
          <w:rFonts w:ascii="Calibri" w:hAnsi="Calibri" w:cs="Calibri"/>
          <w:sz w:val="22"/>
          <w:szCs w:val="22"/>
          <w:lang w:val="en-US"/>
        </w:rPr>
      </w:pPr>
      <w:r w:rsidRPr="00CF15A7">
        <w:rPr>
          <w:rFonts w:ascii="Calibri" w:hAnsi="Calibri" w:cs="Calibri"/>
          <w:sz w:val="22"/>
          <w:szCs w:val="22"/>
          <w:lang w:val="en-US"/>
        </w:rPr>
        <w:t>`</w:t>
      </w:r>
    </w:p>
    <w:p w14:paraId="2EA1DC2F" w14:textId="048A6CAE" w:rsidR="00912ABF" w:rsidRPr="00CF15A7" w:rsidRDefault="00D2749A" w:rsidP="00B27941">
      <w:pPr>
        <w:jc w:val="both"/>
        <w:rPr>
          <w:rFonts w:ascii="Calibri" w:hAnsi="Calibri" w:cs="Calibri"/>
          <w:sz w:val="22"/>
          <w:szCs w:val="22"/>
          <w:lang w:val="en-US"/>
        </w:rPr>
      </w:pPr>
      <w:r w:rsidRPr="00CF15A7">
        <w:rPr>
          <w:rFonts w:ascii="Calibri" w:hAnsi="Calibri" w:cs="Calibri"/>
          <w:sz w:val="22"/>
          <w:szCs w:val="22"/>
          <w:lang w:val="en-US"/>
        </w:rPr>
        <w:t>In a decision dated January 15, 2025</w:t>
      </w:r>
      <w:r w:rsidRPr="00032A99">
        <w:rPr>
          <w:rStyle w:val="Appelnotedebasdep"/>
          <w:rFonts w:ascii="Calibri" w:hAnsi="Calibri" w:cs="Calibri"/>
          <w:sz w:val="22"/>
          <w:szCs w:val="22"/>
        </w:rPr>
        <w:footnoteReference w:id="9"/>
      </w:r>
      <w:r w:rsidRPr="00CF15A7">
        <w:rPr>
          <w:rFonts w:ascii="Calibri" w:hAnsi="Calibri" w:cs="Calibri"/>
          <w:sz w:val="22"/>
          <w:szCs w:val="22"/>
          <w:lang w:val="en-US"/>
        </w:rPr>
        <w:t xml:space="preserve">, the Commercial Chamber of the Court of Cassation accepted that the parties could insert a contractual obligation of monitoring on the part of the hosting provider: "Article 6, I, of Law No. 2004-575 of June 21, 2004 on confidence in the digital economy, in its version prior to that resulting from Law No. 2014-873 of August 4, 2014,  has neither the purpose nor the effect of depriving the signatories of an electronic payment contract to which a host is a party of the right to stipulate that the latter is bound by an obligation to monitor the information it stores or publishes, and to sanction the breach of this obligation by terminating the contract". The parties therefore have the freedom to contractually adjust the hosting provider's obligation to monitor and to impose stronger constraints on it than those provided for by law. In any event, this obligation is one of </w:t>
      </w:r>
      <w:proofErr w:type="gramStart"/>
      <w:r w:rsidRPr="00CF15A7">
        <w:rPr>
          <w:rFonts w:ascii="Calibri" w:hAnsi="Calibri" w:cs="Calibri"/>
          <w:sz w:val="22"/>
          <w:szCs w:val="22"/>
          <w:lang w:val="en-US"/>
        </w:rPr>
        <w:t>means</w:t>
      </w:r>
      <w:proofErr w:type="gramEnd"/>
      <w:r w:rsidRPr="00CF15A7">
        <w:rPr>
          <w:rFonts w:ascii="Calibri" w:hAnsi="Calibri" w:cs="Calibri"/>
          <w:sz w:val="22"/>
          <w:szCs w:val="22"/>
          <w:lang w:val="en-US"/>
        </w:rPr>
        <w:t xml:space="preserve"> and not of </w:t>
      </w:r>
      <w:proofErr w:type="gramStart"/>
      <w:r w:rsidRPr="00CF15A7">
        <w:rPr>
          <w:rFonts w:ascii="Calibri" w:hAnsi="Calibri" w:cs="Calibri"/>
          <w:sz w:val="22"/>
          <w:szCs w:val="22"/>
          <w:lang w:val="en-US"/>
        </w:rPr>
        <w:t>result</w:t>
      </w:r>
      <w:proofErr w:type="gramEnd"/>
      <w:r w:rsidRPr="00CF15A7">
        <w:rPr>
          <w:rFonts w:ascii="Calibri" w:hAnsi="Calibri" w:cs="Calibri"/>
          <w:sz w:val="22"/>
          <w:szCs w:val="22"/>
          <w:lang w:val="en-US"/>
        </w:rPr>
        <w:t xml:space="preserve">. </w:t>
      </w:r>
    </w:p>
    <w:p w14:paraId="2934E5BA" w14:textId="77777777" w:rsidR="006E09AA" w:rsidRPr="00CF15A7" w:rsidRDefault="006E09AA" w:rsidP="00B27941">
      <w:pPr>
        <w:jc w:val="both"/>
        <w:rPr>
          <w:rFonts w:ascii="Calibri" w:hAnsi="Calibri" w:cs="Calibri"/>
          <w:sz w:val="22"/>
          <w:szCs w:val="22"/>
          <w:lang w:val="en-US"/>
        </w:rPr>
      </w:pPr>
    </w:p>
    <w:p w14:paraId="694401DF" w14:textId="3C5BCF85" w:rsidR="00D86DF4" w:rsidRPr="00CF15A7" w:rsidRDefault="00912ABF" w:rsidP="00B27941">
      <w:pPr>
        <w:jc w:val="both"/>
        <w:rPr>
          <w:rFonts w:ascii="Calibri" w:hAnsi="Calibri" w:cs="Calibri"/>
          <w:sz w:val="22"/>
          <w:szCs w:val="22"/>
          <w:lang w:val="en-US"/>
        </w:rPr>
      </w:pPr>
      <w:r w:rsidRPr="00CF15A7">
        <w:rPr>
          <w:rFonts w:ascii="Calibri" w:hAnsi="Calibri" w:cs="Calibri"/>
          <w:sz w:val="22"/>
          <w:szCs w:val="22"/>
          <w:lang w:val="en-US"/>
        </w:rPr>
        <w:t xml:space="preserve">Although the Court does not indicate it, this extension of the legal obligation must still be clearly stipulated in the contract, and the due diligence of the host must be specified, otherwise mentioning only that the host "refrains from any illegal activity" could be interpreted as a simple resumption of the principle of the law. </w:t>
      </w:r>
    </w:p>
    <w:p w14:paraId="4607FA8D" w14:textId="77777777" w:rsidR="006E09AA" w:rsidRPr="00CF15A7" w:rsidRDefault="006E09AA" w:rsidP="00B27941">
      <w:pPr>
        <w:jc w:val="both"/>
        <w:rPr>
          <w:rFonts w:ascii="Calibri" w:hAnsi="Calibri" w:cs="Calibri"/>
          <w:sz w:val="22"/>
          <w:szCs w:val="22"/>
          <w:lang w:val="en-US"/>
        </w:rPr>
      </w:pPr>
    </w:p>
    <w:p w14:paraId="0AE36D5B" w14:textId="6D5DE430" w:rsidR="00782A44" w:rsidRPr="00CF15A7" w:rsidRDefault="00782A44" w:rsidP="00B27941">
      <w:pPr>
        <w:jc w:val="both"/>
        <w:rPr>
          <w:rFonts w:ascii="Calibri" w:hAnsi="Calibri" w:cs="Calibri"/>
          <w:sz w:val="22"/>
          <w:szCs w:val="22"/>
          <w:lang w:val="en-US"/>
        </w:rPr>
      </w:pPr>
      <w:r w:rsidRPr="00CF15A7">
        <w:rPr>
          <w:rFonts w:ascii="Calibri" w:hAnsi="Calibri" w:cs="Calibri"/>
          <w:sz w:val="22"/>
          <w:szCs w:val="22"/>
          <w:lang w:val="en-US"/>
        </w:rPr>
        <w:t xml:space="preserve">It is obvious that this extension of liability will never be inserted in the contracts of large platforms such as Google or Meta, but rather in contracts with small platforms. It is then necessary to ensure that the balance of the contract is guaranteed. </w:t>
      </w:r>
    </w:p>
    <w:p w14:paraId="40A91F3D" w14:textId="77777777" w:rsidR="00863A62" w:rsidRPr="00CF15A7" w:rsidRDefault="00863A62" w:rsidP="00B27941">
      <w:pPr>
        <w:jc w:val="both"/>
        <w:rPr>
          <w:rFonts w:ascii="Calibri" w:hAnsi="Calibri" w:cs="Calibri"/>
          <w:sz w:val="22"/>
          <w:szCs w:val="22"/>
          <w:lang w:val="en-US"/>
        </w:rPr>
      </w:pPr>
    </w:p>
    <w:p w14:paraId="0A073A52" w14:textId="77777777" w:rsidR="00863A62" w:rsidRPr="00CF15A7" w:rsidRDefault="00863A62" w:rsidP="00B27941">
      <w:pPr>
        <w:jc w:val="both"/>
        <w:rPr>
          <w:rFonts w:ascii="Calibri" w:hAnsi="Calibri" w:cs="Calibri"/>
          <w:sz w:val="22"/>
          <w:szCs w:val="22"/>
          <w:lang w:val="en-US"/>
        </w:rPr>
      </w:pPr>
    </w:p>
    <w:p w14:paraId="5F3BE811" w14:textId="0C6C9C06" w:rsidR="009149E7" w:rsidRPr="00CF15A7" w:rsidRDefault="009149E7" w:rsidP="00B27941">
      <w:pPr>
        <w:pStyle w:val="Paragraphedeliste"/>
        <w:numPr>
          <w:ilvl w:val="0"/>
          <w:numId w:val="7"/>
        </w:numPr>
        <w:jc w:val="both"/>
        <w:rPr>
          <w:rFonts w:ascii="Calibri" w:hAnsi="Calibri" w:cs="Calibri"/>
          <w:b/>
          <w:bCs/>
          <w:sz w:val="22"/>
          <w:szCs w:val="22"/>
          <w:lang w:val="en-US"/>
        </w:rPr>
      </w:pPr>
      <w:r w:rsidRPr="00CF15A7">
        <w:rPr>
          <w:rFonts w:ascii="Calibri" w:hAnsi="Calibri" w:cs="Calibri"/>
          <w:b/>
          <w:bCs/>
          <w:sz w:val="22"/>
          <w:szCs w:val="22"/>
          <w:lang w:val="en-US"/>
        </w:rPr>
        <w:t>The due diligence of digital platforms in the event of knowledge of illegal content</w:t>
      </w:r>
    </w:p>
    <w:p w14:paraId="4AA63407" w14:textId="77777777" w:rsidR="009F1EC2" w:rsidRPr="00CF15A7" w:rsidRDefault="009F1EC2" w:rsidP="00B27941">
      <w:pPr>
        <w:jc w:val="both"/>
        <w:rPr>
          <w:rFonts w:ascii="Calibri" w:hAnsi="Calibri" w:cs="Calibri"/>
          <w:b/>
          <w:bCs/>
          <w:sz w:val="22"/>
          <w:szCs w:val="22"/>
          <w:lang w:val="en-US"/>
        </w:rPr>
      </w:pPr>
    </w:p>
    <w:p w14:paraId="6723AEBB" w14:textId="77777777" w:rsidR="009F1EC2" w:rsidRPr="00CF15A7" w:rsidRDefault="009F1EC2" w:rsidP="00B27941">
      <w:pPr>
        <w:jc w:val="both"/>
        <w:rPr>
          <w:rFonts w:ascii="Calibri" w:hAnsi="Calibri" w:cs="Calibri"/>
          <w:b/>
          <w:bCs/>
          <w:sz w:val="22"/>
          <w:szCs w:val="22"/>
          <w:lang w:val="en-US"/>
        </w:rPr>
      </w:pPr>
    </w:p>
    <w:p w14:paraId="4D648BEC" w14:textId="21B80557" w:rsidR="009F1EC2" w:rsidRPr="00CF15A7" w:rsidRDefault="00EF1AD5" w:rsidP="00B27941">
      <w:pPr>
        <w:jc w:val="both"/>
        <w:rPr>
          <w:rFonts w:ascii="Calibri" w:hAnsi="Calibri" w:cs="Calibri"/>
          <w:sz w:val="22"/>
          <w:szCs w:val="22"/>
          <w:lang w:val="en-US"/>
        </w:rPr>
      </w:pPr>
      <w:r w:rsidRPr="00CF15A7">
        <w:rPr>
          <w:rFonts w:ascii="Calibri" w:hAnsi="Calibri" w:cs="Calibri"/>
          <w:sz w:val="22"/>
          <w:szCs w:val="22"/>
          <w:lang w:val="en-US"/>
        </w:rPr>
        <w:t>The illegality or alleged illegality of the content may be brought to the attention of the platforms by a notifying applicant</w:t>
      </w:r>
      <w:r w:rsidR="00B27941" w:rsidRPr="00032A99">
        <w:rPr>
          <w:rStyle w:val="Appelnotedebasdep"/>
          <w:rFonts w:ascii="Calibri" w:hAnsi="Calibri" w:cs="Calibri"/>
          <w:sz w:val="22"/>
          <w:szCs w:val="22"/>
        </w:rPr>
        <w:footnoteReference w:id="10"/>
      </w:r>
      <w:r w:rsidRPr="00CF15A7">
        <w:rPr>
          <w:rFonts w:ascii="Calibri" w:hAnsi="Calibri" w:cs="Calibri"/>
          <w:sz w:val="22"/>
          <w:szCs w:val="22"/>
          <w:lang w:val="en-US"/>
        </w:rPr>
        <w:t xml:space="preserve"> or by a trusted flagger. </w:t>
      </w:r>
    </w:p>
    <w:p w14:paraId="7CC0F5B2" w14:textId="77777777" w:rsidR="00DA58BE" w:rsidRDefault="00DA58BE" w:rsidP="00B27941">
      <w:pPr>
        <w:jc w:val="both"/>
        <w:rPr>
          <w:rFonts w:ascii="Calibri" w:hAnsi="Calibri" w:cs="Calibri"/>
          <w:sz w:val="22"/>
          <w:szCs w:val="22"/>
          <w:lang w:val="en-US"/>
        </w:rPr>
      </w:pPr>
    </w:p>
    <w:p w14:paraId="2558BFDE" w14:textId="2D24EDBB" w:rsidR="009F1EC2" w:rsidRPr="00CF15A7" w:rsidRDefault="009F1EC2" w:rsidP="00B27941">
      <w:pPr>
        <w:jc w:val="both"/>
        <w:rPr>
          <w:rFonts w:ascii="Calibri" w:hAnsi="Calibri" w:cs="Calibri"/>
          <w:sz w:val="22"/>
          <w:szCs w:val="22"/>
          <w:lang w:val="en-US"/>
        </w:rPr>
      </w:pPr>
      <w:r w:rsidRPr="00CF15A7">
        <w:rPr>
          <w:rFonts w:ascii="Calibri" w:hAnsi="Calibri" w:cs="Calibri"/>
          <w:sz w:val="22"/>
          <w:szCs w:val="22"/>
          <w:lang w:val="en-US"/>
        </w:rPr>
        <w:t xml:space="preserve">The DSA has created the status of trusted flagger (Art. 22) which is granted, upon request by any entity, by the Digital Services Coordinator of the Member State in which the applicant is established, to the applicant entity that has demonstrated that it meets </w:t>
      </w:r>
      <w:proofErr w:type="gramStart"/>
      <w:r w:rsidRPr="00CF15A7">
        <w:rPr>
          <w:rFonts w:ascii="Calibri" w:hAnsi="Calibri" w:cs="Calibri"/>
          <w:sz w:val="22"/>
          <w:szCs w:val="22"/>
          <w:lang w:val="en-US"/>
        </w:rPr>
        <w:t>all of</w:t>
      </w:r>
      <w:proofErr w:type="gramEnd"/>
      <w:r w:rsidRPr="00CF15A7">
        <w:rPr>
          <w:rFonts w:ascii="Calibri" w:hAnsi="Calibri" w:cs="Calibri"/>
          <w:sz w:val="22"/>
          <w:szCs w:val="22"/>
          <w:lang w:val="en-US"/>
        </w:rPr>
        <w:t xml:space="preserve"> the following conditions:</w:t>
      </w:r>
    </w:p>
    <w:p w14:paraId="58C56709" w14:textId="02405FC2" w:rsidR="009F1EC2" w:rsidRPr="00CF15A7" w:rsidRDefault="009F1EC2" w:rsidP="00B27941">
      <w:pPr>
        <w:jc w:val="both"/>
        <w:rPr>
          <w:rFonts w:ascii="Calibri" w:hAnsi="Calibri" w:cs="Calibri"/>
          <w:sz w:val="22"/>
          <w:szCs w:val="22"/>
          <w:lang w:val="en-US"/>
        </w:rPr>
      </w:pPr>
      <w:r w:rsidRPr="00CF15A7">
        <w:rPr>
          <w:rFonts w:ascii="Calibri" w:hAnsi="Calibri" w:cs="Calibri"/>
          <w:sz w:val="22"/>
          <w:szCs w:val="22"/>
          <w:lang w:val="en-US"/>
        </w:rPr>
        <w:t xml:space="preserve">• a) it has </w:t>
      </w:r>
      <w:proofErr w:type="gramStart"/>
      <w:r w:rsidRPr="00CF15A7">
        <w:rPr>
          <w:rFonts w:ascii="Calibri" w:hAnsi="Calibri" w:cs="Calibri"/>
          <w:sz w:val="22"/>
          <w:szCs w:val="22"/>
          <w:lang w:val="en-US"/>
        </w:rPr>
        <w:t>particular expertise</w:t>
      </w:r>
      <w:proofErr w:type="gramEnd"/>
      <w:r w:rsidRPr="00CF15A7">
        <w:rPr>
          <w:rFonts w:ascii="Calibri" w:hAnsi="Calibri" w:cs="Calibri"/>
          <w:sz w:val="22"/>
          <w:szCs w:val="22"/>
          <w:lang w:val="en-US"/>
        </w:rPr>
        <w:t xml:space="preserve"> and skills for the purpose of detecting, identifying and reporting illegal </w:t>
      </w:r>
      <w:proofErr w:type="gramStart"/>
      <w:r w:rsidRPr="00CF15A7">
        <w:rPr>
          <w:rFonts w:ascii="Calibri" w:hAnsi="Calibri" w:cs="Calibri"/>
          <w:sz w:val="22"/>
          <w:szCs w:val="22"/>
          <w:lang w:val="en-US"/>
        </w:rPr>
        <w:t>content;</w:t>
      </w:r>
      <w:proofErr w:type="gramEnd"/>
    </w:p>
    <w:p w14:paraId="280EB7BC" w14:textId="77777777" w:rsidR="009F1EC2" w:rsidRPr="00CF15A7" w:rsidRDefault="009F1EC2" w:rsidP="00B27941">
      <w:pPr>
        <w:jc w:val="both"/>
        <w:rPr>
          <w:rFonts w:ascii="Calibri" w:hAnsi="Calibri" w:cs="Calibri"/>
          <w:sz w:val="22"/>
          <w:szCs w:val="22"/>
          <w:lang w:val="en-US"/>
        </w:rPr>
      </w:pPr>
      <w:r w:rsidRPr="00CF15A7">
        <w:rPr>
          <w:rFonts w:ascii="Calibri" w:hAnsi="Calibri" w:cs="Calibri"/>
          <w:sz w:val="22"/>
          <w:szCs w:val="22"/>
          <w:lang w:val="en-US"/>
        </w:rPr>
        <w:t xml:space="preserve">• b) it is independent of any provider of online </w:t>
      </w:r>
      <w:proofErr w:type="gramStart"/>
      <w:r w:rsidRPr="00CF15A7">
        <w:rPr>
          <w:rFonts w:ascii="Calibri" w:hAnsi="Calibri" w:cs="Calibri"/>
          <w:sz w:val="22"/>
          <w:szCs w:val="22"/>
          <w:lang w:val="en-US"/>
        </w:rPr>
        <w:t>platforms;</w:t>
      </w:r>
      <w:proofErr w:type="gramEnd"/>
    </w:p>
    <w:p w14:paraId="57AB7D9D" w14:textId="605219D7" w:rsidR="009F1EC2" w:rsidRPr="00CF15A7" w:rsidRDefault="009F1EC2" w:rsidP="00B27941">
      <w:pPr>
        <w:jc w:val="both"/>
        <w:rPr>
          <w:rFonts w:ascii="Calibri" w:hAnsi="Calibri" w:cs="Calibri"/>
          <w:sz w:val="22"/>
          <w:szCs w:val="22"/>
          <w:lang w:val="en-US"/>
        </w:rPr>
      </w:pPr>
      <w:r w:rsidRPr="00CF15A7">
        <w:rPr>
          <w:rFonts w:ascii="Calibri" w:hAnsi="Calibri" w:cs="Calibri"/>
          <w:sz w:val="22"/>
          <w:szCs w:val="22"/>
          <w:lang w:val="en-US"/>
        </w:rPr>
        <w:t>• (c) it shall carry out its activities for the purpose of submitting notifications in a diligent, accurate and objective manner.</w:t>
      </w:r>
    </w:p>
    <w:p w14:paraId="66F4B6B1" w14:textId="77777777" w:rsidR="006E09AA" w:rsidRPr="00CF15A7" w:rsidRDefault="006E09AA" w:rsidP="00B27941">
      <w:pPr>
        <w:jc w:val="both"/>
        <w:rPr>
          <w:rFonts w:ascii="Calibri" w:hAnsi="Calibri" w:cs="Calibri"/>
          <w:sz w:val="22"/>
          <w:szCs w:val="22"/>
          <w:lang w:val="en-US"/>
        </w:rPr>
      </w:pPr>
    </w:p>
    <w:p w14:paraId="36D4BC28" w14:textId="3B23C977" w:rsidR="003842C3" w:rsidRPr="00CF15A7" w:rsidRDefault="009F1EC2" w:rsidP="00B27941">
      <w:pPr>
        <w:jc w:val="both"/>
        <w:rPr>
          <w:rFonts w:ascii="Calibri" w:hAnsi="Calibri" w:cs="Calibri"/>
          <w:sz w:val="22"/>
          <w:szCs w:val="22"/>
          <w:lang w:val="en-US"/>
        </w:rPr>
      </w:pPr>
      <w:r w:rsidRPr="00CF15A7">
        <w:rPr>
          <w:rFonts w:ascii="Calibri" w:hAnsi="Calibri" w:cs="Calibri"/>
          <w:sz w:val="22"/>
          <w:szCs w:val="22"/>
          <w:lang w:val="en-US"/>
        </w:rPr>
        <w:t>Notifications sent by trusted flaggers must be treated as a matter of priority and give rise to decisions as soon as possible (Art. 22-1 DSA, Art. 6-4-2 LCEN).</w:t>
      </w:r>
    </w:p>
    <w:p w14:paraId="1BF5B32F" w14:textId="77777777" w:rsidR="006E09AA" w:rsidRPr="00CF15A7" w:rsidRDefault="006E09AA" w:rsidP="00B27941">
      <w:pPr>
        <w:jc w:val="both"/>
        <w:rPr>
          <w:rFonts w:ascii="Calibri" w:hAnsi="Calibri" w:cs="Calibri"/>
          <w:sz w:val="22"/>
          <w:szCs w:val="22"/>
          <w:lang w:val="en-US"/>
        </w:rPr>
      </w:pPr>
    </w:p>
    <w:p w14:paraId="0AB68377" w14:textId="551183AF" w:rsidR="003842C3" w:rsidRPr="00CF15A7" w:rsidRDefault="003842C3" w:rsidP="00B27941">
      <w:pPr>
        <w:jc w:val="both"/>
        <w:rPr>
          <w:rFonts w:ascii="Calibri" w:hAnsi="Calibri" w:cs="Calibri"/>
          <w:sz w:val="22"/>
          <w:szCs w:val="22"/>
          <w:lang w:val="en-US"/>
        </w:rPr>
      </w:pPr>
      <w:r w:rsidRPr="00CF15A7">
        <w:rPr>
          <w:rFonts w:ascii="Calibri" w:hAnsi="Calibri" w:cs="Calibri"/>
          <w:sz w:val="22"/>
          <w:szCs w:val="22"/>
          <w:lang w:val="en-US"/>
        </w:rPr>
        <w:t xml:space="preserve">In France, they are appointed by </w:t>
      </w:r>
      <w:proofErr w:type="spellStart"/>
      <w:r w:rsidRPr="00CF15A7">
        <w:rPr>
          <w:rFonts w:ascii="Calibri" w:hAnsi="Calibri" w:cs="Calibri"/>
          <w:sz w:val="22"/>
          <w:szCs w:val="22"/>
          <w:lang w:val="en-US"/>
        </w:rPr>
        <w:t>Arcom</w:t>
      </w:r>
      <w:proofErr w:type="spellEnd"/>
      <w:r w:rsidRPr="00CF15A7">
        <w:rPr>
          <w:rFonts w:ascii="Calibri" w:hAnsi="Calibri" w:cs="Calibri"/>
          <w:sz w:val="22"/>
          <w:szCs w:val="22"/>
          <w:lang w:val="en-US"/>
        </w:rPr>
        <w:t xml:space="preserve">. As of May 13, 2025, the following entities were listed: </w:t>
      </w:r>
    </w:p>
    <w:p w14:paraId="0A00FC5C" w14:textId="77777777" w:rsidR="003842C3" w:rsidRPr="00CF15A7" w:rsidRDefault="003842C3" w:rsidP="00B27941">
      <w:pPr>
        <w:jc w:val="both"/>
        <w:rPr>
          <w:rFonts w:ascii="Calibri" w:hAnsi="Calibri" w:cs="Calibri"/>
          <w:sz w:val="22"/>
          <w:szCs w:val="22"/>
          <w:lang w:val="en-US"/>
        </w:rPr>
      </w:pPr>
    </w:p>
    <w:p w14:paraId="62DE01B4" w14:textId="3104B692" w:rsidR="003842C3" w:rsidRPr="00CF15A7" w:rsidRDefault="003842C3" w:rsidP="00B27941">
      <w:pPr>
        <w:pStyle w:val="Paragraphedeliste"/>
        <w:numPr>
          <w:ilvl w:val="0"/>
          <w:numId w:val="12"/>
        </w:numPr>
        <w:jc w:val="both"/>
        <w:rPr>
          <w:rFonts w:ascii="Calibri" w:hAnsi="Calibri" w:cs="Calibri"/>
          <w:sz w:val="22"/>
          <w:szCs w:val="22"/>
          <w:lang w:val="en-US"/>
        </w:rPr>
      </w:pPr>
      <w:r w:rsidRPr="00CF15A7">
        <w:rPr>
          <w:rFonts w:ascii="Calibri" w:hAnsi="Calibri" w:cs="Calibri"/>
          <w:sz w:val="22"/>
          <w:szCs w:val="22"/>
          <w:lang w:val="en-US"/>
        </w:rPr>
        <w:t>e-</w:t>
      </w:r>
      <w:proofErr w:type="spellStart"/>
      <w:r w:rsidRPr="00CF15A7">
        <w:rPr>
          <w:rFonts w:ascii="Calibri" w:hAnsi="Calibri" w:cs="Calibri"/>
          <w:sz w:val="22"/>
          <w:szCs w:val="22"/>
          <w:lang w:val="en-US"/>
        </w:rPr>
        <w:t>Enfance</w:t>
      </w:r>
      <w:proofErr w:type="spellEnd"/>
      <w:r w:rsidRPr="00CF15A7">
        <w:rPr>
          <w:rFonts w:ascii="Calibri" w:hAnsi="Calibri" w:cs="Calibri"/>
          <w:sz w:val="22"/>
          <w:szCs w:val="22"/>
          <w:lang w:val="en-US"/>
        </w:rPr>
        <w:t xml:space="preserve"> (protection of minors)</w:t>
      </w:r>
    </w:p>
    <w:p w14:paraId="79F43DA3" w14:textId="4CF1FE0F" w:rsidR="003842C3" w:rsidRPr="00CF15A7" w:rsidRDefault="003842C3" w:rsidP="00B27941">
      <w:pPr>
        <w:pStyle w:val="Paragraphedeliste"/>
        <w:numPr>
          <w:ilvl w:val="0"/>
          <w:numId w:val="12"/>
        </w:numPr>
        <w:jc w:val="both"/>
        <w:rPr>
          <w:rFonts w:ascii="Calibri" w:hAnsi="Calibri" w:cs="Calibri"/>
          <w:sz w:val="22"/>
          <w:szCs w:val="22"/>
          <w:lang w:val="en-US"/>
        </w:rPr>
      </w:pPr>
      <w:r w:rsidRPr="00CF15A7">
        <w:rPr>
          <w:rFonts w:ascii="Calibri" w:hAnsi="Calibri" w:cs="Calibri"/>
          <w:sz w:val="22"/>
          <w:szCs w:val="22"/>
          <w:lang w:val="en-US"/>
        </w:rPr>
        <w:lastRenderedPageBreak/>
        <w:t>ALPA (prevention and fight against audiovisual piracy)</w:t>
      </w:r>
    </w:p>
    <w:p w14:paraId="29EDA1F5" w14:textId="694D4D43" w:rsidR="003842C3" w:rsidRPr="00CF15A7" w:rsidRDefault="003842C3" w:rsidP="00B27941">
      <w:pPr>
        <w:pStyle w:val="Paragraphedeliste"/>
        <w:numPr>
          <w:ilvl w:val="0"/>
          <w:numId w:val="11"/>
        </w:numPr>
        <w:jc w:val="both"/>
        <w:rPr>
          <w:rFonts w:ascii="Calibri" w:hAnsi="Calibri" w:cs="Calibri"/>
          <w:sz w:val="22"/>
          <w:szCs w:val="22"/>
          <w:lang w:val="en-US"/>
        </w:rPr>
      </w:pPr>
      <w:r w:rsidRPr="00CF15A7">
        <w:rPr>
          <w:rFonts w:ascii="Calibri" w:hAnsi="Calibri" w:cs="Calibri"/>
          <w:sz w:val="22"/>
          <w:szCs w:val="22"/>
          <w:lang w:val="en-US"/>
        </w:rPr>
        <w:t>IFAW (Wildlife Conservation and Combating Wildlife Cybercrime)</w:t>
      </w:r>
    </w:p>
    <w:p w14:paraId="1C6B04B4" w14:textId="19157C3B" w:rsidR="003842C3" w:rsidRPr="00CF15A7" w:rsidRDefault="003842C3" w:rsidP="00B27941">
      <w:pPr>
        <w:pStyle w:val="Paragraphedeliste"/>
        <w:numPr>
          <w:ilvl w:val="0"/>
          <w:numId w:val="11"/>
        </w:numPr>
        <w:jc w:val="both"/>
        <w:rPr>
          <w:rFonts w:ascii="Calibri" w:hAnsi="Calibri" w:cs="Calibri"/>
          <w:sz w:val="22"/>
          <w:szCs w:val="22"/>
          <w:lang w:val="en-US"/>
        </w:rPr>
      </w:pPr>
      <w:r w:rsidRPr="00CF15A7">
        <w:rPr>
          <w:rFonts w:ascii="Calibri" w:hAnsi="Calibri" w:cs="Calibri"/>
          <w:sz w:val="22"/>
          <w:szCs w:val="22"/>
          <w:lang w:val="en-US"/>
        </w:rPr>
        <w:t>INDECOSA-CGT (information and protection of salaried consumers)</w:t>
      </w:r>
    </w:p>
    <w:p w14:paraId="50A038EB" w14:textId="7AA96853" w:rsidR="003842C3" w:rsidRPr="00CF15A7" w:rsidRDefault="003842C3" w:rsidP="00B27941">
      <w:pPr>
        <w:pStyle w:val="Paragraphedeliste"/>
        <w:numPr>
          <w:ilvl w:val="0"/>
          <w:numId w:val="11"/>
        </w:numPr>
        <w:jc w:val="both"/>
        <w:rPr>
          <w:rFonts w:ascii="Calibri" w:hAnsi="Calibri" w:cs="Calibri"/>
          <w:sz w:val="22"/>
          <w:szCs w:val="22"/>
          <w:lang w:val="en-US"/>
        </w:rPr>
      </w:pPr>
      <w:r w:rsidRPr="00CF15A7">
        <w:rPr>
          <w:rFonts w:ascii="Calibri" w:hAnsi="Calibri" w:cs="Calibri"/>
          <w:sz w:val="22"/>
          <w:szCs w:val="22"/>
          <w:lang w:val="en-US"/>
        </w:rPr>
        <w:t>Contact point (combating cyberviolence and protecting victims in the digital space)</w:t>
      </w:r>
    </w:p>
    <w:p w14:paraId="2DB46CCF" w14:textId="1D6009D1" w:rsidR="003842C3" w:rsidRPr="00CF15A7" w:rsidRDefault="003842C3" w:rsidP="00B27941">
      <w:pPr>
        <w:pStyle w:val="Paragraphedeliste"/>
        <w:numPr>
          <w:ilvl w:val="0"/>
          <w:numId w:val="11"/>
        </w:numPr>
        <w:jc w:val="both"/>
        <w:rPr>
          <w:rFonts w:ascii="Calibri" w:hAnsi="Calibri" w:cs="Calibri"/>
          <w:sz w:val="22"/>
          <w:szCs w:val="22"/>
          <w:lang w:val="en-US"/>
        </w:rPr>
      </w:pPr>
      <w:r w:rsidRPr="00CF15A7">
        <w:rPr>
          <w:rFonts w:ascii="Calibri" w:hAnsi="Calibri" w:cs="Calibri"/>
          <w:sz w:val="22"/>
          <w:szCs w:val="22"/>
          <w:lang w:val="en-US"/>
        </w:rPr>
        <w:t>Addictions France (prevention, training, care and risk reduction of addictions and their consequences)</w:t>
      </w:r>
    </w:p>
    <w:p w14:paraId="3FAC8186" w14:textId="24EF393C" w:rsidR="003842C3" w:rsidRPr="00CF15A7" w:rsidRDefault="003842C3" w:rsidP="00B27941">
      <w:pPr>
        <w:pStyle w:val="Paragraphedeliste"/>
        <w:numPr>
          <w:ilvl w:val="0"/>
          <w:numId w:val="11"/>
        </w:numPr>
        <w:jc w:val="both"/>
        <w:rPr>
          <w:rFonts w:ascii="Calibri" w:hAnsi="Calibri" w:cs="Calibri"/>
          <w:sz w:val="22"/>
          <w:szCs w:val="22"/>
          <w:lang w:val="en-US"/>
        </w:rPr>
      </w:pPr>
      <w:proofErr w:type="spellStart"/>
      <w:r w:rsidRPr="00CF15A7">
        <w:rPr>
          <w:rFonts w:ascii="Calibri" w:hAnsi="Calibri" w:cs="Calibri"/>
          <w:sz w:val="22"/>
          <w:szCs w:val="22"/>
          <w:lang w:val="en-US"/>
        </w:rPr>
        <w:t>Crif</w:t>
      </w:r>
      <w:proofErr w:type="spellEnd"/>
      <w:r w:rsidRPr="00CF15A7">
        <w:rPr>
          <w:rFonts w:ascii="Calibri" w:hAnsi="Calibri" w:cs="Calibri"/>
          <w:sz w:val="22"/>
          <w:szCs w:val="22"/>
          <w:lang w:val="en-US"/>
        </w:rPr>
        <w:t xml:space="preserve"> (fight against anti-Semitism and racism)</w:t>
      </w:r>
    </w:p>
    <w:p w14:paraId="1A768EBD" w14:textId="77777777" w:rsidR="009F1EC2" w:rsidRPr="00CF15A7" w:rsidRDefault="009F1EC2" w:rsidP="00B27941">
      <w:pPr>
        <w:jc w:val="both"/>
        <w:rPr>
          <w:rFonts w:ascii="Calibri" w:hAnsi="Calibri" w:cs="Calibri"/>
          <w:sz w:val="22"/>
          <w:szCs w:val="22"/>
          <w:lang w:val="en-US"/>
        </w:rPr>
      </w:pPr>
    </w:p>
    <w:p w14:paraId="12DDB71A" w14:textId="77777777" w:rsidR="009F1EC2" w:rsidRPr="00CF15A7" w:rsidRDefault="009F1EC2" w:rsidP="00B27941">
      <w:pPr>
        <w:jc w:val="both"/>
        <w:rPr>
          <w:rFonts w:ascii="Calibri" w:hAnsi="Calibri" w:cs="Calibri"/>
          <w:sz w:val="22"/>
          <w:szCs w:val="22"/>
          <w:lang w:val="en-US"/>
        </w:rPr>
      </w:pPr>
    </w:p>
    <w:p w14:paraId="6E77E964" w14:textId="77777777" w:rsidR="00DC423B" w:rsidRPr="00CF15A7" w:rsidRDefault="00DC423B" w:rsidP="00B27941">
      <w:pPr>
        <w:jc w:val="both"/>
        <w:rPr>
          <w:rFonts w:ascii="Calibri" w:hAnsi="Calibri" w:cs="Calibri"/>
          <w:sz w:val="22"/>
          <w:szCs w:val="22"/>
          <w:lang w:val="en-US"/>
        </w:rPr>
      </w:pPr>
      <w:r w:rsidRPr="00CF15A7">
        <w:rPr>
          <w:rFonts w:ascii="Calibri" w:hAnsi="Calibri" w:cs="Calibri"/>
          <w:sz w:val="22"/>
          <w:szCs w:val="22"/>
          <w:lang w:val="en-US"/>
        </w:rPr>
        <w:t>Following the report that identifies the illegal nature of the content, the host may take one of the following restrictions (art. 17-1 DSA), including withdrawal, imposed on the grounds that the information provided by the recipient of the service constitutes illegal content or is incompatible with their general terms and conditions:</w:t>
      </w:r>
    </w:p>
    <w:p w14:paraId="09419206" w14:textId="1DED5AE6" w:rsidR="00DC423B" w:rsidRPr="00CF15A7" w:rsidRDefault="00DC423B" w:rsidP="006E09AA">
      <w:pPr>
        <w:ind w:left="708"/>
        <w:jc w:val="both"/>
        <w:rPr>
          <w:rFonts w:ascii="Calibri" w:hAnsi="Calibri" w:cs="Calibri"/>
          <w:sz w:val="22"/>
          <w:szCs w:val="22"/>
          <w:lang w:val="en-US"/>
        </w:rPr>
      </w:pPr>
      <w:r w:rsidRPr="00CF15A7">
        <w:rPr>
          <w:rFonts w:ascii="Calibri" w:hAnsi="Calibri" w:cs="Calibri"/>
          <w:sz w:val="22"/>
          <w:szCs w:val="22"/>
          <w:lang w:val="en-US"/>
        </w:rPr>
        <w:t xml:space="preserve">(a) any restriction on the visibility of specific pieces of information provided by the recipient of the service, including the removal of content, the denying of access to content or the downgrading of </w:t>
      </w:r>
      <w:proofErr w:type="gramStart"/>
      <w:r w:rsidRPr="00CF15A7">
        <w:rPr>
          <w:rFonts w:ascii="Calibri" w:hAnsi="Calibri" w:cs="Calibri"/>
          <w:sz w:val="22"/>
          <w:szCs w:val="22"/>
          <w:lang w:val="en-US"/>
        </w:rPr>
        <w:t>content;</w:t>
      </w:r>
      <w:proofErr w:type="gramEnd"/>
    </w:p>
    <w:p w14:paraId="338BB663" w14:textId="60D29A5D" w:rsidR="00DC423B" w:rsidRPr="00CF15A7" w:rsidRDefault="00DC423B" w:rsidP="006E09AA">
      <w:pPr>
        <w:ind w:left="708"/>
        <w:jc w:val="both"/>
        <w:rPr>
          <w:rFonts w:ascii="Calibri" w:hAnsi="Calibri" w:cs="Calibri"/>
          <w:sz w:val="22"/>
          <w:szCs w:val="22"/>
          <w:lang w:val="en-US"/>
        </w:rPr>
      </w:pPr>
      <w:r w:rsidRPr="00CF15A7">
        <w:rPr>
          <w:rFonts w:ascii="Calibri" w:hAnsi="Calibri" w:cs="Calibri"/>
          <w:sz w:val="22"/>
          <w:szCs w:val="22"/>
          <w:lang w:val="en-US"/>
        </w:rPr>
        <w:t xml:space="preserve">(b) the suspension, termination or other </w:t>
      </w:r>
      <w:proofErr w:type="gramStart"/>
      <w:r w:rsidRPr="00CF15A7">
        <w:rPr>
          <w:rFonts w:ascii="Calibri" w:hAnsi="Calibri" w:cs="Calibri"/>
          <w:sz w:val="22"/>
          <w:szCs w:val="22"/>
          <w:lang w:val="en-US"/>
        </w:rPr>
        <w:t>restriction</w:t>
      </w:r>
      <w:proofErr w:type="gramEnd"/>
      <w:r w:rsidRPr="00CF15A7">
        <w:rPr>
          <w:rFonts w:ascii="Calibri" w:hAnsi="Calibri" w:cs="Calibri"/>
          <w:sz w:val="22"/>
          <w:szCs w:val="22"/>
          <w:lang w:val="en-US"/>
        </w:rPr>
        <w:t xml:space="preserve"> of monetary </w:t>
      </w:r>
      <w:proofErr w:type="gramStart"/>
      <w:r w:rsidRPr="00CF15A7">
        <w:rPr>
          <w:rFonts w:ascii="Calibri" w:hAnsi="Calibri" w:cs="Calibri"/>
          <w:sz w:val="22"/>
          <w:szCs w:val="22"/>
          <w:lang w:val="en-US"/>
        </w:rPr>
        <w:t>payments;</w:t>
      </w:r>
      <w:proofErr w:type="gramEnd"/>
    </w:p>
    <w:p w14:paraId="11E0D560" w14:textId="5757DD0D" w:rsidR="00DC423B" w:rsidRPr="00CF15A7" w:rsidRDefault="00DC423B" w:rsidP="006E09AA">
      <w:pPr>
        <w:ind w:left="708"/>
        <w:jc w:val="both"/>
        <w:rPr>
          <w:rFonts w:ascii="Calibri" w:hAnsi="Calibri" w:cs="Calibri"/>
          <w:sz w:val="22"/>
          <w:szCs w:val="22"/>
          <w:lang w:val="en-US"/>
        </w:rPr>
      </w:pPr>
      <w:r w:rsidRPr="00CF15A7">
        <w:rPr>
          <w:rFonts w:ascii="Calibri" w:hAnsi="Calibri" w:cs="Calibri"/>
          <w:sz w:val="22"/>
          <w:szCs w:val="22"/>
          <w:lang w:val="en-US"/>
        </w:rPr>
        <w:t xml:space="preserve">(c) the suspension or termination, in whole or in part, of the provision of the </w:t>
      </w:r>
      <w:proofErr w:type="gramStart"/>
      <w:r w:rsidRPr="00CF15A7">
        <w:rPr>
          <w:rFonts w:ascii="Calibri" w:hAnsi="Calibri" w:cs="Calibri"/>
          <w:sz w:val="22"/>
          <w:szCs w:val="22"/>
          <w:lang w:val="en-US"/>
        </w:rPr>
        <w:t>service;</w:t>
      </w:r>
      <w:proofErr w:type="gramEnd"/>
    </w:p>
    <w:p w14:paraId="79667C71" w14:textId="788DF45C" w:rsidR="00DC423B" w:rsidRPr="00CF15A7" w:rsidRDefault="00DC423B" w:rsidP="006E09AA">
      <w:pPr>
        <w:ind w:left="708"/>
        <w:jc w:val="both"/>
        <w:rPr>
          <w:rFonts w:ascii="Calibri" w:hAnsi="Calibri" w:cs="Calibri"/>
          <w:sz w:val="22"/>
          <w:szCs w:val="22"/>
          <w:lang w:val="en-US"/>
        </w:rPr>
      </w:pPr>
      <w:r w:rsidRPr="00CF15A7">
        <w:rPr>
          <w:rFonts w:ascii="Calibri" w:hAnsi="Calibri" w:cs="Calibri"/>
          <w:sz w:val="22"/>
          <w:szCs w:val="22"/>
          <w:lang w:val="en-US"/>
        </w:rPr>
        <w:t>d) the suspension or deletion of the account of the recipient of the service.</w:t>
      </w:r>
    </w:p>
    <w:p w14:paraId="6B8B44AF" w14:textId="77777777" w:rsidR="006E09AA" w:rsidRPr="00CF15A7" w:rsidRDefault="006E09AA" w:rsidP="00B27941">
      <w:pPr>
        <w:jc w:val="both"/>
        <w:rPr>
          <w:rFonts w:ascii="Calibri" w:hAnsi="Calibri" w:cs="Calibri"/>
          <w:sz w:val="22"/>
          <w:szCs w:val="22"/>
          <w:lang w:val="en-US"/>
        </w:rPr>
      </w:pPr>
    </w:p>
    <w:p w14:paraId="39DF2E39" w14:textId="78E45B30" w:rsidR="00DC423B" w:rsidRPr="00CF15A7" w:rsidRDefault="00DC423B" w:rsidP="00B27941">
      <w:pPr>
        <w:jc w:val="both"/>
        <w:rPr>
          <w:rFonts w:ascii="Calibri" w:hAnsi="Calibri" w:cs="Calibri"/>
          <w:sz w:val="22"/>
          <w:szCs w:val="22"/>
          <w:lang w:val="en-US"/>
        </w:rPr>
      </w:pPr>
      <w:r w:rsidRPr="00CF15A7">
        <w:rPr>
          <w:rFonts w:ascii="Calibri" w:hAnsi="Calibri" w:cs="Calibri"/>
          <w:sz w:val="22"/>
          <w:szCs w:val="22"/>
          <w:lang w:val="en-US"/>
        </w:rPr>
        <w:t>As long as it is based on the legal obligation to remove or suspend, the hosting provider's decision cannot be challenged on the basis of unfair terms: "a contractual clause allowing it to promptly suspend the use of its referencing services for legal reasons, then applying it when it is informed of the misleading nature of a site to which it gives access,  a hosting provider does not create a significant imbalance within the meaning of Article L. 442-6, I, 2°, now Article L. 442-1, 2° of the Commercial Code".</w:t>
      </w:r>
      <w:r w:rsidRPr="00032A99">
        <w:rPr>
          <w:rStyle w:val="Appelnotedebasdep"/>
          <w:rFonts w:ascii="Calibri" w:hAnsi="Calibri" w:cs="Calibri"/>
          <w:sz w:val="22"/>
          <w:szCs w:val="22"/>
        </w:rPr>
        <w:footnoteReference w:id="11"/>
      </w:r>
    </w:p>
    <w:p w14:paraId="237ABADB" w14:textId="77777777" w:rsidR="00DC423B" w:rsidRPr="00CF15A7" w:rsidRDefault="00DC423B" w:rsidP="00B27941">
      <w:pPr>
        <w:jc w:val="both"/>
        <w:rPr>
          <w:rFonts w:ascii="Calibri" w:hAnsi="Calibri" w:cs="Calibri"/>
          <w:sz w:val="22"/>
          <w:szCs w:val="22"/>
          <w:lang w:val="en-US"/>
        </w:rPr>
      </w:pPr>
    </w:p>
    <w:p w14:paraId="64D40CDD" w14:textId="4649356D" w:rsidR="009F1EC2" w:rsidRPr="00CF15A7" w:rsidRDefault="009F1EC2" w:rsidP="00B27941">
      <w:pPr>
        <w:jc w:val="both"/>
        <w:rPr>
          <w:rFonts w:ascii="Calibri" w:hAnsi="Calibri" w:cs="Calibri"/>
          <w:sz w:val="22"/>
          <w:szCs w:val="22"/>
          <w:lang w:val="en-US"/>
        </w:rPr>
      </w:pPr>
      <w:r w:rsidRPr="00CF15A7">
        <w:rPr>
          <w:rFonts w:ascii="Calibri" w:hAnsi="Calibri" w:cs="Calibri"/>
          <w:sz w:val="22"/>
          <w:szCs w:val="22"/>
          <w:lang w:val="en-US"/>
        </w:rPr>
        <w:t xml:space="preserve">Otherwise, the platforms will turn into censors, the illegality must be apparent or manifestly established for the disputed content to be removed without the intervention of the judge. This point was raised when the LCEN was adopted. The Constitutional Council had considered that "2 and 3 of I of Article 6 of the contested law have the sole scope of excluding the civil and criminal liability of hosting providers in the two hypotheses they envisage; that these provisions cannot have the effect of engaging the liability of a host who has not removed information denounced as illegal by a third party if it is not manifestly of such a nature or if its removal has not been ordered by a judge". The Constitutional Council thus validated the notification procedure put in place by the legislator but confirmed that knowledge can only be acquired by the host in two alternative cases: either when a judge has ruled on the illegality of the content or, without any judicial intervention, if the content is </w:t>
      </w:r>
      <w:proofErr w:type="gramStart"/>
      <w:r w:rsidRPr="00CF15A7">
        <w:rPr>
          <w:rFonts w:ascii="Calibri" w:hAnsi="Calibri" w:cs="Calibri"/>
          <w:sz w:val="22"/>
          <w:szCs w:val="22"/>
          <w:lang w:val="en-US"/>
        </w:rPr>
        <w:t>in itself manifestly</w:t>
      </w:r>
      <w:proofErr w:type="gramEnd"/>
      <w:r w:rsidRPr="00CF15A7">
        <w:rPr>
          <w:rFonts w:ascii="Calibri" w:hAnsi="Calibri" w:cs="Calibri"/>
          <w:sz w:val="22"/>
          <w:szCs w:val="22"/>
          <w:lang w:val="en-US"/>
        </w:rPr>
        <w:t xml:space="preserve"> illegal. Consequently, according to the Constitutional Council, the notification procedure will only oblige the host to remove the content without the intervention of the judge when it is illegal.</w:t>
      </w:r>
    </w:p>
    <w:p w14:paraId="1022E8F4" w14:textId="77777777" w:rsidR="009F1EC2" w:rsidRPr="00CF15A7" w:rsidRDefault="009F1EC2" w:rsidP="00B27941">
      <w:pPr>
        <w:jc w:val="both"/>
        <w:rPr>
          <w:rFonts w:ascii="Calibri" w:hAnsi="Calibri" w:cs="Calibri"/>
          <w:sz w:val="22"/>
          <w:szCs w:val="22"/>
          <w:lang w:val="en-US"/>
        </w:rPr>
      </w:pPr>
    </w:p>
    <w:p w14:paraId="21593894" w14:textId="2A958CD9" w:rsidR="007761EE" w:rsidRPr="00032A99" w:rsidRDefault="009F1EC2" w:rsidP="00B27941">
      <w:pPr>
        <w:pStyle w:val="Paragraphedeliste"/>
        <w:numPr>
          <w:ilvl w:val="0"/>
          <w:numId w:val="15"/>
        </w:numPr>
        <w:jc w:val="both"/>
        <w:rPr>
          <w:rFonts w:ascii="Calibri" w:hAnsi="Calibri" w:cs="Calibri"/>
          <w:sz w:val="22"/>
          <w:szCs w:val="22"/>
        </w:rPr>
      </w:pPr>
      <w:proofErr w:type="spellStart"/>
      <w:r w:rsidRPr="00032A99">
        <w:rPr>
          <w:rFonts w:ascii="Calibri" w:hAnsi="Calibri" w:cs="Calibri"/>
          <w:sz w:val="22"/>
          <w:szCs w:val="22"/>
        </w:rPr>
        <w:t>Illegal</w:t>
      </w:r>
      <w:proofErr w:type="spellEnd"/>
      <w:r w:rsidRPr="00032A99">
        <w:rPr>
          <w:rFonts w:ascii="Calibri" w:hAnsi="Calibri" w:cs="Calibri"/>
          <w:sz w:val="22"/>
          <w:szCs w:val="22"/>
        </w:rPr>
        <w:t xml:space="preserve"> content</w:t>
      </w:r>
    </w:p>
    <w:p w14:paraId="08675FCA" w14:textId="77777777" w:rsidR="007761EE" w:rsidRPr="00032A99" w:rsidRDefault="007761EE" w:rsidP="00B27941">
      <w:pPr>
        <w:pStyle w:val="Paragraphedeliste"/>
        <w:jc w:val="both"/>
        <w:rPr>
          <w:rFonts w:ascii="Calibri" w:hAnsi="Calibri" w:cs="Calibri"/>
          <w:sz w:val="22"/>
          <w:szCs w:val="22"/>
        </w:rPr>
      </w:pPr>
    </w:p>
    <w:p w14:paraId="552194D8" w14:textId="33255968" w:rsidR="008F2F62" w:rsidRPr="00CF15A7" w:rsidRDefault="008F2F62" w:rsidP="00B27941">
      <w:pPr>
        <w:jc w:val="both"/>
        <w:rPr>
          <w:rFonts w:ascii="Calibri" w:hAnsi="Calibri" w:cs="Calibri"/>
          <w:sz w:val="22"/>
          <w:szCs w:val="22"/>
          <w:lang w:val="en-US"/>
        </w:rPr>
      </w:pPr>
      <w:r w:rsidRPr="00CF15A7">
        <w:rPr>
          <w:rFonts w:ascii="Calibri" w:hAnsi="Calibri" w:cs="Calibri"/>
          <w:sz w:val="22"/>
          <w:szCs w:val="22"/>
          <w:lang w:val="en-US"/>
        </w:rPr>
        <w:t xml:space="preserve">Until the entry into force of the law of 21 May 2024 aimed at securing and regulating </w:t>
      </w:r>
      <w:proofErr w:type="gramStart"/>
      <w:r w:rsidRPr="00CF15A7">
        <w:rPr>
          <w:rFonts w:ascii="Calibri" w:hAnsi="Calibri" w:cs="Calibri"/>
          <w:sz w:val="22"/>
          <w:szCs w:val="22"/>
          <w:lang w:val="en-US"/>
        </w:rPr>
        <w:t>the digital</w:t>
      </w:r>
      <w:proofErr w:type="gramEnd"/>
      <w:r w:rsidRPr="00CF15A7">
        <w:rPr>
          <w:rFonts w:ascii="Calibri" w:hAnsi="Calibri" w:cs="Calibri"/>
          <w:sz w:val="22"/>
          <w:szCs w:val="22"/>
          <w:lang w:val="en-US"/>
        </w:rPr>
        <w:t xml:space="preserve"> space, paragraphs 2 and 3 of Article 6, I of the Law on Confidence in the Digital Economy, limited the possibility of engaging the liability of the host to cases of "manifestly" illegal content. The adverb "manifestly" had been added to the provisions of the LCEN to </w:t>
      </w:r>
      <w:proofErr w:type="gramStart"/>
      <w:r w:rsidRPr="00CF15A7">
        <w:rPr>
          <w:rFonts w:ascii="Calibri" w:hAnsi="Calibri" w:cs="Calibri"/>
          <w:sz w:val="22"/>
          <w:szCs w:val="22"/>
          <w:lang w:val="en-US"/>
        </w:rPr>
        <w:t>take into account</w:t>
      </w:r>
      <w:proofErr w:type="gramEnd"/>
      <w:r w:rsidRPr="00CF15A7">
        <w:rPr>
          <w:rFonts w:ascii="Calibri" w:hAnsi="Calibri" w:cs="Calibri"/>
          <w:sz w:val="22"/>
          <w:szCs w:val="22"/>
          <w:lang w:val="en-US"/>
        </w:rPr>
        <w:t xml:space="preserve"> the safeguard set by the Constitutional Council, </w:t>
      </w:r>
      <w:proofErr w:type="gramStart"/>
      <w:r w:rsidRPr="00CF15A7">
        <w:rPr>
          <w:rFonts w:ascii="Calibri" w:hAnsi="Calibri" w:cs="Calibri"/>
          <w:sz w:val="22"/>
          <w:szCs w:val="22"/>
          <w:lang w:val="en-US"/>
        </w:rPr>
        <w:t>in order to</w:t>
      </w:r>
      <w:proofErr w:type="gramEnd"/>
      <w:r w:rsidRPr="00CF15A7">
        <w:rPr>
          <w:rFonts w:ascii="Calibri" w:hAnsi="Calibri" w:cs="Calibri"/>
          <w:sz w:val="22"/>
          <w:szCs w:val="22"/>
          <w:lang w:val="en-US"/>
        </w:rPr>
        <w:t xml:space="preserve"> avoid too great an obstacle to freedom of expression. Indeed, hosting providers could have been tempted to remove any disputed or potentially problematic content </w:t>
      </w:r>
      <w:proofErr w:type="gramStart"/>
      <w:r w:rsidRPr="00CF15A7">
        <w:rPr>
          <w:rFonts w:ascii="Calibri" w:hAnsi="Calibri" w:cs="Calibri"/>
          <w:sz w:val="22"/>
          <w:szCs w:val="22"/>
          <w:lang w:val="en-US"/>
        </w:rPr>
        <w:t>in order to</w:t>
      </w:r>
      <w:proofErr w:type="gramEnd"/>
      <w:r w:rsidRPr="00CF15A7">
        <w:rPr>
          <w:rFonts w:ascii="Calibri" w:hAnsi="Calibri" w:cs="Calibri"/>
          <w:sz w:val="22"/>
          <w:szCs w:val="22"/>
          <w:lang w:val="en-US"/>
        </w:rPr>
        <w:t xml:space="preserve"> avoid incurring liability. This condition was rigorously verified by the judges</w:t>
      </w:r>
      <w:r w:rsidRPr="00032A99">
        <w:rPr>
          <w:rStyle w:val="Appelnotedebasdep"/>
          <w:rFonts w:ascii="Calibri" w:hAnsi="Calibri" w:cs="Calibri"/>
          <w:sz w:val="22"/>
          <w:szCs w:val="22"/>
        </w:rPr>
        <w:footnoteReference w:id="12"/>
      </w:r>
      <w:r w:rsidRPr="00CF15A7">
        <w:rPr>
          <w:rFonts w:ascii="Calibri" w:hAnsi="Calibri" w:cs="Calibri"/>
          <w:sz w:val="22"/>
          <w:szCs w:val="22"/>
          <w:lang w:val="en-US"/>
        </w:rPr>
        <w:t>.</w:t>
      </w:r>
    </w:p>
    <w:p w14:paraId="785FEC99" w14:textId="77777777" w:rsidR="008F2F62" w:rsidRPr="00CF15A7" w:rsidRDefault="008F2F62" w:rsidP="008F2F62">
      <w:pPr>
        <w:jc w:val="both"/>
        <w:rPr>
          <w:rFonts w:ascii="Calibri" w:hAnsi="Calibri" w:cs="Calibri"/>
          <w:sz w:val="22"/>
          <w:szCs w:val="22"/>
          <w:lang w:val="en-US"/>
        </w:rPr>
      </w:pPr>
      <w:r w:rsidRPr="00CF15A7">
        <w:rPr>
          <w:rFonts w:ascii="Calibri" w:hAnsi="Calibri" w:cs="Calibri"/>
          <w:sz w:val="22"/>
          <w:szCs w:val="22"/>
          <w:lang w:val="en-US"/>
        </w:rPr>
        <w:t xml:space="preserve">As the provisions relating to the liability of hosting providers have been removed from the SREN law, the requirement is no longer included in French law. </w:t>
      </w:r>
    </w:p>
    <w:p w14:paraId="670BA340" w14:textId="0A3F165A" w:rsidR="008F2F62" w:rsidRPr="00CF15A7" w:rsidRDefault="008F2F62" w:rsidP="008F2F62">
      <w:pPr>
        <w:jc w:val="both"/>
        <w:rPr>
          <w:rFonts w:ascii="Calibri" w:hAnsi="Calibri" w:cs="Calibri"/>
          <w:sz w:val="22"/>
          <w:szCs w:val="22"/>
          <w:lang w:val="en-US"/>
        </w:rPr>
      </w:pPr>
      <w:r w:rsidRPr="00CF15A7">
        <w:rPr>
          <w:rFonts w:ascii="Calibri" w:hAnsi="Calibri" w:cs="Calibri"/>
          <w:sz w:val="22"/>
          <w:szCs w:val="22"/>
          <w:lang w:val="en-US"/>
        </w:rPr>
        <w:t>The DSA has not used the adverb either, but it should be noted that Article 16, 3 of this text, relating to the notification procedure, states:</w:t>
      </w:r>
    </w:p>
    <w:p w14:paraId="63B6892E" w14:textId="5EF5F63C" w:rsidR="008F2F62" w:rsidRPr="00CF15A7" w:rsidRDefault="008F2F62" w:rsidP="008F2F62">
      <w:pPr>
        <w:ind w:left="708"/>
        <w:jc w:val="both"/>
        <w:rPr>
          <w:rFonts w:ascii="Calibri" w:hAnsi="Calibri" w:cs="Calibri"/>
          <w:sz w:val="22"/>
          <w:szCs w:val="22"/>
          <w:lang w:val="en-US"/>
        </w:rPr>
      </w:pPr>
      <w:r w:rsidRPr="00CF15A7">
        <w:rPr>
          <w:rFonts w:ascii="Calibri" w:hAnsi="Calibri" w:cs="Calibri"/>
          <w:sz w:val="22"/>
          <w:szCs w:val="22"/>
          <w:lang w:val="en-US"/>
        </w:rPr>
        <w:t>'The notifications referred to in this Article shall be deemed to give rise to the actual knowledge or awareness for the purposes of Article 6 of the specific piece of information concerned where they enable a diligent hosting service provider to identify the illegality of the activity or information concerned without a detailed legal examination'.</w:t>
      </w:r>
    </w:p>
    <w:p w14:paraId="6CB99B86" w14:textId="77777777" w:rsidR="008F2F62" w:rsidRPr="00CF15A7" w:rsidRDefault="008F2F62" w:rsidP="008F2F62">
      <w:pPr>
        <w:jc w:val="both"/>
        <w:rPr>
          <w:rFonts w:ascii="Calibri" w:hAnsi="Calibri" w:cs="Calibri"/>
          <w:sz w:val="22"/>
          <w:szCs w:val="22"/>
          <w:lang w:val="en-US"/>
        </w:rPr>
      </w:pPr>
    </w:p>
    <w:p w14:paraId="4D79AAC3" w14:textId="2E1D51E5" w:rsidR="008F2F62" w:rsidRPr="00CF15A7" w:rsidRDefault="008F2F62" w:rsidP="008F2F62">
      <w:pPr>
        <w:jc w:val="both"/>
        <w:rPr>
          <w:rFonts w:ascii="Calibri" w:hAnsi="Calibri" w:cs="Calibri"/>
          <w:sz w:val="22"/>
          <w:szCs w:val="22"/>
          <w:lang w:val="en-US"/>
        </w:rPr>
      </w:pPr>
      <w:r w:rsidRPr="00CF15A7">
        <w:rPr>
          <w:rFonts w:ascii="Calibri" w:hAnsi="Calibri" w:cs="Calibri"/>
          <w:sz w:val="22"/>
          <w:szCs w:val="22"/>
          <w:lang w:val="en-US"/>
        </w:rPr>
        <w:t>Thus, the presumption of knowledge of the illegal nature of online content therefore only applies if the notification allows the "diligent" provider to identify the illegality of the activity or information concerned without a "detailed legal" examination. The elements contained in the notification are sufficiently precise to make it obvious that the content is illegal.</w:t>
      </w:r>
    </w:p>
    <w:p w14:paraId="3F51AA8B" w14:textId="77777777" w:rsidR="008F2F62" w:rsidRPr="00CF15A7" w:rsidRDefault="008F2F62" w:rsidP="00B27941">
      <w:pPr>
        <w:jc w:val="both"/>
        <w:rPr>
          <w:rFonts w:ascii="Calibri" w:hAnsi="Calibri" w:cs="Calibri"/>
          <w:sz w:val="22"/>
          <w:szCs w:val="22"/>
          <w:lang w:val="en-US"/>
        </w:rPr>
      </w:pPr>
    </w:p>
    <w:p w14:paraId="523F6883" w14:textId="04580202" w:rsidR="009F1EC2" w:rsidRPr="00CF15A7" w:rsidRDefault="009F1EC2" w:rsidP="00B27941">
      <w:pPr>
        <w:jc w:val="both"/>
        <w:rPr>
          <w:rFonts w:ascii="Calibri" w:hAnsi="Calibri" w:cs="Calibri"/>
          <w:sz w:val="22"/>
          <w:szCs w:val="22"/>
          <w:lang w:val="en-US"/>
        </w:rPr>
      </w:pPr>
      <w:r w:rsidRPr="00CF15A7">
        <w:rPr>
          <w:rFonts w:ascii="Calibri" w:hAnsi="Calibri" w:cs="Calibri"/>
          <w:sz w:val="22"/>
          <w:szCs w:val="22"/>
          <w:lang w:val="en-US"/>
        </w:rPr>
        <w:t>Given the seriousness of certain offences, the host must be able to immediately remove and de-reference illegal content without waiting for a judicial decision. This should be the case for the offences listed today in Article 6, IV, A of the LCEN: "Persons whose activity consists in providing hosting services shall contribute to the fight against the dissemination of content constituting the offences mentioned in Articles 211-2, 222-33, 222-33-1-1, 222-33-2 to 222-33-2-3, 222-39, 223-13, 225-4-13, 225-5, 225-6, 227-18 to 227-21,  227-22 to 227-24, 412-8, 413-13, 413-14, 421-2-5, 431-6, 433-3, 433-3-1, 521-1-2 and 521-1-3 and the second paragraph of Article 222-33-3 of the Criminal Code as well as the fifth, seventh and eighth paragraphs of Article 24 and Article 24 bis of the Law of 29 July 1881 on the freedom of the press". These references concern, in essence, the punishment of the glorification of crimes against humanity, incitement to the commission of terrorist acts and their apology, incitement to racial hatred, hatred against persons on the basis of their sex, sexual orientation or identity or disability, child pornography, incitement to violence,  in particular incitement to sexual and gender-based violence or attacks on human dignity.</w:t>
      </w:r>
    </w:p>
    <w:p w14:paraId="7FB4D8BA" w14:textId="77777777" w:rsidR="00B27941" w:rsidRPr="00CF15A7" w:rsidRDefault="00B27941" w:rsidP="00B27941">
      <w:pPr>
        <w:jc w:val="both"/>
        <w:rPr>
          <w:rFonts w:ascii="Calibri" w:hAnsi="Calibri" w:cs="Calibri"/>
          <w:sz w:val="22"/>
          <w:szCs w:val="22"/>
          <w:lang w:val="en-US"/>
        </w:rPr>
      </w:pPr>
    </w:p>
    <w:p w14:paraId="319AA438" w14:textId="74AC297F" w:rsidR="00B27941" w:rsidRPr="00CF15A7" w:rsidRDefault="00B27941" w:rsidP="00B27941">
      <w:pPr>
        <w:jc w:val="both"/>
        <w:rPr>
          <w:rFonts w:ascii="Calibri" w:hAnsi="Calibri" w:cs="Calibri"/>
          <w:sz w:val="22"/>
          <w:szCs w:val="22"/>
          <w:lang w:val="en-US"/>
        </w:rPr>
      </w:pPr>
      <w:r w:rsidRPr="00CF15A7">
        <w:rPr>
          <w:rFonts w:ascii="Calibri" w:hAnsi="Calibri" w:cs="Calibri"/>
          <w:sz w:val="22"/>
          <w:szCs w:val="22"/>
          <w:lang w:val="en-US"/>
        </w:rPr>
        <w:lastRenderedPageBreak/>
        <w:t>The illegality must be obvious and leave no room for doubt, failing which the host can maintain the hosting without fear of incurring liability. This rule has allowed case law to most often exclude the responsibility of the host in the event of a refusal to remove allegedly defamatory content. However, it is not excluded that a recent judgment will make this approach more flexible</w:t>
      </w:r>
      <w:r w:rsidR="00657D9E" w:rsidRPr="00032A99">
        <w:rPr>
          <w:rStyle w:val="Appelnotedebasdep"/>
          <w:rFonts w:ascii="Calibri" w:hAnsi="Calibri" w:cs="Calibri"/>
          <w:sz w:val="22"/>
          <w:szCs w:val="22"/>
        </w:rPr>
        <w:footnoteReference w:id="13"/>
      </w:r>
      <w:r w:rsidR="00657D9E" w:rsidRPr="00CF15A7">
        <w:rPr>
          <w:rFonts w:ascii="Calibri" w:hAnsi="Calibri" w:cs="Calibri"/>
          <w:sz w:val="22"/>
          <w:szCs w:val="22"/>
          <w:lang w:val="en-US"/>
        </w:rPr>
        <w:t xml:space="preserve">. The Court of Cassation confirmed that the mere allegation of the defamatory nature of the disputed remarks does not justify ordering their withdrawal, but it may be ordered if no adversarial debate has taken place due to the lack of identification of the authors of the remarks. </w:t>
      </w:r>
    </w:p>
    <w:p w14:paraId="786E114D" w14:textId="77777777" w:rsidR="00B27941" w:rsidRPr="00CF15A7" w:rsidRDefault="00B27941" w:rsidP="00B27941">
      <w:pPr>
        <w:jc w:val="both"/>
        <w:rPr>
          <w:rFonts w:ascii="Calibri" w:hAnsi="Calibri" w:cs="Calibri"/>
          <w:sz w:val="22"/>
          <w:szCs w:val="22"/>
          <w:lang w:val="en-US"/>
        </w:rPr>
      </w:pPr>
    </w:p>
    <w:p w14:paraId="18584AA0" w14:textId="77777777" w:rsidR="00EF1AD5" w:rsidRPr="00CF15A7" w:rsidRDefault="00EF1AD5" w:rsidP="00B27941">
      <w:pPr>
        <w:jc w:val="both"/>
        <w:rPr>
          <w:rFonts w:ascii="Calibri" w:hAnsi="Calibri" w:cs="Calibri"/>
          <w:sz w:val="22"/>
          <w:szCs w:val="22"/>
          <w:lang w:val="en-US"/>
        </w:rPr>
      </w:pPr>
    </w:p>
    <w:p w14:paraId="5D5646DE" w14:textId="1D7DEC14" w:rsidR="007761EE" w:rsidRPr="00032A99" w:rsidRDefault="007761EE" w:rsidP="00B27941">
      <w:pPr>
        <w:pStyle w:val="Paragraphedeliste"/>
        <w:numPr>
          <w:ilvl w:val="0"/>
          <w:numId w:val="15"/>
        </w:numPr>
        <w:jc w:val="both"/>
        <w:rPr>
          <w:rFonts w:ascii="Calibri" w:hAnsi="Calibri" w:cs="Calibri"/>
          <w:sz w:val="22"/>
          <w:szCs w:val="22"/>
        </w:rPr>
      </w:pPr>
      <w:proofErr w:type="spellStart"/>
      <w:r w:rsidRPr="00032A99">
        <w:rPr>
          <w:rFonts w:ascii="Calibri" w:hAnsi="Calibri" w:cs="Calibri"/>
          <w:sz w:val="22"/>
          <w:szCs w:val="22"/>
        </w:rPr>
        <w:t>Waiting</w:t>
      </w:r>
      <w:proofErr w:type="spellEnd"/>
      <w:r w:rsidRPr="00032A99">
        <w:rPr>
          <w:rFonts w:ascii="Calibri" w:hAnsi="Calibri" w:cs="Calibri"/>
          <w:sz w:val="22"/>
          <w:szCs w:val="22"/>
        </w:rPr>
        <w:t xml:space="preserve"> for a court </w:t>
      </w:r>
      <w:proofErr w:type="spellStart"/>
      <w:r w:rsidRPr="00032A99">
        <w:rPr>
          <w:rFonts w:ascii="Calibri" w:hAnsi="Calibri" w:cs="Calibri"/>
          <w:sz w:val="22"/>
          <w:szCs w:val="22"/>
        </w:rPr>
        <w:t>decision</w:t>
      </w:r>
      <w:proofErr w:type="spellEnd"/>
    </w:p>
    <w:p w14:paraId="6BE20F90" w14:textId="77777777" w:rsidR="00EF1AD5" w:rsidRPr="00032A99" w:rsidRDefault="00EF1AD5" w:rsidP="00B27941">
      <w:pPr>
        <w:jc w:val="both"/>
        <w:rPr>
          <w:rFonts w:ascii="Calibri" w:hAnsi="Calibri" w:cs="Calibri"/>
          <w:sz w:val="22"/>
          <w:szCs w:val="22"/>
        </w:rPr>
      </w:pPr>
    </w:p>
    <w:p w14:paraId="7135CFB9" w14:textId="0E3394D9" w:rsidR="007761EE" w:rsidRPr="00CF15A7" w:rsidRDefault="007761EE" w:rsidP="00B27941">
      <w:pPr>
        <w:jc w:val="both"/>
        <w:rPr>
          <w:rFonts w:ascii="Calibri" w:hAnsi="Calibri" w:cs="Calibri"/>
          <w:sz w:val="22"/>
          <w:szCs w:val="22"/>
          <w:lang w:val="en-US"/>
        </w:rPr>
      </w:pPr>
      <w:r w:rsidRPr="00CF15A7">
        <w:rPr>
          <w:rFonts w:ascii="Calibri" w:hAnsi="Calibri" w:cs="Calibri"/>
          <w:sz w:val="22"/>
          <w:szCs w:val="22"/>
          <w:lang w:val="en-US"/>
        </w:rPr>
        <w:t>The applicant may refer the matter to the judge immediately or after the service provider has refused to withdraw. It is then up to the judge to determine whether the content was manifestly illegal, in which case the supplier may be held liable.</w:t>
      </w:r>
    </w:p>
    <w:p w14:paraId="1206389C" w14:textId="77777777" w:rsidR="006E09AA" w:rsidRPr="00CF15A7" w:rsidRDefault="006E09AA" w:rsidP="00B27941">
      <w:pPr>
        <w:jc w:val="both"/>
        <w:rPr>
          <w:rFonts w:ascii="Calibri" w:hAnsi="Calibri" w:cs="Calibri"/>
          <w:sz w:val="22"/>
          <w:szCs w:val="22"/>
          <w:lang w:val="en-US"/>
        </w:rPr>
      </w:pPr>
    </w:p>
    <w:p w14:paraId="386EF27B" w14:textId="51F3D383" w:rsidR="007761EE" w:rsidRPr="00CF15A7" w:rsidRDefault="00EF1AD5" w:rsidP="00B27941">
      <w:pPr>
        <w:jc w:val="both"/>
        <w:rPr>
          <w:rFonts w:ascii="Calibri" w:hAnsi="Calibri" w:cs="Calibri"/>
          <w:sz w:val="22"/>
          <w:szCs w:val="22"/>
          <w:lang w:val="en-US"/>
        </w:rPr>
      </w:pPr>
      <w:r w:rsidRPr="00CF15A7">
        <w:rPr>
          <w:rFonts w:ascii="Calibri" w:hAnsi="Calibri" w:cs="Calibri"/>
          <w:sz w:val="22"/>
          <w:szCs w:val="22"/>
          <w:lang w:val="en-US"/>
        </w:rPr>
        <w:t xml:space="preserve">In terms of intellectual property, Law No. 2009-669 of June 12, </w:t>
      </w:r>
      <w:proofErr w:type="gramStart"/>
      <w:r w:rsidRPr="00CF15A7">
        <w:rPr>
          <w:rFonts w:ascii="Calibri" w:hAnsi="Calibri" w:cs="Calibri"/>
          <w:sz w:val="22"/>
          <w:szCs w:val="22"/>
          <w:lang w:val="en-US"/>
        </w:rPr>
        <w:t>2009</w:t>
      </w:r>
      <w:proofErr w:type="gramEnd"/>
      <w:r w:rsidRPr="00CF15A7">
        <w:rPr>
          <w:rFonts w:ascii="Calibri" w:hAnsi="Calibri" w:cs="Calibri"/>
          <w:sz w:val="22"/>
          <w:szCs w:val="22"/>
          <w:lang w:val="en-US"/>
        </w:rPr>
        <w:t xml:space="preserve"> promoting the dissemination and protection of creation on the Internet (known as the HADOPI Law) introduced in Article 336-2 of the Intellectual Property Code, a "summary copyright procedure":</w:t>
      </w:r>
    </w:p>
    <w:p w14:paraId="5B8D3AE0" w14:textId="77777777" w:rsidR="006E09AA" w:rsidRPr="00CF15A7" w:rsidRDefault="006E09AA" w:rsidP="00B27941">
      <w:pPr>
        <w:jc w:val="both"/>
        <w:rPr>
          <w:rFonts w:ascii="Calibri" w:hAnsi="Calibri" w:cs="Calibri"/>
          <w:sz w:val="22"/>
          <w:szCs w:val="22"/>
          <w:lang w:val="en-US"/>
        </w:rPr>
      </w:pPr>
    </w:p>
    <w:p w14:paraId="11979B6A" w14:textId="11479660" w:rsidR="007761EE" w:rsidRPr="00CF15A7" w:rsidRDefault="007761EE" w:rsidP="006E09AA">
      <w:pPr>
        <w:ind w:left="708"/>
        <w:jc w:val="both"/>
        <w:rPr>
          <w:rFonts w:ascii="Calibri" w:hAnsi="Calibri" w:cs="Calibri"/>
          <w:sz w:val="22"/>
          <w:szCs w:val="22"/>
          <w:lang w:val="en-US"/>
        </w:rPr>
      </w:pPr>
      <w:r w:rsidRPr="00CF15A7">
        <w:rPr>
          <w:rFonts w:ascii="Calibri" w:hAnsi="Calibri" w:cs="Calibri"/>
          <w:sz w:val="22"/>
          <w:szCs w:val="22"/>
          <w:lang w:val="en-US"/>
        </w:rPr>
        <w:t xml:space="preserve">"In the event of an infringement of copyright or related rights caused by the content of an online public communication service, the President of the Judicial Court, ruling if necessary in the form of summary proceedings, may order, at the request of the holders of rights in the protected works and subject-matter, their successors in title,  societies for the collection and distribution of rights referred to in Article L. 321-1 or professional </w:t>
      </w:r>
      <w:proofErr w:type="spellStart"/>
      <w:r w:rsidRPr="00CF15A7">
        <w:rPr>
          <w:rFonts w:ascii="Calibri" w:hAnsi="Calibri" w:cs="Calibri"/>
          <w:sz w:val="22"/>
          <w:szCs w:val="22"/>
          <w:lang w:val="en-US"/>
        </w:rPr>
        <w:t>defence</w:t>
      </w:r>
      <w:proofErr w:type="spellEnd"/>
      <w:r w:rsidRPr="00CF15A7">
        <w:rPr>
          <w:rFonts w:ascii="Calibri" w:hAnsi="Calibri" w:cs="Calibri"/>
          <w:sz w:val="22"/>
          <w:szCs w:val="22"/>
          <w:lang w:val="en-US"/>
        </w:rPr>
        <w:t xml:space="preserve"> </w:t>
      </w:r>
      <w:proofErr w:type="spellStart"/>
      <w:r w:rsidRPr="00CF15A7">
        <w:rPr>
          <w:rFonts w:ascii="Calibri" w:hAnsi="Calibri" w:cs="Calibri"/>
          <w:sz w:val="22"/>
          <w:szCs w:val="22"/>
          <w:lang w:val="en-US"/>
        </w:rPr>
        <w:t>organisations</w:t>
      </w:r>
      <w:proofErr w:type="spellEnd"/>
      <w:r w:rsidRPr="00CF15A7">
        <w:rPr>
          <w:rFonts w:ascii="Calibri" w:hAnsi="Calibri" w:cs="Calibri"/>
          <w:sz w:val="22"/>
          <w:szCs w:val="22"/>
          <w:lang w:val="en-US"/>
        </w:rPr>
        <w:t xml:space="preserve"> referred to in Article L. 331-1, all appropriate measures to prevent or put an end to such an infringement of a copyright or a related right, against any person likely to contribute to remedying it". </w:t>
      </w:r>
    </w:p>
    <w:p w14:paraId="461C97AE" w14:textId="77777777" w:rsidR="006E09AA" w:rsidRPr="00CF15A7" w:rsidRDefault="006E09AA" w:rsidP="00B27941">
      <w:pPr>
        <w:jc w:val="both"/>
        <w:rPr>
          <w:rFonts w:ascii="Calibri" w:hAnsi="Calibri" w:cs="Calibri"/>
          <w:sz w:val="22"/>
          <w:szCs w:val="22"/>
          <w:lang w:val="en-US"/>
        </w:rPr>
      </w:pPr>
    </w:p>
    <w:p w14:paraId="526319A2" w14:textId="58D6DE57" w:rsidR="007761EE" w:rsidRPr="00CF15A7" w:rsidRDefault="007761EE" w:rsidP="00B27941">
      <w:pPr>
        <w:jc w:val="both"/>
        <w:rPr>
          <w:rFonts w:ascii="Calibri" w:hAnsi="Calibri" w:cs="Calibri"/>
          <w:sz w:val="22"/>
          <w:szCs w:val="22"/>
          <w:lang w:val="en-US"/>
        </w:rPr>
      </w:pPr>
      <w:r w:rsidRPr="00CF15A7">
        <w:rPr>
          <w:rFonts w:ascii="Calibri" w:hAnsi="Calibri" w:cs="Calibri"/>
          <w:sz w:val="22"/>
          <w:szCs w:val="22"/>
          <w:lang w:val="en-US"/>
        </w:rPr>
        <w:t xml:space="preserve">The </w:t>
      </w:r>
      <w:proofErr w:type="spellStart"/>
      <w:r w:rsidRPr="00CF15A7">
        <w:rPr>
          <w:rFonts w:ascii="Calibri" w:hAnsi="Calibri" w:cs="Calibri"/>
          <w:sz w:val="22"/>
          <w:szCs w:val="22"/>
          <w:lang w:val="en-US"/>
        </w:rPr>
        <w:t>Allostreaming</w:t>
      </w:r>
      <w:proofErr w:type="spellEnd"/>
      <w:r w:rsidRPr="00CF15A7">
        <w:rPr>
          <w:rFonts w:ascii="Calibri" w:hAnsi="Calibri" w:cs="Calibri"/>
          <w:sz w:val="22"/>
          <w:szCs w:val="22"/>
          <w:lang w:val="en-US"/>
        </w:rPr>
        <w:t xml:space="preserve"> case is the first application of the "copyright" summary procedure </w:t>
      </w:r>
      <w:proofErr w:type="gramStart"/>
      <w:r w:rsidRPr="00CF15A7">
        <w:rPr>
          <w:rFonts w:ascii="Calibri" w:hAnsi="Calibri" w:cs="Calibri"/>
          <w:sz w:val="22"/>
          <w:szCs w:val="22"/>
          <w:lang w:val="en-US"/>
        </w:rPr>
        <w:t>in order to</w:t>
      </w:r>
      <w:proofErr w:type="gramEnd"/>
      <w:r w:rsidRPr="00CF15A7">
        <w:rPr>
          <w:rFonts w:ascii="Calibri" w:hAnsi="Calibri" w:cs="Calibri"/>
          <w:sz w:val="22"/>
          <w:szCs w:val="22"/>
          <w:lang w:val="en-US"/>
        </w:rPr>
        <w:t xml:space="preserve"> obtain the blocking and de-referencing of websites. The Paris Court of First Instance ordered, in summary proceedings, the blocking and de-referencing of sixteen streaming sites </w:t>
      </w:r>
      <w:proofErr w:type="gramStart"/>
      <w:r w:rsidRPr="00CF15A7">
        <w:rPr>
          <w:rFonts w:ascii="Calibri" w:hAnsi="Calibri" w:cs="Calibri"/>
          <w:sz w:val="22"/>
          <w:szCs w:val="22"/>
          <w:lang w:val="en-US"/>
        </w:rPr>
        <w:t>on the basis of</w:t>
      </w:r>
      <w:proofErr w:type="gramEnd"/>
      <w:r w:rsidRPr="00CF15A7">
        <w:rPr>
          <w:rFonts w:ascii="Calibri" w:hAnsi="Calibri" w:cs="Calibri"/>
          <w:sz w:val="22"/>
          <w:szCs w:val="22"/>
          <w:lang w:val="en-US"/>
        </w:rPr>
        <w:t xml:space="preserve"> Article L. 336-2 of the Intellectual Property Code</w:t>
      </w:r>
      <w:r w:rsidR="00DC423B" w:rsidRPr="00032A99">
        <w:rPr>
          <w:rStyle w:val="Appelnotedebasdep"/>
          <w:rFonts w:ascii="Calibri" w:hAnsi="Calibri" w:cs="Calibri"/>
          <w:sz w:val="22"/>
          <w:szCs w:val="22"/>
        </w:rPr>
        <w:footnoteReference w:id="14"/>
      </w:r>
      <w:r w:rsidRPr="00CF15A7">
        <w:rPr>
          <w:rFonts w:ascii="Calibri" w:hAnsi="Calibri" w:cs="Calibri"/>
          <w:sz w:val="22"/>
          <w:szCs w:val="22"/>
          <w:lang w:val="en-US"/>
        </w:rPr>
        <w:t>. However, the duration of the blocking and de-referencing has been limited to twelve months from the implementation of the measures. By the same token, the French judge is very reasonably inspired by the principles identified by the European judge in the SABAM judgments, which advocates the proportionality of measures</w:t>
      </w:r>
      <w:r w:rsidR="00DC423B" w:rsidRPr="00032A99">
        <w:rPr>
          <w:rStyle w:val="Appelnotedebasdep"/>
          <w:rFonts w:ascii="Calibri" w:hAnsi="Calibri" w:cs="Calibri"/>
          <w:sz w:val="22"/>
          <w:szCs w:val="22"/>
        </w:rPr>
        <w:footnoteReference w:id="15"/>
      </w:r>
      <w:r w:rsidRPr="00CF15A7">
        <w:rPr>
          <w:rFonts w:ascii="Calibri" w:hAnsi="Calibri" w:cs="Calibri"/>
          <w:sz w:val="22"/>
          <w:szCs w:val="22"/>
          <w:lang w:val="en-US"/>
        </w:rPr>
        <w:t>.</w:t>
      </w:r>
    </w:p>
    <w:p w14:paraId="09A2113E" w14:textId="4457994B" w:rsidR="009F1EC2" w:rsidRPr="00CF15A7" w:rsidRDefault="009F1EC2" w:rsidP="00B27941">
      <w:pPr>
        <w:jc w:val="both"/>
        <w:rPr>
          <w:rFonts w:ascii="Calibri" w:hAnsi="Calibri" w:cs="Calibri"/>
          <w:sz w:val="22"/>
          <w:szCs w:val="22"/>
          <w:lang w:val="en-US"/>
        </w:rPr>
      </w:pPr>
    </w:p>
    <w:p w14:paraId="228A80F3" w14:textId="77777777" w:rsidR="00156690" w:rsidRPr="00CF15A7" w:rsidRDefault="00156690" w:rsidP="00B27941">
      <w:pPr>
        <w:jc w:val="both"/>
        <w:rPr>
          <w:rFonts w:ascii="Calibri" w:hAnsi="Calibri" w:cs="Calibri"/>
          <w:sz w:val="22"/>
          <w:szCs w:val="22"/>
          <w:lang w:val="en-US"/>
        </w:rPr>
      </w:pPr>
    </w:p>
    <w:p w14:paraId="7B5FA06F" w14:textId="467F73CE" w:rsidR="007761EE" w:rsidRPr="00CF15A7" w:rsidRDefault="00B27941" w:rsidP="00B27941">
      <w:pPr>
        <w:jc w:val="both"/>
        <w:rPr>
          <w:rFonts w:ascii="Calibri" w:hAnsi="Calibri" w:cs="Calibri"/>
          <w:sz w:val="22"/>
          <w:szCs w:val="22"/>
          <w:lang w:val="en-US"/>
        </w:rPr>
      </w:pPr>
      <w:r w:rsidRPr="00CF15A7">
        <w:rPr>
          <w:rFonts w:ascii="Calibri" w:hAnsi="Calibri" w:cs="Calibri"/>
          <w:sz w:val="22"/>
          <w:szCs w:val="22"/>
          <w:lang w:val="en-US"/>
        </w:rPr>
        <w:lastRenderedPageBreak/>
        <w:t xml:space="preserve">In the absence of a prompt removal of the illegal content that has been notified </w:t>
      </w:r>
      <w:proofErr w:type="gramStart"/>
      <w:r w:rsidRPr="00CF15A7">
        <w:rPr>
          <w:rFonts w:ascii="Calibri" w:hAnsi="Calibri" w:cs="Calibri"/>
          <w:sz w:val="22"/>
          <w:szCs w:val="22"/>
          <w:lang w:val="en-US"/>
        </w:rPr>
        <w:t>to</w:t>
      </w:r>
      <w:proofErr w:type="gramEnd"/>
      <w:r w:rsidRPr="00CF15A7">
        <w:rPr>
          <w:rFonts w:ascii="Calibri" w:hAnsi="Calibri" w:cs="Calibri"/>
          <w:sz w:val="22"/>
          <w:szCs w:val="22"/>
          <w:lang w:val="en-US"/>
        </w:rPr>
        <w:t xml:space="preserve"> it, it is </w:t>
      </w:r>
      <w:proofErr w:type="gramStart"/>
      <w:r w:rsidRPr="00CF15A7">
        <w:rPr>
          <w:rFonts w:ascii="Calibri" w:hAnsi="Calibri" w:cs="Calibri"/>
          <w:sz w:val="22"/>
          <w:szCs w:val="22"/>
          <w:lang w:val="en-US"/>
        </w:rPr>
        <w:t>on the basis of</w:t>
      </w:r>
      <w:proofErr w:type="gramEnd"/>
      <w:r w:rsidRPr="00CF15A7">
        <w:rPr>
          <w:rFonts w:ascii="Calibri" w:hAnsi="Calibri" w:cs="Calibri"/>
          <w:sz w:val="22"/>
          <w:szCs w:val="22"/>
          <w:lang w:val="en-US"/>
        </w:rPr>
        <w:t xml:space="preserve"> Article 1240 of the Civil Code that the host may incur liability, without prejudice to a possible infringement action</w:t>
      </w:r>
      <w:r w:rsidR="00156690" w:rsidRPr="00032A99">
        <w:rPr>
          <w:rStyle w:val="Appelnotedebasdep"/>
          <w:rFonts w:ascii="Calibri" w:hAnsi="Calibri" w:cs="Calibri"/>
          <w:sz w:val="22"/>
          <w:szCs w:val="22"/>
        </w:rPr>
        <w:footnoteReference w:id="16"/>
      </w:r>
      <w:r w:rsidRPr="00CF15A7">
        <w:rPr>
          <w:rFonts w:ascii="Calibri" w:hAnsi="Calibri" w:cs="Calibri"/>
          <w:sz w:val="22"/>
          <w:szCs w:val="22"/>
          <w:lang w:val="en-US"/>
        </w:rPr>
        <w:t xml:space="preserve">. On the other hand, the failure to promptly remove illegal content should no longer in itself give rise to its criminal liability. The </w:t>
      </w:r>
      <w:r w:rsidRPr="00CF15A7">
        <w:rPr>
          <w:rStyle w:val="srvrlnk"/>
          <w:rFonts w:ascii="Calibri" w:hAnsi="Calibri" w:cs="Calibri"/>
          <w:sz w:val="22"/>
          <w:szCs w:val="22"/>
          <w:lang w:val="en-US"/>
        </w:rPr>
        <w:t>law of 21 June 2024</w:t>
      </w:r>
      <w:r w:rsidRPr="00CF15A7">
        <w:rPr>
          <w:rFonts w:ascii="Calibri" w:hAnsi="Calibri" w:cs="Calibri"/>
          <w:sz w:val="22"/>
          <w:szCs w:val="22"/>
          <w:lang w:val="en-US"/>
        </w:rPr>
        <w:t xml:space="preserve"> amended by Law No. 2024-449 of 21 May 2024 on securing and regulating </w:t>
      </w:r>
      <w:proofErr w:type="gramStart"/>
      <w:r w:rsidRPr="00CF15A7">
        <w:rPr>
          <w:rFonts w:ascii="Calibri" w:hAnsi="Calibri" w:cs="Calibri"/>
          <w:sz w:val="22"/>
          <w:szCs w:val="22"/>
          <w:lang w:val="en-US"/>
        </w:rPr>
        <w:t>the digital</w:t>
      </w:r>
      <w:proofErr w:type="gramEnd"/>
      <w:r w:rsidRPr="00CF15A7">
        <w:rPr>
          <w:rFonts w:ascii="Calibri" w:hAnsi="Calibri" w:cs="Calibri"/>
          <w:sz w:val="22"/>
          <w:szCs w:val="22"/>
          <w:lang w:val="en-US"/>
        </w:rPr>
        <w:t xml:space="preserve"> space (SREN law) no longer provides for this possibility.</w:t>
      </w:r>
    </w:p>
    <w:p w14:paraId="504C5913" w14:textId="77777777" w:rsidR="00782A44" w:rsidRPr="00CF15A7" w:rsidRDefault="00782A44" w:rsidP="00B27941">
      <w:pPr>
        <w:jc w:val="both"/>
        <w:rPr>
          <w:rFonts w:ascii="Calibri" w:hAnsi="Calibri" w:cs="Calibri"/>
          <w:sz w:val="22"/>
          <w:szCs w:val="22"/>
          <w:lang w:val="en-US"/>
        </w:rPr>
      </w:pPr>
    </w:p>
    <w:p w14:paraId="136CBC37" w14:textId="77777777" w:rsidR="00863A62" w:rsidRPr="00CF15A7" w:rsidRDefault="00863A62" w:rsidP="00B27941">
      <w:pPr>
        <w:jc w:val="both"/>
        <w:rPr>
          <w:rFonts w:ascii="Calibri" w:hAnsi="Calibri" w:cs="Calibri"/>
          <w:sz w:val="22"/>
          <w:szCs w:val="22"/>
          <w:lang w:val="en-US"/>
        </w:rPr>
      </w:pPr>
    </w:p>
    <w:p w14:paraId="77D10947" w14:textId="77777777" w:rsidR="00863A62" w:rsidRPr="00CF15A7" w:rsidRDefault="00863A62" w:rsidP="00B27941">
      <w:pPr>
        <w:jc w:val="both"/>
        <w:rPr>
          <w:rFonts w:ascii="Calibri" w:hAnsi="Calibri" w:cs="Calibri"/>
          <w:sz w:val="22"/>
          <w:szCs w:val="22"/>
          <w:lang w:val="en-US"/>
        </w:rPr>
      </w:pPr>
    </w:p>
    <w:p w14:paraId="3475EAF0" w14:textId="77777777" w:rsidR="00830A58" w:rsidRPr="00CF15A7" w:rsidRDefault="00830A58" w:rsidP="00B27941">
      <w:pPr>
        <w:jc w:val="both"/>
        <w:rPr>
          <w:rFonts w:ascii="Calibri" w:hAnsi="Calibri" w:cs="Calibri"/>
          <w:sz w:val="22"/>
          <w:szCs w:val="22"/>
          <w:lang w:val="en-US"/>
        </w:rPr>
      </w:pPr>
    </w:p>
    <w:p w14:paraId="0D325BB9" w14:textId="7781590B" w:rsidR="00830A58" w:rsidRPr="00CF15A7" w:rsidRDefault="00830A58" w:rsidP="00B27941">
      <w:pPr>
        <w:pStyle w:val="Paragraphedeliste"/>
        <w:numPr>
          <w:ilvl w:val="0"/>
          <w:numId w:val="6"/>
        </w:numPr>
        <w:jc w:val="both"/>
        <w:rPr>
          <w:rFonts w:ascii="Calibri" w:hAnsi="Calibri" w:cs="Calibri"/>
          <w:b/>
          <w:bCs/>
          <w:sz w:val="22"/>
          <w:szCs w:val="22"/>
          <w:lang w:val="en-US"/>
        </w:rPr>
      </w:pPr>
      <w:r w:rsidRPr="00CF15A7">
        <w:rPr>
          <w:rFonts w:ascii="Calibri" w:hAnsi="Calibri" w:cs="Calibri"/>
          <w:b/>
          <w:bCs/>
          <w:sz w:val="22"/>
          <w:szCs w:val="22"/>
          <w:lang w:val="en-US"/>
        </w:rPr>
        <w:t xml:space="preserve">Platforms' responsibility for their own activity </w:t>
      </w:r>
    </w:p>
    <w:p w14:paraId="3CC8E26F" w14:textId="77777777" w:rsidR="00830A58" w:rsidRPr="00CF15A7" w:rsidRDefault="00830A58" w:rsidP="00B27941">
      <w:pPr>
        <w:jc w:val="both"/>
        <w:rPr>
          <w:rFonts w:ascii="Calibri" w:hAnsi="Calibri" w:cs="Calibri"/>
          <w:sz w:val="22"/>
          <w:szCs w:val="22"/>
          <w:lang w:val="en-US"/>
        </w:rPr>
      </w:pPr>
    </w:p>
    <w:p w14:paraId="2DC207A4" w14:textId="77777777" w:rsidR="00B27941" w:rsidRPr="00CF15A7" w:rsidRDefault="00B27941" w:rsidP="00B27941">
      <w:pPr>
        <w:jc w:val="both"/>
        <w:rPr>
          <w:rFonts w:ascii="Calibri" w:hAnsi="Calibri" w:cs="Calibri"/>
          <w:b/>
          <w:bCs/>
          <w:sz w:val="22"/>
          <w:szCs w:val="22"/>
          <w:lang w:val="en-US"/>
        </w:rPr>
      </w:pPr>
    </w:p>
    <w:p w14:paraId="204D455A" w14:textId="42230569" w:rsidR="00D95472" w:rsidRPr="00032A99" w:rsidRDefault="00D95472" w:rsidP="00B27941">
      <w:pPr>
        <w:jc w:val="both"/>
        <w:rPr>
          <w:rFonts w:ascii="Calibri" w:hAnsi="Calibri" w:cs="Calibri"/>
          <w:sz w:val="22"/>
          <w:szCs w:val="22"/>
        </w:rPr>
      </w:pPr>
      <w:r w:rsidRPr="00CF15A7">
        <w:rPr>
          <w:rFonts w:ascii="Calibri" w:hAnsi="Calibri" w:cs="Calibri"/>
          <w:sz w:val="22"/>
          <w:szCs w:val="22"/>
          <w:lang w:val="en-US"/>
        </w:rPr>
        <w:t xml:space="preserve">The civil liability of platforms can be incurred </w:t>
      </w:r>
      <w:proofErr w:type="gramStart"/>
      <w:r w:rsidRPr="00CF15A7">
        <w:rPr>
          <w:rFonts w:ascii="Calibri" w:hAnsi="Calibri" w:cs="Calibri"/>
          <w:sz w:val="22"/>
          <w:szCs w:val="22"/>
          <w:lang w:val="en-US"/>
        </w:rPr>
        <w:t>on the basis of</w:t>
      </w:r>
      <w:proofErr w:type="gramEnd"/>
      <w:r w:rsidRPr="00CF15A7">
        <w:rPr>
          <w:rFonts w:ascii="Calibri" w:hAnsi="Calibri" w:cs="Calibri"/>
          <w:sz w:val="22"/>
          <w:szCs w:val="22"/>
          <w:lang w:val="en-US"/>
        </w:rPr>
        <w:t xml:space="preserve"> unfair competition. </w:t>
      </w:r>
      <w:proofErr w:type="spellStart"/>
      <w:r w:rsidRPr="00032A99">
        <w:rPr>
          <w:rFonts w:ascii="Calibri" w:hAnsi="Calibri" w:cs="Calibri"/>
          <w:sz w:val="22"/>
          <w:szCs w:val="22"/>
        </w:rPr>
        <w:t>Several</w:t>
      </w:r>
      <w:proofErr w:type="spellEnd"/>
      <w:r w:rsidRPr="00032A99">
        <w:rPr>
          <w:rFonts w:ascii="Calibri" w:hAnsi="Calibri" w:cs="Calibri"/>
          <w:sz w:val="22"/>
          <w:szCs w:val="22"/>
        </w:rPr>
        <w:t xml:space="preserve"> </w:t>
      </w:r>
      <w:proofErr w:type="spellStart"/>
      <w:r w:rsidRPr="00032A99">
        <w:rPr>
          <w:rFonts w:ascii="Calibri" w:hAnsi="Calibri" w:cs="Calibri"/>
          <w:sz w:val="22"/>
          <w:szCs w:val="22"/>
        </w:rPr>
        <w:t>examples</w:t>
      </w:r>
      <w:proofErr w:type="spellEnd"/>
      <w:r w:rsidR="00DA58BE">
        <w:rPr>
          <w:rFonts w:ascii="Calibri" w:hAnsi="Calibri" w:cs="Calibri"/>
          <w:sz w:val="22"/>
          <w:szCs w:val="22"/>
        </w:rPr>
        <w:t xml:space="preserve"> can </w:t>
      </w:r>
      <w:proofErr w:type="spellStart"/>
      <w:r w:rsidR="00DA58BE">
        <w:rPr>
          <w:rFonts w:ascii="Calibri" w:hAnsi="Calibri" w:cs="Calibri"/>
          <w:sz w:val="22"/>
          <w:szCs w:val="22"/>
        </w:rPr>
        <w:t>be</w:t>
      </w:r>
      <w:proofErr w:type="spellEnd"/>
      <w:r w:rsidR="00DA58BE">
        <w:rPr>
          <w:rFonts w:ascii="Calibri" w:hAnsi="Calibri" w:cs="Calibri"/>
          <w:sz w:val="22"/>
          <w:szCs w:val="22"/>
        </w:rPr>
        <w:t xml:space="preserve"> </w:t>
      </w:r>
      <w:proofErr w:type="spellStart"/>
      <w:proofErr w:type="gramStart"/>
      <w:r w:rsidR="00DA58BE">
        <w:rPr>
          <w:rFonts w:ascii="Calibri" w:hAnsi="Calibri" w:cs="Calibri"/>
          <w:sz w:val="22"/>
          <w:szCs w:val="22"/>
        </w:rPr>
        <w:t>recall</w:t>
      </w:r>
      <w:proofErr w:type="spellEnd"/>
      <w:r w:rsidRPr="00032A99">
        <w:rPr>
          <w:rFonts w:ascii="Calibri" w:hAnsi="Calibri" w:cs="Calibri"/>
          <w:sz w:val="22"/>
          <w:szCs w:val="22"/>
        </w:rPr>
        <w:t>:</w:t>
      </w:r>
      <w:proofErr w:type="gramEnd"/>
      <w:r w:rsidRPr="00032A99">
        <w:rPr>
          <w:rFonts w:ascii="Calibri" w:hAnsi="Calibri" w:cs="Calibri"/>
          <w:sz w:val="22"/>
          <w:szCs w:val="22"/>
        </w:rPr>
        <w:t xml:space="preserve"> </w:t>
      </w:r>
    </w:p>
    <w:p w14:paraId="67A5DDBC" w14:textId="77777777" w:rsidR="00B27941" w:rsidRPr="00032A99" w:rsidRDefault="00B27941" w:rsidP="00B27941">
      <w:pPr>
        <w:jc w:val="both"/>
        <w:rPr>
          <w:rFonts w:ascii="Calibri" w:hAnsi="Calibri" w:cs="Calibri"/>
          <w:b/>
          <w:bCs/>
          <w:sz w:val="22"/>
          <w:szCs w:val="22"/>
        </w:rPr>
      </w:pPr>
    </w:p>
    <w:p w14:paraId="662211B2" w14:textId="77777777" w:rsidR="00D95472" w:rsidRPr="00032A99" w:rsidRDefault="00D95472" w:rsidP="00B27941">
      <w:pPr>
        <w:jc w:val="both"/>
        <w:rPr>
          <w:rFonts w:ascii="Calibri" w:hAnsi="Calibri" w:cs="Calibri"/>
          <w:b/>
          <w:bCs/>
          <w:sz w:val="22"/>
          <w:szCs w:val="22"/>
        </w:rPr>
      </w:pPr>
    </w:p>
    <w:p w14:paraId="769556CB" w14:textId="074AB69E" w:rsidR="00830A58" w:rsidRPr="00CF15A7" w:rsidRDefault="00830A58" w:rsidP="00D95472">
      <w:pPr>
        <w:pStyle w:val="Paragraphedeliste"/>
        <w:numPr>
          <w:ilvl w:val="0"/>
          <w:numId w:val="21"/>
        </w:numPr>
        <w:jc w:val="both"/>
        <w:rPr>
          <w:rFonts w:ascii="Calibri" w:hAnsi="Calibri" w:cs="Calibri"/>
          <w:b/>
          <w:bCs/>
          <w:sz w:val="22"/>
          <w:szCs w:val="22"/>
          <w:lang w:val="en-US"/>
        </w:rPr>
      </w:pPr>
      <w:r w:rsidRPr="00CF15A7">
        <w:rPr>
          <w:rFonts w:ascii="Calibri" w:hAnsi="Calibri" w:cs="Calibri"/>
          <w:b/>
          <w:bCs/>
          <w:sz w:val="22"/>
          <w:szCs w:val="22"/>
          <w:lang w:val="en-US"/>
        </w:rPr>
        <w:t>Unfair competition for violation of the law</w:t>
      </w:r>
    </w:p>
    <w:p w14:paraId="2AC1304F" w14:textId="77777777" w:rsidR="00930A3F" w:rsidRPr="00CF15A7" w:rsidRDefault="00930A3F" w:rsidP="00B27941">
      <w:pPr>
        <w:jc w:val="both"/>
        <w:rPr>
          <w:rFonts w:ascii="Calibri" w:hAnsi="Calibri" w:cs="Calibri"/>
          <w:sz w:val="22"/>
          <w:szCs w:val="22"/>
          <w:lang w:val="en-US"/>
        </w:rPr>
      </w:pPr>
    </w:p>
    <w:p w14:paraId="1E7DA9A3" w14:textId="77777777" w:rsidR="00930A3F" w:rsidRPr="00CF15A7" w:rsidRDefault="00930A3F" w:rsidP="00B27941">
      <w:pPr>
        <w:jc w:val="both"/>
        <w:rPr>
          <w:rFonts w:ascii="Calibri" w:hAnsi="Calibri" w:cs="Calibri"/>
          <w:sz w:val="22"/>
          <w:szCs w:val="22"/>
          <w:lang w:val="en-US"/>
        </w:rPr>
      </w:pPr>
    </w:p>
    <w:p w14:paraId="19D1A1E1" w14:textId="5EA9DBB3" w:rsidR="00CD0DA4" w:rsidRPr="00CF15A7" w:rsidRDefault="00D95472" w:rsidP="00B27941">
      <w:pPr>
        <w:jc w:val="both"/>
        <w:rPr>
          <w:rFonts w:ascii="Calibri" w:hAnsi="Calibri" w:cs="Calibri"/>
          <w:b/>
          <w:bCs/>
          <w:sz w:val="22"/>
          <w:szCs w:val="22"/>
          <w:lang w:val="en-US"/>
        </w:rPr>
      </w:pPr>
      <w:r w:rsidRPr="00CF15A7">
        <w:rPr>
          <w:rFonts w:ascii="Calibri" w:hAnsi="Calibri" w:cs="Calibri"/>
          <w:b/>
          <w:bCs/>
          <w:sz w:val="22"/>
          <w:szCs w:val="22"/>
          <w:lang w:val="en-US"/>
        </w:rPr>
        <w:t xml:space="preserve">Doctrine case: </w:t>
      </w:r>
    </w:p>
    <w:p w14:paraId="55E18B89" w14:textId="36F616B3" w:rsidR="00930A3F" w:rsidRPr="00CF15A7" w:rsidRDefault="00930A3F" w:rsidP="00B27941">
      <w:pPr>
        <w:jc w:val="both"/>
        <w:rPr>
          <w:rFonts w:ascii="Calibri" w:hAnsi="Calibri" w:cs="Calibri"/>
          <w:b/>
          <w:bCs/>
          <w:sz w:val="22"/>
          <w:szCs w:val="22"/>
          <w:lang w:val="en-US"/>
        </w:rPr>
      </w:pPr>
      <w:r w:rsidRPr="00CF15A7">
        <w:rPr>
          <w:rFonts w:ascii="Calibri" w:hAnsi="Calibri" w:cs="Calibri"/>
          <w:b/>
          <w:bCs/>
          <w:sz w:val="22"/>
          <w:szCs w:val="22"/>
          <w:lang w:val="en-US"/>
        </w:rPr>
        <w:t xml:space="preserve">CA Paris, May 7, 2025, </w:t>
      </w:r>
    </w:p>
    <w:p w14:paraId="6B04E323" w14:textId="77777777" w:rsidR="00D95472" w:rsidRPr="00CF15A7" w:rsidRDefault="00D95472" w:rsidP="00B27941">
      <w:pPr>
        <w:jc w:val="both"/>
        <w:rPr>
          <w:rFonts w:ascii="Calibri" w:hAnsi="Calibri" w:cs="Calibri"/>
          <w:b/>
          <w:bCs/>
          <w:sz w:val="22"/>
          <w:szCs w:val="22"/>
          <w:lang w:val="en-US"/>
        </w:rPr>
      </w:pPr>
    </w:p>
    <w:p w14:paraId="322A8FE0" w14:textId="3232ADC2" w:rsidR="00930A3F" w:rsidRPr="00CF15A7" w:rsidRDefault="00D95472" w:rsidP="00B27941">
      <w:pPr>
        <w:jc w:val="both"/>
        <w:rPr>
          <w:rFonts w:ascii="Calibri" w:hAnsi="Calibri" w:cs="Calibri"/>
          <w:sz w:val="22"/>
          <w:szCs w:val="22"/>
          <w:lang w:val="en-US"/>
        </w:rPr>
      </w:pPr>
      <w:r w:rsidRPr="00CF15A7">
        <w:rPr>
          <w:rFonts w:ascii="Calibri" w:hAnsi="Calibri" w:cs="Calibri"/>
          <w:sz w:val="22"/>
          <w:szCs w:val="22"/>
          <w:lang w:val="en-US"/>
        </w:rPr>
        <w:t xml:space="preserve">Doctrine (owned by Forseti) is a legal AI platform offering lawyers and legal </w:t>
      </w:r>
      <w:proofErr w:type="gramStart"/>
      <w:r w:rsidRPr="00CF15A7">
        <w:rPr>
          <w:rFonts w:ascii="Calibri" w:hAnsi="Calibri" w:cs="Calibri"/>
          <w:sz w:val="22"/>
          <w:szCs w:val="22"/>
          <w:lang w:val="en-US"/>
        </w:rPr>
        <w:t>experts</w:t>
      </w:r>
      <w:proofErr w:type="gramEnd"/>
      <w:r w:rsidRPr="00CF15A7">
        <w:rPr>
          <w:rFonts w:ascii="Calibri" w:hAnsi="Calibri" w:cs="Calibri"/>
          <w:sz w:val="22"/>
          <w:szCs w:val="22"/>
          <w:lang w:val="en-US"/>
        </w:rPr>
        <w:t xml:space="preserve"> access to court decisions, codes and laws, directives and regulations... The traditional legal publishers (</w:t>
      </w:r>
      <w:proofErr w:type="spellStart"/>
      <w:r w:rsidRPr="00CF15A7">
        <w:rPr>
          <w:rFonts w:ascii="Calibri" w:hAnsi="Calibri" w:cs="Calibri"/>
          <w:sz w:val="22"/>
          <w:szCs w:val="22"/>
          <w:lang w:val="en-US"/>
        </w:rPr>
        <w:t>Dalloz</w:t>
      </w:r>
      <w:proofErr w:type="spellEnd"/>
      <w:r w:rsidRPr="00CF15A7">
        <w:rPr>
          <w:rFonts w:ascii="Calibri" w:hAnsi="Calibri" w:cs="Calibri"/>
          <w:sz w:val="22"/>
          <w:szCs w:val="22"/>
          <w:lang w:val="en-US"/>
        </w:rPr>
        <w:t xml:space="preserve">, </w:t>
      </w:r>
      <w:proofErr w:type="spellStart"/>
      <w:r w:rsidRPr="00CF15A7">
        <w:rPr>
          <w:rFonts w:ascii="Calibri" w:hAnsi="Calibri" w:cs="Calibri"/>
          <w:sz w:val="22"/>
          <w:szCs w:val="22"/>
          <w:lang w:val="en-US"/>
        </w:rPr>
        <w:t>Lexbase</w:t>
      </w:r>
      <w:proofErr w:type="spellEnd"/>
      <w:r w:rsidRPr="00CF15A7">
        <w:rPr>
          <w:rFonts w:ascii="Calibri" w:hAnsi="Calibri" w:cs="Calibri"/>
          <w:sz w:val="22"/>
          <w:szCs w:val="22"/>
          <w:lang w:val="en-US"/>
        </w:rPr>
        <w:t xml:space="preserve">, LexisNexis, </w:t>
      </w:r>
      <w:proofErr w:type="spellStart"/>
      <w:r w:rsidRPr="00CF15A7">
        <w:rPr>
          <w:rFonts w:ascii="Calibri" w:hAnsi="Calibri" w:cs="Calibri"/>
          <w:sz w:val="22"/>
          <w:szCs w:val="22"/>
          <w:lang w:val="en-US"/>
        </w:rPr>
        <w:t>Lextenso</w:t>
      </w:r>
      <w:proofErr w:type="spellEnd"/>
      <w:r w:rsidRPr="00CF15A7">
        <w:rPr>
          <w:rFonts w:ascii="Calibri" w:hAnsi="Calibri" w:cs="Calibri"/>
          <w:sz w:val="22"/>
          <w:szCs w:val="22"/>
          <w:lang w:val="en-US"/>
        </w:rPr>
        <w:t xml:space="preserve"> and Lamy Liaisons (formerly Wolters Kluwer France) considered that the platform had committed acts of unfair competition for having, between 2016 and 2019, built up its database of 10 million court decisions by means of misleading, unfair and parasitic procedures. While at the time, Law No. 2016-1321 of 7 October 2016 for a Digital Republic governing the opening of judicial data had not yet come into force, these methods have enabled the platform to quickly establish itself on the market.</w:t>
      </w:r>
    </w:p>
    <w:p w14:paraId="25DE49FC" w14:textId="77777777" w:rsidR="00930A3F" w:rsidRPr="00CF15A7" w:rsidRDefault="00930A3F" w:rsidP="00B27941">
      <w:pPr>
        <w:jc w:val="both"/>
        <w:rPr>
          <w:rFonts w:ascii="Calibri" w:hAnsi="Calibri" w:cs="Calibri"/>
          <w:sz w:val="22"/>
          <w:szCs w:val="22"/>
          <w:lang w:val="en-US"/>
        </w:rPr>
      </w:pPr>
    </w:p>
    <w:p w14:paraId="2C76184B" w14:textId="77777777" w:rsidR="00742260" w:rsidRPr="00CF15A7" w:rsidRDefault="00742260" w:rsidP="00742260">
      <w:pPr>
        <w:jc w:val="both"/>
        <w:rPr>
          <w:rFonts w:ascii="Calibri" w:hAnsi="Calibri" w:cs="Calibri"/>
          <w:sz w:val="22"/>
          <w:szCs w:val="22"/>
          <w:lang w:val="en-US"/>
        </w:rPr>
      </w:pPr>
      <w:r w:rsidRPr="00CF15A7">
        <w:rPr>
          <w:rFonts w:ascii="Calibri" w:hAnsi="Calibri" w:cs="Calibri"/>
          <w:sz w:val="22"/>
          <w:szCs w:val="22"/>
          <w:lang w:val="en-US"/>
        </w:rPr>
        <w:t>On May 7, 2025, the Paris Court of Appeal ruled in favor of traditional legal publishers.</w:t>
      </w:r>
    </w:p>
    <w:p w14:paraId="4CC07294" w14:textId="2C64F078" w:rsidR="00930A3F" w:rsidRPr="00CF15A7" w:rsidRDefault="00742260" w:rsidP="00B27941">
      <w:pPr>
        <w:jc w:val="both"/>
        <w:rPr>
          <w:rFonts w:ascii="Calibri" w:hAnsi="Calibri" w:cs="Calibri"/>
          <w:sz w:val="22"/>
          <w:szCs w:val="22"/>
          <w:lang w:val="en-US"/>
        </w:rPr>
      </w:pPr>
      <w:r w:rsidRPr="00CF15A7">
        <w:rPr>
          <w:rFonts w:ascii="Calibri" w:hAnsi="Calibri" w:cs="Calibri"/>
          <w:sz w:val="22"/>
          <w:szCs w:val="22"/>
          <w:lang w:val="en-US"/>
        </w:rPr>
        <w:t xml:space="preserve">It acknowledged that Forseti had committed acts of unfair competition with publishers, resulting from the unlawful collection of court decisions and ordered it to pay €40,000 to each of the appellants, as well as an additional €10,000 to Éditions </w:t>
      </w:r>
      <w:proofErr w:type="spellStart"/>
      <w:r w:rsidRPr="00CF15A7">
        <w:rPr>
          <w:rFonts w:ascii="Calibri" w:hAnsi="Calibri" w:cs="Calibri"/>
          <w:sz w:val="22"/>
          <w:szCs w:val="22"/>
          <w:lang w:val="en-US"/>
        </w:rPr>
        <w:t>Dalloz</w:t>
      </w:r>
      <w:proofErr w:type="spellEnd"/>
      <w:r w:rsidRPr="00CF15A7">
        <w:rPr>
          <w:rFonts w:ascii="Calibri" w:hAnsi="Calibri" w:cs="Calibri"/>
          <w:sz w:val="22"/>
          <w:szCs w:val="22"/>
          <w:lang w:val="en-US"/>
        </w:rPr>
        <w:t xml:space="preserve"> and LexisNexis, victims of comparative advertising.</w:t>
      </w:r>
    </w:p>
    <w:p w14:paraId="0DF873EE" w14:textId="56198735" w:rsidR="00930A3F" w:rsidRPr="00CF15A7" w:rsidRDefault="00930A3F" w:rsidP="00B27941">
      <w:pPr>
        <w:jc w:val="both"/>
        <w:rPr>
          <w:rFonts w:ascii="Calibri" w:hAnsi="Calibri" w:cs="Calibri"/>
          <w:sz w:val="22"/>
          <w:szCs w:val="22"/>
          <w:lang w:val="en-US"/>
        </w:rPr>
      </w:pPr>
      <w:r w:rsidRPr="00CF15A7">
        <w:rPr>
          <w:rFonts w:ascii="Calibri" w:hAnsi="Calibri" w:cs="Calibri"/>
          <w:sz w:val="22"/>
          <w:szCs w:val="22"/>
          <w:lang w:val="en-US"/>
        </w:rPr>
        <w:t xml:space="preserve">It also ordered Forseti to publish, for 60 days and subject to a penalty payment, the following excerpt on the homepage of its website: "In a decision dated May 7, 2025, the Paris Court of Appeal ruled that Forseti committed acts of unfair competition to the detriment of Éditions </w:t>
      </w:r>
      <w:proofErr w:type="spellStart"/>
      <w:r w:rsidRPr="00CF15A7">
        <w:rPr>
          <w:rFonts w:ascii="Calibri" w:hAnsi="Calibri" w:cs="Calibri"/>
          <w:sz w:val="22"/>
          <w:szCs w:val="22"/>
          <w:lang w:val="en-US"/>
        </w:rPr>
        <w:t>Dalloz</w:t>
      </w:r>
      <w:proofErr w:type="spellEnd"/>
      <w:r w:rsidRPr="00CF15A7">
        <w:rPr>
          <w:rFonts w:ascii="Calibri" w:hAnsi="Calibri" w:cs="Calibri"/>
          <w:sz w:val="22"/>
          <w:szCs w:val="22"/>
          <w:lang w:val="en-US"/>
        </w:rPr>
        <w:t xml:space="preserve">,  </w:t>
      </w:r>
      <w:proofErr w:type="spellStart"/>
      <w:r w:rsidRPr="00CF15A7">
        <w:rPr>
          <w:rFonts w:ascii="Calibri" w:hAnsi="Calibri" w:cs="Calibri"/>
          <w:sz w:val="22"/>
          <w:szCs w:val="22"/>
          <w:lang w:val="en-US"/>
        </w:rPr>
        <w:t>Lexbase</w:t>
      </w:r>
      <w:proofErr w:type="spellEnd"/>
      <w:r w:rsidRPr="00CF15A7">
        <w:rPr>
          <w:rFonts w:ascii="Calibri" w:hAnsi="Calibri" w:cs="Calibri"/>
          <w:sz w:val="22"/>
          <w:szCs w:val="22"/>
          <w:lang w:val="en-US"/>
        </w:rPr>
        <w:t xml:space="preserve">, LexisNexis, </w:t>
      </w:r>
      <w:proofErr w:type="spellStart"/>
      <w:r w:rsidRPr="00CF15A7">
        <w:rPr>
          <w:rFonts w:ascii="Calibri" w:hAnsi="Calibri" w:cs="Calibri"/>
          <w:sz w:val="22"/>
          <w:szCs w:val="22"/>
          <w:lang w:val="en-US"/>
        </w:rPr>
        <w:lastRenderedPageBreak/>
        <w:t>Lextenso</w:t>
      </w:r>
      <w:proofErr w:type="spellEnd"/>
      <w:r w:rsidRPr="00CF15A7">
        <w:rPr>
          <w:rFonts w:ascii="Calibri" w:hAnsi="Calibri" w:cs="Calibri"/>
          <w:sz w:val="22"/>
          <w:szCs w:val="22"/>
          <w:lang w:val="en-US"/>
        </w:rPr>
        <w:t xml:space="preserve"> and Lamy Liaisons, and ordered Forseti to compensate them for the damage suffered as a result. »</w:t>
      </w:r>
    </w:p>
    <w:p w14:paraId="01C741EB" w14:textId="77777777" w:rsidR="00930A3F" w:rsidRPr="00CF15A7" w:rsidRDefault="00930A3F" w:rsidP="00B27941">
      <w:pPr>
        <w:jc w:val="both"/>
        <w:rPr>
          <w:rFonts w:ascii="Calibri" w:hAnsi="Calibri" w:cs="Calibri"/>
          <w:sz w:val="22"/>
          <w:szCs w:val="22"/>
          <w:lang w:val="en-US"/>
        </w:rPr>
      </w:pPr>
    </w:p>
    <w:p w14:paraId="54387FAE" w14:textId="5F7F2498" w:rsidR="00930A3F" w:rsidRPr="00CF15A7" w:rsidRDefault="00930A3F" w:rsidP="00B27941">
      <w:pPr>
        <w:jc w:val="both"/>
        <w:rPr>
          <w:rFonts w:ascii="Calibri" w:hAnsi="Calibri" w:cs="Calibri"/>
          <w:sz w:val="22"/>
          <w:szCs w:val="22"/>
          <w:lang w:val="en-US"/>
        </w:rPr>
      </w:pPr>
      <w:r w:rsidRPr="00CF15A7">
        <w:rPr>
          <w:rFonts w:ascii="Calibri" w:hAnsi="Calibri" w:cs="Calibri"/>
          <w:sz w:val="22"/>
          <w:szCs w:val="22"/>
          <w:lang w:val="en-US"/>
        </w:rPr>
        <w:t xml:space="preserve">On the question of the collection of court decisions, the court held that there were serious, precise and consistent presumptions that led to the conclusion that Forseti had unlawfully obtained hundreds of thousands of decisions from the courts of first instance, as well as from the administrative courts, in violation of the research agreement concluded with the Council of State. As Forseti refused to produce the partnership agreement with the GIE </w:t>
      </w:r>
      <w:proofErr w:type="spellStart"/>
      <w:r w:rsidRPr="00CF15A7">
        <w:rPr>
          <w:rFonts w:ascii="Calibri" w:hAnsi="Calibri" w:cs="Calibri"/>
          <w:sz w:val="22"/>
          <w:szCs w:val="22"/>
          <w:lang w:val="en-US"/>
        </w:rPr>
        <w:t>Infogreffe</w:t>
      </w:r>
      <w:proofErr w:type="spellEnd"/>
      <w:r w:rsidRPr="00CF15A7">
        <w:rPr>
          <w:rFonts w:ascii="Calibri" w:hAnsi="Calibri" w:cs="Calibri"/>
          <w:sz w:val="22"/>
          <w:szCs w:val="22"/>
          <w:lang w:val="en-US"/>
        </w:rPr>
        <w:t>, it does not justify having collected in a lawful and fair manner the 3 million decisions of the commercial courts published on the doctrine.fr website. In doing so, the company has thus gained an undue competitive advantage over its competitors.</w:t>
      </w:r>
    </w:p>
    <w:p w14:paraId="16870F9B" w14:textId="77777777" w:rsidR="00930A3F" w:rsidRPr="00CF15A7" w:rsidRDefault="00930A3F" w:rsidP="00B27941">
      <w:pPr>
        <w:jc w:val="both"/>
        <w:rPr>
          <w:rFonts w:ascii="Calibri" w:hAnsi="Calibri" w:cs="Calibri"/>
          <w:sz w:val="22"/>
          <w:szCs w:val="22"/>
          <w:lang w:val="en-US"/>
        </w:rPr>
      </w:pPr>
    </w:p>
    <w:p w14:paraId="566E6C2C" w14:textId="77777777" w:rsidR="00930A3F" w:rsidRPr="00CF15A7" w:rsidRDefault="00930A3F" w:rsidP="00B27941">
      <w:pPr>
        <w:jc w:val="both"/>
        <w:rPr>
          <w:rFonts w:ascii="Calibri" w:hAnsi="Calibri" w:cs="Calibri"/>
          <w:sz w:val="22"/>
          <w:szCs w:val="22"/>
          <w:lang w:val="en-US"/>
        </w:rPr>
      </w:pPr>
      <w:r w:rsidRPr="00CF15A7">
        <w:rPr>
          <w:rFonts w:ascii="Calibri" w:hAnsi="Calibri" w:cs="Calibri"/>
          <w:sz w:val="22"/>
          <w:szCs w:val="22"/>
          <w:lang w:val="en-US"/>
        </w:rPr>
        <w:t>On the other hand, the court rejected the request for the deletion of all the illegally collected decisions, considering that this measure would raise significant enforcement difficulties due to the volume of data concerned, and that it would not be proportionate to the objectives pursued, in view of the interests at stake — in particular the controls carried out by the CNIL and the spirit of the law for a Digital Republic which establishes a principle of wide dissemination of court decisions.</w:t>
      </w:r>
    </w:p>
    <w:p w14:paraId="21277796" w14:textId="77777777" w:rsidR="00830A58" w:rsidRPr="00CF15A7" w:rsidRDefault="00830A58" w:rsidP="00B27941">
      <w:pPr>
        <w:jc w:val="both"/>
        <w:rPr>
          <w:rFonts w:ascii="Calibri" w:hAnsi="Calibri" w:cs="Calibri"/>
          <w:sz w:val="22"/>
          <w:szCs w:val="22"/>
          <w:lang w:val="en-US"/>
        </w:rPr>
      </w:pPr>
    </w:p>
    <w:p w14:paraId="7839307E" w14:textId="77777777" w:rsidR="00CD0DA4" w:rsidRPr="00CF15A7" w:rsidRDefault="00CD0DA4" w:rsidP="00B27941">
      <w:pPr>
        <w:jc w:val="both"/>
        <w:rPr>
          <w:rFonts w:ascii="Calibri" w:hAnsi="Calibri" w:cs="Calibri"/>
          <w:sz w:val="22"/>
          <w:szCs w:val="22"/>
          <w:lang w:val="en-US"/>
        </w:rPr>
      </w:pPr>
    </w:p>
    <w:p w14:paraId="6B85E8CE" w14:textId="28420BF2" w:rsidR="00830A58" w:rsidRPr="00032A99" w:rsidRDefault="00830A58" w:rsidP="00CD0DA4">
      <w:pPr>
        <w:pStyle w:val="Paragraphedeliste"/>
        <w:numPr>
          <w:ilvl w:val="0"/>
          <w:numId w:val="21"/>
        </w:numPr>
        <w:jc w:val="both"/>
        <w:rPr>
          <w:rFonts w:ascii="Calibri" w:hAnsi="Calibri" w:cs="Calibri"/>
          <w:b/>
          <w:bCs/>
          <w:sz w:val="22"/>
          <w:szCs w:val="22"/>
        </w:rPr>
      </w:pPr>
      <w:proofErr w:type="spellStart"/>
      <w:r w:rsidRPr="00032A99">
        <w:rPr>
          <w:rFonts w:ascii="Calibri" w:hAnsi="Calibri" w:cs="Calibri"/>
          <w:b/>
          <w:bCs/>
          <w:sz w:val="22"/>
          <w:szCs w:val="22"/>
        </w:rPr>
        <w:t>Unfair</w:t>
      </w:r>
      <w:proofErr w:type="spellEnd"/>
      <w:r w:rsidRPr="00032A99">
        <w:rPr>
          <w:rFonts w:ascii="Calibri" w:hAnsi="Calibri" w:cs="Calibri"/>
          <w:b/>
          <w:bCs/>
          <w:sz w:val="22"/>
          <w:szCs w:val="22"/>
        </w:rPr>
        <w:t xml:space="preserve"> </w:t>
      </w:r>
      <w:proofErr w:type="spellStart"/>
      <w:r w:rsidRPr="00032A99">
        <w:rPr>
          <w:rFonts w:ascii="Calibri" w:hAnsi="Calibri" w:cs="Calibri"/>
          <w:b/>
          <w:bCs/>
          <w:sz w:val="22"/>
          <w:szCs w:val="22"/>
        </w:rPr>
        <w:t>competition</w:t>
      </w:r>
      <w:proofErr w:type="spellEnd"/>
      <w:r w:rsidRPr="00032A99">
        <w:rPr>
          <w:rFonts w:ascii="Calibri" w:hAnsi="Calibri" w:cs="Calibri"/>
          <w:b/>
          <w:bCs/>
          <w:sz w:val="22"/>
          <w:szCs w:val="22"/>
        </w:rPr>
        <w:t xml:space="preserve"> for </w:t>
      </w:r>
      <w:proofErr w:type="spellStart"/>
      <w:r w:rsidRPr="00032A99">
        <w:rPr>
          <w:rFonts w:ascii="Calibri" w:hAnsi="Calibri" w:cs="Calibri"/>
          <w:b/>
          <w:bCs/>
          <w:sz w:val="22"/>
          <w:szCs w:val="22"/>
        </w:rPr>
        <w:t>denigration</w:t>
      </w:r>
      <w:proofErr w:type="spellEnd"/>
    </w:p>
    <w:p w14:paraId="65290C46" w14:textId="77777777" w:rsidR="00CD0DA4" w:rsidRPr="00032A99" w:rsidRDefault="00CD0DA4" w:rsidP="00CD0DA4">
      <w:pPr>
        <w:jc w:val="both"/>
        <w:rPr>
          <w:rFonts w:ascii="Calibri" w:hAnsi="Calibri" w:cs="Calibri"/>
          <w:b/>
          <w:bCs/>
          <w:sz w:val="22"/>
          <w:szCs w:val="22"/>
        </w:rPr>
      </w:pPr>
    </w:p>
    <w:p w14:paraId="319187D8" w14:textId="29EBAA5A" w:rsidR="00830A58" w:rsidRPr="00032A99" w:rsidRDefault="00CD0DA4" w:rsidP="00B27941">
      <w:pPr>
        <w:jc w:val="both"/>
        <w:rPr>
          <w:rFonts w:ascii="Calibri" w:hAnsi="Calibri" w:cs="Calibri"/>
          <w:b/>
          <w:bCs/>
          <w:sz w:val="22"/>
          <w:szCs w:val="22"/>
        </w:rPr>
      </w:pPr>
      <w:proofErr w:type="spellStart"/>
      <w:r w:rsidRPr="00032A99">
        <w:rPr>
          <w:rFonts w:ascii="Calibri" w:hAnsi="Calibri" w:cs="Calibri"/>
          <w:b/>
          <w:bCs/>
          <w:sz w:val="22"/>
          <w:szCs w:val="22"/>
        </w:rPr>
        <w:t>Yuka</w:t>
      </w:r>
      <w:proofErr w:type="spellEnd"/>
      <w:r w:rsidRPr="00032A99">
        <w:rPr>
          <w:rFonts w:ascii="Calibri" w:hAnsi="Calibri" w:cs="Calibri"/>
          <w:b/>
          <w:bCs/>
          <w:sz w:val="22"/>
          <w:szCs w:val="22"/>
        </w:rPr>
        <w:t xml:space="preserve"> Cases</w:t>
      </w:r>
    </w:p>
    <w:p w14:paraId="184ED976" w14:textId="77777777" w:rsidR="00CD0DA4" w:rsidRPr="00032A99" w:rsidRDefault="00CD0DA4" w:rsidP="00B27941">
      <w:pPr>
        <w:jc w:val="both"/>
        <w:rPr>
          <w:rFonts w:ascii="Calibri" w:hAnsi="Calibri" w:cs="Calibri"/>
          <w:sz w:val="22"/>
          <w:szCs w:val="22"/>
        </w:rPr>
      </w:pPr>
    </w:p>
    <w:p w14:paraId="7E8D3E7A" w14:textId="77777777" w:rsidR="00830A58" w:rsidRPr="00CF15A7" w:rsidRDefault="00830A58" w:rsidP="00B27941">
      <w:pPr>
        <w:jc w:val="both"/>
        <w:rPr>
          <w:rFonts w:ascii="Calibri" w:hAnsi="Calibri" w:cs="Calibri"/>
          <w:sz w:val="22"/>
          <w:szCs w:val="22"/>
          <w:lang w:val="en-US"/>
        </w:rPr>
      </w:pPr>
      <w:r w:rsidRPr="00CF15A7">
        <w:rPr>
          <w:rFonts w:ascii="Calibri" w:hAnsi="Calibri" w:cs="Calibri"/>
          <w:sz w:val="22"/>
          <w:szCs w:val="22"/>
          <w:lang w:val="en-US"/>
        </w:rPr>
        <w:t>Several courts of first instance had accused Yuka of unfair and misleading commercial practices and acts of denigration against ham producers</w:t>
      </w:r>
      <w:r w:rsidRPr="00032A99">
        <w:rPr>
          <w:rStyle w:val="Appelnotedebasdep"/>
          <w:rFonts w:ascii="Calibri" w:hAnsi="Calibri" w:cs="Calibri"/>
          <w:sz w:val="22"/>
          <w:szCs w:val="22"/>
        </w:rPr>
        <w:footnoteReference w:id="17"/>
      </w:r>
      <w:r w:rsidRPr="00CF15A7">
        <w:rPr>
          <w:rFonts w:ascii="Calibri" w:hAnsi="Calibri" w:cs="Calibri"/>
          <w:sz w:val="22"/>
          <w:szCs w:val="22"/>
          <w:lang w:val="en-US"/>
        </w:rPr>
        <w:t>. As far as denigration is concerned, it has been known for several years now that a situation of competition between the protagonists is not required,</w:t>
      </w:r>
      <w:r w:rsidRPr="00032A99">
        <w:rPr>
          <w:rStyle w:val="Appelnotedebasdep"/>
          <w:rFonts w:ascii="Calibri" w:hAnsi="Calibri" w:cs="Calibri"/>
          <w:sz w:val="22"/>
          <w:szCs w:val="22"/>
        </w:rPr>
        <w:footnoteReference w:id="18"/>
      </w:r>
      <w:r w:rsidRPr="00CF15A7">
        <w:rPr>
          <w:rFonts w:ascii="Calibri" w:hAnsi="Calibri" w:cs="Calibri"/>
          <w:sz w:val="22"/>
          <w:szCs w:val="22"/>
          <w:lang w:val="en-US"/>
        </w:rPr>
        <w:t xml:space="preserve"> so that the manufacturers implicated by the platform can act in unfair competition against it. But, according to a now well-established case law, this criticism does not constitute a culpable denigration if it is part of a debate of general interest, if it is based on a sufficient factual basis and if its remarks are moderate.  The Court of Cassation has indeed laid down in very clear terms, in the terms of Articles 1240 of the Civil Code and Article 10 of the ECtHR, the following principle: "even in the absence of a situation of direct and effective competition between the persons concerned, the disclosure, by one of them, of information likely to discredit a product marketed by the other constitutes an act of disparagement,  unless the information in question relates to a matter of general interest and is based on a sufficient </w:t>
      </w:r>
      <w:r w:rsidRPr="00CF15A7">
        <w:rPr>
          <w:rFonts w:ascii="Calibri" w:hAnsi="Calibri" w:cs="Calibri"/>
          <w:sz w:val="22"/>
          <w:szCs w:val="22"/>
          <w:lang w:val="en-US"/>
        </w:rPr>
        <w:lastRenderedPageBreak/>
        <w:t>factual basis, and provided that it is expressed to a certain extent".</w:t>
      </w:r>
      <w:r w:rsidRPr="00032A99">
        <w:rPr>
          <w:rStyle w:val="Appelnotedebasdep"/>
          <w:rFonts w:ascii="Calibri" w:hAnsi="Calibri" w:cs="Calibri"/>
          <w:sz w:val="22"/>
          <w:szCs w:val="22"/>
        </w:rPr>
        <w:footnoteReference w:id="19"/>
      </w:r>
      <w:r w:rsidRPr="00CF15A7">
        <w:rPr>
          <w:rFonts w:ascii="Calibri" w:hAnsi="Calibri" w:cs="Calibri"/>
          <w:sz w:val="22"/>
          <w:szCs w:val="22"/>
          <w:lang w:val="en-US"/>
        </w:rPr>
        <w:t xml:space="preserve"> As a result, the judgments convicting Yuka for denigration have all been overturned</w:t>
      </w:r>
      <w:r w:rsidRPr="00032A99">
        <w:rPr>
          <w:rStyle w:val="Appelnotedebasdep"/>
          <w:rFonts w:ascii="Calibri" w:hAnsi="Calibri" w:cs="Calibri"/>
          <w:sz w:val="22"/>
          <w:szCs w:val="22"/>
        </w:rPr>
        <w:footnoteReference w:id="20"/>
      </w:r>
      <w:r w:rsidRPr="00CF15A7">
        <w:rPr>
          <w:rFonts w:ascii="Calibri" w:hAnsi="Calibri" w:cs="Calibri"/>
          <w:sz w:val="22"/>
          <w:szCs w:val="22"/>
          <w:lang w:val="en-US"/>
        </w:rPr>
        <w:t>.</w:t>
      </w:r>
    </w:p>
    <w:p w14:paraId="0BA2C89B" w14:textId="77777777" w:rsidR="00830A58" w:rsidRPr="00CF15A7" w:rsidRDefault="00830A58" w:rsidP="00B27941">
      <w:pPr>
        <w:jc w:val="both"/>
        <w:rPr>
          <w:rFonts w:ascii="Calibri" w:hAnsi="Calibri" w:cs="Calibri"/>
          <w:sz w:val="22"/>
          <w:szCs w:val="22"/>
          <w:lang w:val="en-US"/>
        </w:rPr>
      </w:pPr>
      <w:r w:rsidRPr="00CF15A7">
        <w:rPr>
          <w:rFonts w:ascii="Calibri" w:hAnsi="Calibri" w:cs="Calibri"/>
          <w:sz w:val="22"/>
          <w:szCs w:val="22"/>
          <w:lang w:val="en-US"/>
        </w:rPr>
        <w:t>Finally, the comments must be moderated: "when the information in question relates to a subject of general interest and is based on a sufficient factual basis, this disclosure (by a person of information likely to discredit a product marketed by another person) falls within the scope of the right to freedom of expression, which includes the right to free criticism,  and cannot, therefore, be regarded as wrongful, provided that it is expressed with a certain measure".</w:t>
      </w:r>
      <w:r w:rsidRPr="00032A99">
        <w:rPr>
          <w:rStyle w:val="Appelnotedebasdep"/>
          <w:rFonts w:ascii="Calibri" w:hAnsi="Calibri" w:cs="Calibri"/>
          <w:sz w:val="22"/>
          <w:szCs w:val="22"/>
        </w:rPr>
        <w:footnoteReference w:id="21"/>
      </w:r>
      <w:r w:rsidRPr="00CF15A7">
        <w:rPr>
          <w:rFonts w:ascii="Calibri" w:hAnsi="Calibri" w:cs="Calibri"/>
          <w:sz w:val="22"/>
          <w:szCs w:val="22"/>
          <w:lang w:val="en-US"/>
        </w:rPr>
        <w:t xml:space="preserve"> It is a question of alerting but not of incriminating. For the Court of Appeal of Aix-en-Provence, "the use of the term 'high risk' and the mention of the presence of genotoxic and carcinogenic agents, terms used in particular by the National Agency for Food Safety, cannot be considered as exceeding the measure required in the context of the dissemination of information". However, it acknowledges that "these terms can be challenged scientifically, in particular by taking into account the doses of additives used, the actual consumption of food or any other scientific data", but that "they cannot be considered excessive and even less misleading in view of the documents produced at the hearings; they could only be so if YUKA claimed to have an official and recognized scientific authority, while it presents itself as a company disseminating information for consumers and with an activist vocation." Militant action – the contours of which should be clarified – makes it possible to be affirmative or even to erase doubt about the scientific data, which is nevertheless disputed.</w:t>
      </w:r>
    </w:p>
    <w:p w14:paraId="7EF6A691" w14:textId="77777777" w:rsidR="00830A58" w:rsidRPr="00CF15A7" w:rsidRDefault="00830A58" w:rsidP="00B27941">
      <w:pPr>
        <w:jc w:val="both"/>
        <w:rPr>
          <w:rFonts w:ascii="Calibri" w:hAnsi="Calibri" w:cs="Calibri"/>
          <w:sz w:val="22"/>
          <w:szCs w:val="22"/>
          <w:lang w:val="en-US"/>
        </w:rPr>
      </w:pPr>
    </w:p>
    <w:p w14:paraId="080859BB" w14:textId="67DEB5E4" w:rsidR="006E09AA" w:rsidRPr="00032A99" w:rsidRDefault="006E09AA" w:rsidP="00CD0DA4">
      <w:pPr>
        <w:pStyle w:val="Paragraphedeliste"/>
        <w:numPr>
          <w:ilvl w:val="0"/>
          <w:numId w:val="21"/>
        </w:numPr>
        <w:jc w:val="both"/>
        <w:rPr>
          <w:rFonts w:ascii="Calibri" w:hAnsi="Calibri" w:cs="Calibri"/>
          <w:b/>
          <w:bCs/>
          <w:sz w:val="22"/>
          <w:szCs w:val="22"/>
        </w:rPr>
      </w:pPr>
      <w:proofErr w:type="spellStart"/>
      <w:r w:rsidRPr="00032A99">
        <w:rPr>
          <w:rFonts w:ascii="Calibri" w:hAnsi="Calibri" w:cs="Calibri"/>
          <w:b/>
          <w:bCs/>
          <w:sz w:val="22"/>
          <w:szCs w:val="22"/>
        </w:rPr>
        <w:t>Unfair</w:t>
      </w:r>
      <w:proofErr w:type="spellEnd"/>
      <w:r w:rsidRPr="00032A99">
        <w:rPr>
          <w:rFonts w:ascii="Calibri" w:hAnsi="Calibri" w:cs="Calibri"/>
          <w:b/>
          <w:bCs/>
          <w:sz w:val="22"/>
          <w:szCs w:val="22"/>
        </w:rPr>
        <w:t xml:space="preserve"> </w:t>
      </w:r>
      <w:proofErr w:type="spellStart"/>
      <w:r w:rsidRPr="00032A99">
        <w:rPr>
          <w:rFonts w:ascii="Calibri" w:hAnsi="Calibri" w:cs="Calibri"/>
          <w:b/>
          <w:bCs/>
          <w:sz w:val="22"/>
          <w:szCs w:val="22"/>
        </w:rPr>
        <w:t>competition</w:t>
      </w:r>
      <w:proofErr w:type="spellEnd"/>
      <w:r w:rsidRPr="00032A99">
        <w:rPr>
          <w:rFonts w:ascii="Calibri" w:hAnsi="Calibri" w:cs="Calibri"/>
          <w:b/>
          <w:bCs/>
          <w:sz w:val="22"/>
          <w:szCs w:val="22"/>
        </w:rPr>
        <w:t xml:space="preserve"> for </w:t>
      </w:r>
      <w:proofErr w:type="spellStart"/>
      <w:r w:rsidRPr="00032A99">
        <w:rPr>
          <w:rFonts w:ascii="Calibri" w:hAnsi="Calibri" w:cs="Calibri"/>
          <w:b/>
          <w:bCs/>
          <w:sz w:val="22"/>
          <w:szCs w:val="22"/>
        </w:rPr>
        <w:t>illegal</w:t>
      </w:r>
      <w:proofErr w:type="spellEnd"/>
      <w:r w:rsidRPr="00032A99">
        <w:rPr>
          <w:rFonts w:ascii="Calibri" w:hAnsi="Calibri" w:cs="Calibri"/>
          <w:b/>
          <w:bCs/>
          <w:sz w:val="22"/>
          <w:szCs w:val="22"/>
        </w:rPr>
        <w:t xml:space="preserve"> </w:t>
      </w:r>
      <w:proofErr w:type="spellStart"/>
      <w:r w:rsidRPr="00032A99">
        <w:rPr>
          <w:rFonts w:ascii="Calibri" w:hAnsi="Calibri" w:cs="Calibri"/>
          <w:b/>
          <w:bCs/>
          <w:sz w:val="22"/>
          <w:szCs w:val="22"/>
        </w:rPr>
        <w:t>activity</w:t>
      </w:r>
      <w:proofErr w:type="spellEnd"/>
    </w:p>
    <w:p w14:paraId="1C3CC270" w14:textId="77777777" w:rsidR="00CD0DA4" w:rsidRPr="00032A99" w:rsidRDefault="00CD0DA4" w:rsidP="00CD0DA4">
      <w:pPr>
        <w:pStyle w:val="Paragraphedeliste"/>
        <w:jc w:val="both"/>
        <w:rPr>
          <w:rFonts w:ascii="Calibri" w:hAnsi="Calibri" w:cs="Calibri"/>
          <w:b/>
          <w:bCs/>
          <w:sz w:val="22"/>
          <w:szCs w:val="22"/>
        </w:rPr>
      </w:pPr>
    </w:p>
    <w:p w14:paraId="60B49571" w14:textId="748329B5" w:rsidR="0087290A" w:rsidRPr="00CF15A7" w:rsidRDefault="00CD0DA4" w:rsidP="0087290A">
      <w:pPr>
        <w:jc w:val="both"/>
        <w:rPr>
          <w:rFonts w:ascii="Calibri" w:hAnsi="Calibri" w:cs="Calibri"/>
          <w:b/>
          <w:bCs/>
          <w:i/>
          <w:iCs/>
          <w:sz w:val="22"/>
          <w:szCs w:val="22"/>
          <w:lang w:val="en-US"/>
        </w:rPr>
      </w:pPr>
      <w:r w:rsidRPr="00CF15A7">
        <w:rPr>
          <w:rFonts w:ascii="Calibri" w:hAnsi="Calibri" w:cs="Calibri"/>
          <w:b/>
          <w:bCs/>
          <w:i/>
          <w:iCs/>
          <w:sz w:val="22"/>
          <w:szCs w:val="22"/>
          <w:lang w:val="en-US"/>
        </w:rPr>
        <w:t>Uber Pop case: Court of Cassation, April 9, 2025</w:t>
      </w:r>
      <w:proofErr w:type="gramStart"/>
      <w:r w:rsidRPr="00CF15A7">
        <w:rPr>
          <w:rFonts w:ascii="Calibri" w:hAnsi="Calibri" w:cs="Calibri"/>
          <w:b/>
          <w:bCs/>
          <w:i/>
          <w:iCs/>
          <w:sz w:val="22"/>
          <w:szCs w:val="22"/>
          <w:lang w:val="en-US"/>
        </w:rPr>
        <w:t>, n°</w:t>
      </w:r>
      <w:proofErr w:type="gramEnd"/>
      <w:r w:rsidRPr="00CF15A7">
        <w:rPr>
          <w:rFonts w:ascii="Calibri" w:hAnsi="Calibri" w:cs="Calibri"/>
          <w:b/>
          <w:bCs/>
          <w:i/>
          <w:iCs/>
          <w:sz w:val="22"/>
          <w:szCs w:val="22"/>
          <w:lang w:val="en-US"/>
        </w:rPr>
        <w:t xml:space="preserve">23-22.122 </w:t>
      </w:r>
    </w:p>
    <w:p w14:paraId="4FF764B9" w14:textId="77777777" w:rsidR="00830A58" w:rsidRPr="00CF15A7" w:rsidRDefault="00830A58" w:rsidP="00B27941">
      <w:pPr>
        <w:jc w:val="both"/>
        <w:rPr>
          <w:rFonts w:ascii="Calibri" w:hAnsi="Calibri" w:cs="Calibri"/>
          <w:sz w:val="22"/>
          <w:szCs w:val="22"/>
          <w:lang w:val="en-US"/>
        </w:rPr>
      </w:pPr>
    </w:p>
    <w:p w14:paraId="7BAC6109" w14:textId="3668DA75" w:rsidR="00346379" w:rsidRPr="00CF15A7" w:rsidRDefault="00346379" w:rsidP="00B27941">
      <w:pPr>
        <w:jc w:val="both"/>
        <w:rPr>
          <w:rFonts w:ascii="Calibri" w:hAnsi="Calibri" w:cs="Calibri"/>
          <w:sz w:val="22"/>
          <w:szCs w:val="22"/>
          <w:lang w:val="en-US"/>
        </w:rPr>
      </w:pPr>
      <w:r w:rsidRPr="00CF15A7">
        <w:rPr>
          <w:rFonts w:ascii="Calibri" w:hAnsi="Calibri" w:cs="Calibri"/>
          <w:sz w:val="22"/>
          <w:szCs w:val="22"/>
          <w:lang w:val="en-US"/>
        </w:rPr>
        <w:t>The Court of Cassation recently ruled on unfair competition resulting from the activity of the Uber France platform, which had developed an application allowing individuals to transport people without complying with national regulations in this area.</w:t>
      </w:r>
    </w:p>
    <w:p w14:paraId="1931383A" w14:textId="77777777" w:rsidR="00346379" w:rsidRPr="00CF15A7" w:rsidRDefault="00346379" w:rsidP="00B27941">
      <w:pPr>
        <w:jc w:val="both"/>
        <w:rPr>
          <w:rFonts w:ascii="Calibri" w:hAnsi="Calibri" w:cs="Calibri"/>
          <w:sz w:val="22"/>
          <w:szCs w:val="22"/>
          <w:lang w:val="en-US"/>
        </w:rPr>
      </w:pPr>
    </w:p>
    <w:p w14:paraId="73E6E1FA" w14:textId="707800B8" w:rsidR="00F73AA5" w:rsidRPr="00CF15A7" w:rsidRDefault="00346379" w:rsidP="00F73AA5">
      <w:pPr>
        <w:jc w:val="both"/>
        <w:rPr>
          <w:rFonts w:ascii="Calibri" w:hAnsi="Calibri" w:cs="Calibri"/>
          <w:sz w:val="22"/>
          <w:szCs w:val="22"/>
          <w:lang w:val="en-US"/>
        </w:rPr>
      </w:pPr>
      <w:r w:rsidRPr="00CF15A7">
        <w:rPr>
          <w:rFonts w:ascii="Calibri" w:hAnsi="Calibri" w:cs="Calibri"/>
          <w:sz w:val="22"/>
          <w:szCs w:val="22"/>
          <w:lang w:val="en-US"/>
        </w:rPr>
        <w:t>The Paris Court of Appeal</w:t>
      </w:r>
      <w:r w:rsidRPr="00032A99">
        <w:rPr>
          <w:rStyle w:val="Appelnotedebasdep"/>
          <w:rFonts w:ascii="Calibri" w:hAnsi="Calibri" w:cs="Calibri"/>
          <w:sz w:val="22"/>
          <w:szCs w:val="22"/>
        </w:rPr>
        <w:footnoteReference w:id="22"/>
      </w:r>
      <w:r w:rsidRPr="00CF15A7">
        <w:rPr>
          <w:rFonts w:ascii="Calibri" w:hAnsi="Calibri" w:cs="Calibri"/>
          <w:sz w:val="22"/>
          <w:szCs w:val="22"/>
          <w:lang w:val="en-US"/>
        </w:rPr>
        <w:t xml:space="preserve"> had upheld the action of the taxis and ordered Uber France to compensate the moral damage of the 149 taxi plaintiffs as well as their economic damage assessed </w:t>
      </w:r>
      <w:proofErr w:type="gramStart"/>
      <w:r w:rsidRPr="00CF15A7">
        <w:rPr>
          <w:rFonts w:ascii="Calibri" w:hAnsi="Calibri" w:cs="Calibri"/>
          <w:sz w:val="22"/>
          <w:szCs w:val="22"/>
          <w:lang w:val="en-US"/>
        </w:rPr>
        <w:t>on the basis of</w:t>
      </w:r>
      <w:proofErr w:type="gramEnd"/>
      <w:r w:rsidRPr="00CF15A7">
        <w:rPr>
          <w:rFonts w:ascii="Calibri" w:hAnsi="Calibri" w:cs="Calibri"/>
          <w:sz w:val="22"/>
          <w:szCs w:val="22"/>
          <w:lang w:val="en-US"/>
        </w:rPr>
        <w:t xml:space="preserve"> the costs saved by the service providers benefiting from the platform, i.e. a total of 1,116,484 euros in total. The Court of Cassation</w:t>
      </w:r>
      <w:r w:rsidR="00F73AA5" w:rsidRPr="00032A99">
        <w:rPr>
          <w:rStyle w:val="Appelnotedebasdep"/>
          <w:rFonts w:ascii="Calibri" w:hAnsi="Calibri" w:cs="Calibri"/>
          <w:sz w:val="22"/>
          <w:szCs w:val="22"/>
        </w:rPr>
        <w:footnoteReference w:id="23"/>
      </w:r>
      <w:r w:rsidRPr="00CF15A7">
        <w:rPr>
          <w:rFonts w:ascii="Calibri" w:hAnsi="Calibri" w:cs="Calibri"/>
          <w:sz w:val="22"/>
          <w:szCs w:val="22"/>
          <w:lang w:val="en-US"/>
        </w:rPr>
        <w:t xml:space="preserve"> confirmed the principle of compensation based on the undue advantage obtained by the Platform: "</w:t>
      </w:r>
      <w:r w:rsidR="00F73AA5" w:rsidRPr="00CF15A7">
        <w:rPr>
          <w:rFonts w:ascii="Calibri" w:hAnsi="Calibri" w:cs="Calibri"/>
          <w:i/>
          <w:iCs/>
          <w:sz w:val="22"/>
          <w:szCs w:val="22"/>
          <w:lang w:val="en-US"/>
        </w:rPr>
        <w:t xml:space="preserve">By modulating in proportion to the respective volumes of cases of the parties </w:t>
      </w:r>
      <w:r w:rsidR="00F73AA5" w:rsidRPr="00CF15A7">
        <w:rPr>
          <w:rFonts w:ascii="Calibri" w:hAnsi="Calibri" w:cs="Calibri"/>
          <w:i/>
          <w:iCs/>
          <w:sz w:val="22"/>
          <w:szCs w:val="22"/>
          <w:lang w:val="en-US"/>
        </w:rPr>
        <w:lastRenderedPageBreak/>
        <w:t xml:space="preserve">affected by such acts, this method of assessing damages cannot have the effect of leading to an assessment of the damages due to the victim that would exceed the undue advantage that the perpetrator of these acts has granted himself. </w:t>
      </w:r>
    </w:p>
    <w:p w14:paraId="7B783046" w14:textId="77777777" w:rsidR="00F73AA5" w:rsidRPr="00CF15A7" w:rsidRDefault="00F73AA5" w:rsidP="00F73AA5">
      <w:pPr>
        <w:jc w:val="both"/>
        <w:rPr>
          <w:rFonts w:ascii="Calibri" w:hAnsi="Calibri" w:cs="Calibri"/>
          <w:sz w:val="22"/>
          <w:szCs w:val="22"/>
          <w:lang w:val="en-US"/>
        </w:rPr>
      </w:pPr>
      <w:r w:rsidRPr="00CF15A7">
        <w:rPr>
          <w:rFonts w:ascii="Calibri" w:hAnsi="Calibri" w:cs="Calibri"/>
          <w:i/>
          <w:iCs/>
          <w:sz w:val="22"/>
          <w:szCs w:val="22"/>
          <w:lang w:val="en-US"/>
        </w:rPr>
        <w:t>It aims to facilitate the effective compensation of victims of certain acts of unfair or parasitic competition when they encounter difficulties in proving their damage</w:t>
      </w:r>
      <w:r w:rsidRPr="00CF15A7">
        <w:rPr>
          <w:rFonts w:ascii="Calibri" w:hAnsi="Calibri" w:cs="Calibri"/>
          <w:sz w:val="22"/>
          <w:szCs w:val="22"/>
          <w:lang w:val="en-US"/>
        </w:rPr>
        <w:t>.</w:t>
      </w:r>
    </w:p>
    <w:p w14:paraId="4CE0E264" w14:textId="77777777" w:rsidR="00F73AA5" w:rsidRPr="00CF15A7" w:rsidRDefault="00F73AA5" w:rsidP="00F73AA5">
      <w:pPr>
        <w:jc w:val="both"/>
        <w:rPr>
          <w:rFonts w:ascii="Calibri" w:hAnsi="Calibri" w:cs="Calibri"/>
          <w:sz w:val="22"/>
          <w:szCs w:val="22"/>
          <w:lang w:val="en-US"/>
        </w:rPr>
      </w:pPr>
      <w:r w:rsidRPr="00CF15A7">
        <w:rPr>
          <w:rFonts w:ascii="Calibri" w:hAnsi="Calibri" w:cs="Calibri"/>
          <w:i/>
          <w:iCs/>
          <w:sz w:val="22"/>
          <w:szCs w:val="22"/>
          <w:lang w:val="en-US"/>
        </w:rPr>
        <w:t>It follows that this method is not intended to place the victim in the situation in which he would have found himself if he had resorted to the same unfair methods</w:t>
      </w:r>
      <w:r w:rsidRPr="00CF15A7">
        <w:rPr>
          <w:rFonts w:ascii="Calibri" w:hAnsi="Calibri" w:cs="Calibri"/>
          <w:sz w:val="22"/>
          <w:szCs w:val="22"/>
          <w:lang w:val="en-US"/>
        </w:rPr>
        <w:t>."</w:t>
      </w:r>
    </w:p>
    <w:p w14:paraId="25A8AC24" w14:textId="77777777" w:rsidR="00F73AA5" w:rsidRPr="00CF15A7" w:rsidRDefault="00F73AA5" w:rsidP="00346379">
      <w:pPr>
        <w:tabs>
          <w:tab w:val="num" w:pos="720"/>
        </w:tabs>
        <w:jc w:val="both"/>
        <w:rPr>
          <w:rFonts w:ascii="Calibri" w:hAnsi="Calibri" w:cs="Calibri"/>
          <w:sz w:val="22"/>
          <w:szCs w:val="22"/>
          <w:lang w:val="en-US"/>
        </w:rPr>
      </w:pPr>
    </w:p>
    <w:p w14:paraId="02010613" w14:textId="7F41961E" w:rsidR="00346379" w:rsidRPr="00CF15A7" w:rsidRDefault="00F73AA5" w:rsidP="00F73AA5">
      <w:pPr>
        <w:tabs>
          <w:tab w:val="num" w:pos="720"/>
        </w:tabs>
        <w:jc w:val="both"/>
        <w:rPr>
          <w:rFonts w:ascii="Calibri" w:hAnsi="Calibri" w:cs="Calibri"/>
          <w:sz w:val="22"/>
          <w:szCs w:val="22"/>
          <w:lang w:val="en-US"/>
        </w:rPr>
      </w:pPr>
      <w:r w:rsidRPr="00CF15A7">
        <w:rPr>
          <w:rFonts w:ascii="Calibri" w:hAnsi="Calibri" w:cs="Calibri"/>
          <w:sz w:val="22"/>
          <w:szCs w:val="22"/>
          <w:lang w:val="en-US"/>
        </w:rPr>
        <w:t xml:space="preserve">Nevertheless, the Court brought a major limit for the platform by considering that Uber France having argued the absence of any material damage borne by the taxis, compensation charged to the platform would violate the principle of civil liability requiring compensation for all the damage but nothing but only the damage. The </w:t>
      </w:r>
      <w:proofErr w:type="gramStart"/>
      <w:r w:rsidRPr="00CF15A7">
        <w:rPr>
          <w:rFonts w:ascii="Calibri" w:hAnsi="Calibri" w:cs="Calibri"/>
          <w:sz w:val="22"/>
          <w:szCs w:val="22"/>
          <w:lang w:val="en-US"/>
        </w:rPr>
        <w:t>ground</w:t>
      </w:r>
      <w:proofErr w:type="gramEnd"/>
      <w:r w:rsidRPr="00CF15A7">
        <w:rPr>
          <w:rFonts w:ascii="Calibri" w:hAnsi="Calibri" w:cs="Calibri"/>
          <w:sz w:val="22"/>
          <w:szCs w:val="22"/>
          <w:lang w:val="en-US"/>
        </w:rPr>
        <w:t xml:space="preserve"> based on the damage caused to the </w:t>
      </w:r>
      <w:proofErr w:type="gramStart"/>
      <w:r w:rsidRPr="00CF15A7">
        <w:rPr>
          <w:rFonts w:ascii="Calibri" w:hAnsi="Calibri" w:cs="Calibri"/>
          <w:sz w:val="22"/>
          <w:szCs w:val="22"/>
          <w:lang w:val="en-US"/>
        </w:rPr>
        <w:t>market</w:t>
      </w:r>
      <w:proofErr w:type="gramEnd"/>
      <w:r w:rsidRPr="00CF15A7">
        <w:rPr>
          <w:rFonts w:ascii="Calibri" w:hAnsi="Calibri" w:cs="Calibri"/>
          <w:sz w:val="22"/>
          <w:szCs w:val="22"/>
          <w:lang w:val="en-US"/>
        </w:rPr>
        <w:t xml:space="preserve"> cannot justify compensation for competing operators.</w:t>
      </w:r>
    </w:p>
    <w:p w14:paraId="0DA378BC" w14:textId="77777777" w:rsidR="00346379" w:rsidRPr="00CF15A7" w:rsidRDefault="00346379" w:rsidP="00F73AA5">
      <w:pPr>
        <w:tabs>
          <w:tab w:val="num" w:pos="720"/>
        </w:tabs>
        <w:jc w:val="both"/>
        <w:rPr>
          <w:rFonts w:ascii="Calibri" w:hAnsi="Calibri" w:cs="Calibri"/>
          <w:sz w:val="22"/>
          <w:szCs w:val="22"/>
          <w:lang w:val="en-US"/>
        </w:rPr>
      </w:pPr>
    </w:p>
    <w:p w14:paraId="7A1115F0" w14:textId="3681BF52" w:rsidR="00346379" w:rsidRPr="00CF15A7" w:rsidRDefault="00F73AA5" w:rsidP="00F73AA5">
      <w:pPr>
        <w:tabs>
          <w:tab w:val="num" w:pos="720"/>
        </w:tabs>
        <w:jc w:val="both"/>
        <w:rPr>
          <w:rFonts w:ascii="Calibri" w:hAnsi="Calibri" w:cs="Calibri"/>
          <w:sz w:val="22"/>
          <w:szCs w:val="22"/>
          <w:lang w:val="en-US"/>
        </w:rPr>
      </w:pPr>
      <w:r w:rsidRPr="00CF15A7">
        <w:rPr>
          <w:rFonts w:ascii="Calibri" w:hAnsi="Calibri" w:cs="Calibri"/>
          <w:sz w:val="22"/>
          <w:szCs w:val="22"/>
          <w:lang w:val="en-US"/>
        </w:rPr>
        <w:t>The subjects of liability are therefore numerous and will most certainly give rise to many cases of involvement!</w:t>
      </w:r>
    </w:p>
    <w:p w14:paraId="64F6F947" w14:textId="77777777" w:rsidR="00346379" w:rsidRPr="00CF15A7" w:rsidRDefault="00346379" w:rsidP="00B27941">
      <w:pPr>
        <w:jc w:val="both"/>
        <w:rPr>
          <w:rFonts w:ascii="Calibri" w:hAnsi="Calibri" w:cs="Calibri"/>
          <w:sz w:val="22"/>
          <w:szCs w:val="22"/>
          <w:lang w:val="en-US"/>
        </w:rPr>
      </w:pPr>
    </w:p>
    <w:p w14:paraId="04A62DAE" w14:textId="77777777" w:rsidR="00DC4387" w:rsidRPr="00DC4387" w:rsidRDefault="00DC4387" w:rsidP="00A21FE0">
      <w:pPr>
        <w:jc w:val="both"/>
        <w:rPr>
          <w:rFonts w:ascii="Calibri" w:hAnsi="Calibri" w:cs="Calibri"/>
          <w:b/>
          <w:bCs/>
          <w:i/>
          <w:iCs/>
          <w:sz w:val="22"/>
          <w:szCs w:val="22"/>
          <w:lang w:val="en-US"/>
        </w:rPr>
      </w:pPr>
      <w:r w:rsidRPr="00DC4387">
        <w:rPr>
          <w:rFonts w:ascii="Calibri" w:hAnsi="Calibri" w:cs="Calibri"/>
          <w:b/>
          <w:bCs/>
          <w:i/>
          <w:iCs/>
          <w:sz w:val="22"/>
          <w:szCs w:val="22"/>
          <w:lang w:val="en-US"/>
        </w:rPr>
        <w:t xml:space="preserve">Affaire </w:t>
      </w:r>
      <w:proofErr w:type="spellStart"/>
      <w:r w:rsidRPr="00DC4387">
        <w:rPr>
          <w:rFonts w:ascii="Calibri" w:hAnsi="Calibri" w:cs="Calibri"/>
          <w:b/>
          <w:bCs/>
          <w:i/>
          <w:iCs/>
          <w:sz w:val="22"/>
          <w:szCs w:val="22"/>
          <w:lang w:val="en-US"/>
        </w:rPr>
        <w:t>Transopco</w:t>
      </w:r>
      <w:proofErr w:type="spellEnd"/>
      <w:r w:rsidRPr="00DC4387">
        <w:rPr>
          <w:rFonts w:ascii="Calibri" w:hAnsi="Calibri" w:cs="Calibri"/>
          <w:b/>
          <w:bCs/>
          <w:i/>
          <w:iCs/>
          <w:sz w:val="22"/>
          <w:szCs w:val="22"/>
          <w:lang w:val="en-US"/>
        </w:rPr>
        <w:t xml:space="preserve"> Cass. Com 25 June 2025 n° 23-22.430</w:t>
      </w:r>
    </w:p>
    <w:p w14:paraId="763310B3" w14:textId="77777777" w:rsidR="00DC4387" w:rsidRPr="00DC4387" w:rsidRDefault="00DC4387" w:rsidP="00A21FE0">
      <w:pPr>
        <w:jc w:val="both"/>
        <w:rPr>
          <w:rFonts w:ascii="Calibri" w:hAnsi="Calibri" w:cs="Calibri"/>
          <w:b/>
          <w:bCs/>
          <w:i/>
          <w:iCs/>
          <w:sz w:val="22"/>
          <w:szCs w:val="22"/>
          <w:lang w:val="en-US"/>
        </w:rPr>
      </w:pPr>
    </w:p>
    <w:p w14:paraId="20148E7A" w14:textId="11BE1BEE" w:rsidR="00DC4387" w:rsidRPr="00DC4387" w:rsidRDefault="000C2042" w:rsidP="00A21FE0">
      <w:pPr>
        <w:jc w:val="both"/>
        <w:rPr>
          <w:rFonts w:ascii="Calibri" w:hAnsi="Calibri" w:cs="Calibri"/>
          <w:sz w:val="22"/>
          <w:szCs w:val="22"/>
          <w:lang w:val="en-US"/>
        </w:rPr>
      </w:pPr>
      <w:proofErr w:type="spellStart"/>
      <w:proofErr w:type="gramStart"/>
      <w:r>
        <w:rPr>
          <w:rFonts w:ascii="Calibri" w:hAnsi="Calibri" w:cs="Calibri"/>
          <w:sz w:val="22"/>
          <w:szCs w:val="22"/>
          <w:lang w:val="en-US"/>
        </w:rPr>
        <w:t>Transopco</w:t>
      </w:r>
      <w:proofErr w:type="spellEnd"/>
      <w:proofErr w:type="gramEnd"/>
      <w:r>
        <w:rPr>
          <w:rFonts w:ascii="Calibri" w:hAnsi="Calibri" w:cs="Calibri"/>
          <w:sz w:val="22"/>
          <w:szCs w:val="22"/>
          <w:lang w:val="en-US"/>
        </w:rPr>
        <w:t xml:space="preserve"> a</w:t>
      </w:r>
      <w:r w:rsidR="00DC4387" w:rsidRPr="00DC4387">
        <w:rPr>
          <w:rFonts w:ascii="Calibri" w:hAnsi="Calibri" w:cs="Calibri"/>
          <w:sz w:val="22"/>
          <w:szCs w:val="22"/>
          <w:lang w:val="en-US"/>
        </w:rPr>
        <w:t xml:space="preserve"> </w:t>
      </w:r>
      <w:r>
        <w:rPr>
          <w:rFonts w:ascii="Calibri" w:hAnsi="Calibri" w:cs="Calibri"/>
          <w:sz w:val="22"/>
          <w:szCs w:val="22"/>
          <w:lang w:val="en-US"/>
        </w:rPr>
        <w:t>VTC driver</w:t>
      </w:r>
      <w:r w:rsidR="00DC4387" w:rsidRPr="00DC4387">
        <w:rPr>
          <w:rFonts w:ascii="Calibri" w:hAnsi="Calibri" w:cs="Calibri"/>
          <w:sz w:val="22"/>
          <w:szCs w:val="22"/>
          <w:lang w:val="en-US"/>
        </w:rPr>
        <w:t xml:space="preserve"> </w:t>
      </w:r>
      <w:proofErr w:type="gramStart"/>
      <w:r w:rsidR="00DC4387" w:rsidRPr="00DC4387">
        <w:rPr>
          <w:rFonts w:ascii="Calibri" w:hAnsi="Calibri" w:cs="Calibri"/>
          <w:sz w:val="22"/>
          <w:szCs w:val="22"/>
          <w:lang w:val="en-US"/>
        </w:rPr>
        <w:t>center</w:t>
      </w:r>
      <w:proofErr w:type="gramEnd"/>
      <w:r w:rsidR="00DC4387" w:rsidRPr="00DC4387">
        <w:rPr>
          <w:rFonts w:ascii="Calibri" w:hAnsi="Calibri" w:cs="Calibri"/>
          <w:sz w:val="22"/>
          <w:szCs w:val="22"/>
          <w:lang w:val="en-US"/>
        </w:rPr>
        <w:t xml:space="preserve"> offered its services to connect ride-hailing drivers </w:t>
      </w:r>
      <w:r>
        <w:rPr>
          <w:rFonts w:ascii="Calibri" w:hAnsi="Calibri" w:cs="Calibri"/>
          <w:sz w:val="22"/>
          <w:szCs w:val="22"/>
          <w:lang w:val="en-US"/>
        </w:rPr>
        <w:t>to</w:t>
      </w:r>
      <w:r w:rsidR="00DC4387" w:rsidRPr="00DC4387">
        <w:rPr>
          <w:rFonts w:ascii="Calibri" w:hAnsi="Calibri" w:cs="Calibri"/>
          <w:sz w:val="22"/>
          <w:szCs w:val="22"/>
          <w:lang w:val="en-US"/>
        </w:rPr>
        <w:t xml:space="preserve"> customers, through a website and a smartphone application.  Arguing that </w:t>
      </w:r>
      <w:proofErr w:type="spellStart"/>
      <w:r w:rsidR="00DC4387" w:rsidRPr="00DC4387">
        <w:rPr>
          <w:rFonts w:ascii="Calibri" w:hAnsi="Calibri" w:cs="Calibri"/>
          <w:sz w:val="22"/>
          <w:szCs w:val="22"/>
          <w:lang w:val="en-US"/>
        </w:rPr>
        <w:t>Transopco</w:t>
      </w:r>
      <w:proofErr w:type="spellEnd"/>
      <w:r w:rsidR="00DC4387" w:rsidRPr="00DC4387">
        <w:rPr>
          <w:rFonts w:ascii="Calibri" w:hAnsi="Calibri" w:cs="Calibri"/>
          <w:sz w:val="22"/>
          <w:szCs w:val="22"/>
          <w:lang w:val="en-US"/>
        </w:rPr>
        <w:t xml:space="preserve">, by failing to comply with various laws and regulations in the field of transport law and </w:t>
      </w:r>
      <w:proofErr w:type="spellStart"/>
      <w:r w:rsidR="00DC4387" w:rsidRPr="00DC4387">
        <w:rPr>
          <w:rFonts w:ascii="Calibri" w:hAnsi="Calibri" w:cs="Calibri"/>
          <w:sz w:val="22"/>
          <w:szCs w:val="22"/>
          <w:lang w:val="en-US"/>
        </w:rPr>
        <w:t>labour</w:t>
      </w:r>
      <w:proofErr w:type="spellEnd"/>
      <w:r w:rsidR="00DC4387" w:rsidRPr="00DC4387">
        <w:rPr>
          <w:rFonts w:ascii="Calibri" w:hAnsi="Calibri" w:cs="Calibri"/>
          <w:sz w:val="22"/>
          <w:szCs w:val="22"/>
          <w:lang w:val="en-US"/>
        </w:rPr>
        <w:t xml:space="preserve"> law, was committing acts constituting unfair competition</w:t>
      </w:r>
      <w:r>
        <w:rPr>
          <w:rFonts w:ascii="Calibri" w:hAnsi="Calibri" w:cs="Calibri"/>
          <w:sz w:val="22"/>
          <w:szCs w:val="22"/>
          <w:lang w:val="en-US"/>
        </w:rPr>
        <w:t xml:space="preserve">, </w:t>
      </w:r>
      <w:proofErr w:type="spellStart"/>
      <w:r w:rsidR="00DC4387" w:rsidRPr="00DC4387">
        <w:rPr>
          <w:rFonts w:ascii="Calibri" w:hAnsi="Calibri" w:cs="Calibri"/>
          <w:sz w:val="22"/>
          <w:szCs w:val="22"/>
          <w:lang w:val="en-US"/>
        </w:rPr>
        <w:t>Viacab</w:t>
      </w:r>
      <w:proofErr w:type="spellEnd"/>
      <w:r w:rsidR="00DC4387" w:rsidRPr="00DC4387">
        <w:rPr>
          <w:rFonts w:ascii="Calibri" w:hAnsi="Calibri" w:cs="Calibri"/>
          <w:sz w:val="22"/>
          <w:szCs w:val="22"/>
          <w:lang w:val="en-US"/>
        </w:rPr>
        <w:t xml:space="preserve">, which operates a taxi site and a VTC site, sued it for the purpose of putting an end to these practices and compensating it for its damage. </w:t>
      </w:r>
    </w:p>
    <w:p w14:paraId="4FAAA414" w14:textId="77777777" w:rsidR="00DC4387" w:rsidRPr="00DC4387" w:rsidRDefault="00DC4387" w:rsidP="00A21FE0">
      <w:pPr>
        <w:jc w:val="both"/>
        <w:rPr>
          <w:rFonts w:ascii="Calibri" w:hAnsi="Calibri" w:cs="Calibri"/>
          <w:sz w:val="22"/>
          <w:szCs w:val="22"/>
          <w:lang w:val="en-US"/>
        </w:rPr>
      </w:pPr>
    </w:p>
    <w:p w14:paraId="60657139" w14:textId="25EC9FB4" w:rsidR="00DC4387" w:rsidRPr="00DC4387" w:rsidRDefault="00DC4387" w:rsidP="00A21FE0">
      <w:pPr>
        <w:jc w:val="both"/>
        <w:rPr>
          <w:rFonts w:ascii="Calibri" w:hAnsi="Calibri" w:cs="Calibri"/>
          <w:sz w:val="22"/>
          <w:szCs w:val="22"/>
          <w:lang w:val="en-US"/>
        </w:rPr>
      </w:pPr>
      <w:r w:rsidRPr="00DC4387">
        <w:rPr>
          <w:rFonts w:ascii="Calibri" w:hAnsi="Calibri" w:cs="Calibri"/>
          <w:sz w:val="22"/>
          <w:szCs w:val="22"/>
          <w:lang w:val="en-US"/>
        </w:rPr>
        <w:t xml:space="preserve">The Court of Cassation approves the judges of the Paris Court of Appeal who analyzed in detail the operation of the platform to find that </w:t>
      </w:r>
      <w:proofErr w:type="spellStart"/>
      <w:r w:rsidRPr="00DC4387">
        <w:rPr>
          <w:rFonts w:ascii="Calibri" w:hAnsi="Calibri" w:cs="Calibri"/>
          <w:sz w:val="22"/>
          <w:szCs w:val="22"/>
          <w:lang w:val="en-US"/>
        </w:rPr>
        <w:t>Transopco</w:t>
      </w:r>
      <w:proofErr w:type="spellEnd"/>
      <w:r w:rsidRPr="00DC4387">
        <w:rPr>
          <w:rFonts w:ascii="Calibri" w:hAnsi="Calibri" w:cs="Calibri"/>
          <w:sz w:val="22"/>
          <w:szCs w:val="22"/>
          <w:lang w:val="en-US"/>
        </w:rPr>
        <w:t xml:space="preserve"> allowed VTCs to carry out an electronic "patrol" (parking and traffic on the public highway in search of customers) prohibited to VTCs. </w:t>
      </w:r>
      <w:proofErr w:type="spellStart"/>
      <w:proofErr w:type="gramStart"/>
      <w:r w:rsidR="0035448F">
        <w:rPr>
          <w:rFonts w:ascii="Calibri" w:hAnsi="Calibri" w:cs="Calibri"/>
          <w:sz w:val="22"/>
          <w:szCs w:val="22"/>
          <w:lang w:val="en-US"/>
        </w:rPr>
        <w:t>Transopco</w:t>
      </w:r>
      <w:proofErr w:type="spellEnd"/>
      <w:r w:rsidR="0035448F">
        <w:rPr>
          <w:rFonts w:ascii="Calibri" w:hAnsi="Calibri" w:cs="Calibri"/>
          <w:sz w:val="22"/>
          <w:szCs w:val="22"/>
          <w:lang w:val="en-US"/>
        </w:rPr>
        <w:t xml:space="preserve"> </w:t>
      </w:r>
      <w:r w:rsidRPr="00DC4387">
        <w:rPr>
          <w:rFonts w:ascii="Calibri" w:hAnsi="Calibri" w:cs="Calibri"/>
          <w:sz w:val="22"/>
          <w:szCs w:val="22"/>
          <w:lang w:val="en-US"/>
        </w:rPr>
        <w:t xml:space="preserve"> </w:t>
      </w:r>
      <w:proofErr w:type="spellStart"/>
      <w:r w:rsidRPr="00DC4387">
        <w:rPr>
          <w:rFonts w:ascii="Calibri" w:hAnsi="Calibri" w:cs="Calibri"/>
          <w:sz w:val="22"/>
          <w:szCs w:val="22"/>
          <w:lang w:val="en-US"/>
        </w:rPr>
        <w:t>criticised</w:t>
      </w:r>
      <w:proofErr w:type="spellEnd"/>
      <w:proofErr w:type="gramEnd"/>
      <w:r w:rsidRPr="00DC4387">
        <w:rPr>
          <w:rFonts w:ascii="Calibri" w:hAnsi="Calibri" w:cs="Calibri"/>
          <w:sz w:val="22"/>
          <w:szCs w:val="22"/>
          <w:lang w:val="en-US"/>
        </w:rPr>
        <w:t xml:space="preserve"> the judges for not having checked whether the platform made it possible to select drivers</w:t>
      </w:r>
      <w:r w:rsidR="0035448F">
        <w:rPr>
          <w:rFonts w:ascii="Calibri" w:hAnsi="Calibri" w:cs="Calibri"/>
          <w:sz w:val="22"/>
          <w:szCs w:val="22"/>
          <w:lang w:val="en-US"/>
        </w:rPr>
        <w:t>. This argument is</w:t>
      </w:r>
      <w:r w:rsidRPr="00DC4387">
        <w:rPr>
          <w:rFonts w:ascii="Calibri" w:hAnsi="Calibri" w:cs="Calibri"/>
          <w:sz w:val="22"/>
          <w:szCs w:val="22"/>
          <w:lang w:val="en-US"/>
        </w:rPr>
        <w:t xml:space="preserve"> rejected, the Court retaining the electronic device allowing to know, before the order and in real time, the supply of vehicles was reserved for taxis. The activity is therefore </w:t>
      </w:r>
      <w:proofErr w:type="gramStart"/>
      <w:r w:rsidRPr="00DC4387">
        <w:rPr>
          <w:rFonts w:ascii="Calibri" w:hAnsi="Calibri" w:cs="Calibri"/>
          <w:sz w:val="22"/>
          <w:szCs w:val="22"/>
          <w:lang w:val="en-US"/>
        </w:rPr>
        <w:t>unfair</w:t>
      </w:r>
      <w:proofErr w:type="gramEnd"/>
      <w:r w:rsidRPr="00DC4387">
        <w:rPr>
          <w:rFonts w:ascii="Calibri" w:hAnsi="Calibri" w:cs="Calibri"/>
          <w:sz w:val="22"/>
          <w:szCs w:val="22"/>
          <w:lang w:val="en-US"/>
        </w:rPr>
        <w:t xml:space="preserve"> and the competitor is entitled to seek compensation for its damage.</w:t>
      </w:r>
    </w:p>
    <w:p w14:paraId="2EB58F5E" w14:textId="77777777" w:rsidR="00DC4387" w:rsidRPr="00DC4387" w:rsidRDefault="00DC4387" w:rsidP="00A21FE0">
      <w:pPr>
        <w:jc w:val="both"/>
        <w:rPr>
          <w:rFonts w:ascii="Calibri" w:hAnsi="Calibri" w:cs="Calibri"/>
          <w:sz w:val="22"/>
          <w:szCs w:val="22"/>
          <w:lang w:val="en-US"/>
        </w:rPr>
      </w:pPr>
    </w:p>
    <w:p w14:paraId="0649E610" w14:textId="3811424B" w:rsidR="00DC4387" w:rsidRPr="00DC4387" w:rsidRDefault="00DC4387" w:rsidP="00A21FE0">
      <w:pPr>
        <w:jc w:val="both"/>
        <w:rPr>
          <w:rFonts w:ascii="Calibri" w:hAnsi="Calibri" w:cs="Calibri"/>
          <w:sz w:val="22"/>
          <w:szCs w:val="22"/>
          <w:lang w:val="en-US"/>
        </w:rPr>
      </w:pPr>
      <w:r w:rsidRPr="00DC4387">
        <w:rPr>
          <w:rFonts w:ascii="Calibri" w:hAnsi="Calibri" w:cs="Calibri"/>
          <w:sz w:val="22"/>
          <w:szCs w:val="22"/>
          <w:lang w:val="en-US"/>
        </w:rPr>
        <w:t xml:space="preserve">The </w:t>
      </w:r>
      <w:r w:rsidR="0035448F">
        <w:rPr>
          <w:rFonts w:ascii="Calibri" w:hAnsi="Calibri" w:cs="Calibri"/>
          <w:sz w:val="22"/>
          <w:szCs w:val="22"/>
          <w:lang w:val="en-US"/>
        </w:rPr>
        <w:t xml:space="preserve">analysis </w:t>
      </w:r>
      <w:r w:rsidRPr="00DC4387">
        <w:rPr>
          <w:rFonts w:ascii="Calibri" w:hAnsi="Calibri" w:cs="Calibri"/>
          <w:sz w:val="22"/>
          <w:szCs w:val="22"/>
          <w:lang w:val="en-US"/>
        </w:rPr>
        <w:t xml:space="preserve">for non-compliance with </w:t>
      </w:r>
      <w:proofErr w:type="spellStart"/>
      <w:r w:rsidRPr="00DC4387">
        <w:rPr>
          <w:rFonts w:ascii="Calibri" w:hAnsi="Calibri" w:cs="Calibri"/>
          <w:sz w:val="22"/>
          <w:szCs w:val="22"/>
          <w:lang w:val="en-US"/>
        </w:rPr>
        <w:t>labour</w:t>
      </w:r>
      <w:proofErr w:type="spellEnd"/>
      <w:r w:rsidRPr="00DC4387">
        <w:rPr>
          <w:rFonts w:ascii="Calibri" w:hAnsi="Calibri" w:cs="Calibri"/>
          <w:sz w:val="22"/>
          <w:szCs w:val="22"/>
          <w:lang w:val="en-US"/>
        </w:rPr>
        <w:t xml:space="preserve"> law </w:t>
      </w:r>
      <w:r w:rsidR="0035448F">
        <w:rPr>
          <w:rFonts w:ascii="Calibri" w:hAnsi="Calibri" w:cs="Calibri"/>
          <w:sz w:val="22"/>
          <w:szCs w:val="22"/>
          <w:lang w:val="en-US"/>
        </w:rPr>
        <w:t>was based on</w:t>
      </w:r>
      <w:r w:rsidRPr="00DC4387">
        <w:rPr>
          <w:rFonts w:ascii="Calibri" w:hAnsi="Calibri" w:cs="Calibri"/>
          <w:sz w:val="22"/>
          <w:szCs w:val="22"/>
          <w:lang w:val="en-US"/>
        </w:rPr>
        <w:t xml:space="preserve"> the contractual conditions with VTCs </w:t>
      </w:r>
      <w:proofErr w:type="gramStart"/>
      <w:r w:rsidR="0035448F">
        <w:rPr>
          <w:rFonts w:ascii="Calibri" w:hAnsi="Calibri" w:cs="Calibri"/>
          <w:sz w:val="22"/>
          <w:szCs w:val="22"/>
          <w:lang w:val="en-US"/>
        </w:rPr>
        <w:t xml:space="preserve">and  </w:t>
      </w:r>
      <w:r w:rsidRPr="00DC4387">
        <w:rPr>
          <w:rFonts w:ascii="Calibri" w:hAnsi="Calibri" w:cs="Calibri"/>
          <w:sz w:val="22"/>
          <w:szCs w:val="22"/>
          <w:lang w:val="en-US"/>
        </w:rPr>
        <w:t>conferred</w:t>
      </w:r>
      <w:proofErr w:type="gramEnd"/>
      <w:r w:rsidRPr="00DC4387">
        <w:rPr>
          <w:rFonts w:ascii="Calibri" w:hAnsi="Calibri" w:cs="Calibri"/>
          <w:sz w:val="22"/>
          <w:szCs w:val="22"/>
          <w:lang w:val="en-US"/>
        </w:rPr>
        <w:t xml:space="preserve"> a power of subordination of the platform on the drivers. To reach this conclusion, the Supreme Court validated the Court of Appeal's analysis, which noted that the </w:t>
      </w:r>
      <w:proofErr w:type="gramStart"/>
      <w:r w:rsidRPr="00DC4387">
        <w:rPr>
          <w:rFonts w:ascii="Calibri" w:hAnsi="Calibri" w:cs="Calibri"/>
          <w:sz w:val="22"/>
          <w:szCs w:val="22"/>
          <w:lang w:val="en-US"/>
        </w:rPr>
        <w:t>platform</w:t>
      </w:r>
      <w:r w:rsidR="000C2042">
        <w:rPr>
          <w:rFonts w:ascii="Calibri" w:hAnsi="Calibri" w:cs="Calibri"/>
          <w:sz w:val="22"/>
          <w:szCs w:val="22"/>
          <w:lang w:val="en-US"/>
        </w:rPr>
        <w:t xml:space="preserve"> </w:t>
      </w:r>
      <w:r w:rsidRPr="00DC4387">
        <w:rPr>
          <w:rFonts w:ascii="Calibri" w:hAnsi="Calibri" w:cs="Calibri"/>
          <w:sz w:val="22"/>
          <w:szCs w:val="22"/>
          <w:lang w:val="en-US"/>
        </w:rPr>
        <w:t>:</w:t>
      </w:r>
      <w:proofErr w:type="gramEnd"/>
    </w:p>
    <w:p w14:paraId="5C0BB047" w14:textId="1EBF57B4" w:rsidR="00DC4387" w:rsidRPr="00DC4387" w:rsidRDefault="00DC4387" w:rsidP="000C2042">
      <w:pPr>
        <w:pStyle w:val="Paragraphedeliste"/>
        <w:numPr>
          <w:ilvl w:val="0"/>
          <w:numId w:val="26"/>
        </w:numPr>
        <w:jc w:val="both"/>
        <w:rPr>
          <w:rFonts w:ascii="Calibri" w:hAnsi="Calibri" w:cs="Calibri"/>
          <w:sz w:val="22"/>
          <w:szCs w:val="22"/>
          <w:lang w:val="en-US"/>
        </w:rPr>
      </w:pPr>
      <w:r w:rsidRPr="00DC4387">
        <w:rPr>
          <w:rFonts w:ascii="Calibri" w:hAnsi="Calibri" w:cs="Calibri"/>
          <w:sz w:val="22"/>
          <w:szCs w:val="22"/>
          <w:lang w:val="en-US"/>
        </w:rPr>
        <w:t xml:space="preserve">require immediate availability of drivers once </w:t>
      </w:r>
      <w:proofErr w:type="gramStart"/>
      <w:r w:rsidRPr="00DC4387">
        <w:rPr>
          <w:rFonts w:ascii="Calibri" w:hAnsi="Calibri" w:cs="Calibri"/>
          <w:sz w:val="22"/>
          <w:szCs w:val="22"/>
          <w:lang w:val="en-US"/>
        </w:rPr>
        <w:t>connected;</w:t>
      </w:r>
      <w:proofErr w:type="gramEnd"/>
    </w:p>
    <w:p w14:paraId="47768409" w14:textId="3180E8AD" w:rsidR="00DC4387" w:rsidRPr="00DC4387" w:rsidRDefault="00DC4387" w:rsidP="000C2042">
      <w:pPr>
        <w:pStyle w:val="Paragraphedeliste"/>
        <w:numPr>
          <w:ilvl w:val="0"/>
          <w:numId w:val="26"/>
        </w:numPr>
        <w:jc w:val="both"/>
        <w:rPr>
          <w:rFonts w:ascii="Calibri" w:hAnsi="Calibri" w:cs="Calibri"/>
          <w:sz w:val="22"/>
          <w:szCs w:val="22"/>
          <w:lang w:val="en-US"/>
        </w:rPr>
      </w:pPr>
      <w:r w:rsidRPr="00DC4387">
        <w:rPr>
          <w:rFonts w:ascii="Calibri" w:hAnsi="Calibri" w:cs="Calibri"/>
          <w:sz w:val="22"/>
          <w:szCs w:val="22"/>
          <w:lang w:val="en-US"/>
        </w:rPr>
        <w:t>sen</w:t>
      </w:r>
      <w:r w:rsidR="0035448F">
        <w:rPr>
          <w:rFonts w:ascii="Calibri" w:hAnsi="Calibri" w:cs="Calibri"/>
          <w:sz w:val="22"/>
          <w:szCs w:val="22"/>
          <w:lang w:val="en-US"/>
        </w:rPr>
        <w:t>d</w:t>
      </w:r>
      <w:r w:rsidRPr="00DC4387">
        <w:rPr>
          <w:rFonts w:ascii="Calibri" w:hAnsi="Calibri" w:cs="Calibri"/>
          <w:sz w:val="22"/>
          <w:szCs w:val="22"/>
          <w:lang w:val="en-US"/>
        </w:rPr>
        <w:t xml:space="preserve"> a ride order to the drivers using the geolocation </w:t>
      </w:r>
      <w:proofErr w:type="gramStart"/>
      <w:r w:rsidRPr="00DC4387">
        <w:rPr>
          <w:rFonts w:ascii="Calibri" w:hAnsi="Calibri" w:cs="Calibri"/>
          <w:sz w:val="22"/>
          <w:szCs w:val="22"/>
          <w:lang w:val="en-US"/>
        </w:rPr>
        <w:t>system;</w:t>
      </w:r>
      <w:proofErr w:type="gramEnd"/>
    </w:p>
    <w:p w14:paraId="28B42ADB" w14:textId="77777777" w:rsidR="00DC4387" w:rsidRPr="00DC4387" w:rsidRDefault="00DC4387" w:rsidP="000C2042">
      <w:pPr>
        <w:pStyle w:val="Paragraphedeliste"/>
        <w:numPr>
          <w:ilvl w:val="0"/>
          <w:numId w:val="26"/>
        </w:numPr>
        <w:jc w:val="both"/>
        <w:rPr>
          <w:rFonts w:ascii="Calibri" w:hAnsi="Calibri" w:cs="Calibri"/>
          <w:sz w:val="22"/>
          <w:szCs w:val="22"/>
          <w:lang w:val="en-US"/>
        </w:rPr>
      </w:pPr>
      <w:r w:rsidRPr="00DC4387">
        <w:rPr>
          <w:rFonts w:ascii="Calibri" w:hAnsi="Calibri" w:cs="Calibri"/>
          <w:sz w:val="22"/>
          <w:szCs w:val="22"/>
          <w:lang w:val="en-US"/>
        </w:rPr>
        <w:t xml:space="preserve">set rates unilaterally set by the </w:t>
      </w:r>
      <w:proofErr w:type="gramStart"/>
      <w:r w:rsidRPr="00DC4387">
        <w:rPr>
          <w:rFonts w:ascii="Calibri" w:hAnsi="Calibri" w:cs="Calibri"/>
          <w:sz w:val="22"/>
          <w:szCs w:val="22"/>
          <w:lang w:val="en-US"/>
        </w:rPr>
        <w:t>platform;</w:t>
      </w:r>
      <w:proofErr w:type="gramEnd"/>
    </w:p>
    <w:p w14:paraId="22DCE861" w14:textId="396B0C4A" w:rsidR="00DC4387" w:rsidRPr="00DC4387" w:rsidRDefault="00DC4387" w:rsidP="000C2042">
      <w:pPr>
        <w:pStyle w:val="Paragraphedeliste"/>
        <w:numPr>
          <w:ilvl w:val="0"/>
          <w:numId w:val="26"/>
        </w:numPr>
        <w:jc w:val="both"/>
        <w:rPr>
          <w:rFonts w:ascii="Calibri" w:hAnsi="Calibri" w:cs="Calibri"/>
          <w:sz w:val="22"/>
          <w:szCs w:val="22"/>
          <w:lang w:val="en-US"/>
        </w:rPr>
      </w:pPr>
      <w:r w:rsidRPr="00DC4387">
        <w:rPr>
          <w:rFonts w:ascii="Calibri" w:hAnsi="Calibri" w:cs="Calibri"/>
          <w:sz w:val="22"/>
          <w:szCs w:val="22"/>
          <w:lang w:val="en-US"/>
        </w:rPr>
        <w:t xml:space="preserve">provide a financial incentive to run on time slots defined by the </w:t>
      </w:r>
      <w:proofErr w:type="gramStart"/>
      <w:r w:rsidRPr="00DC4387">
        <w:rPr>
          <w:rFonts w:ascii="Calibri" w:hAnsi="Calibri" w:cs="Calibri"/>
          <w:sz w:val="22"/>
          <w:szCs w:val="22"/>
          <w:lang w:val="en-US"/>
        </w:rPr>
        <w:t>platform;</w:t>
      </w:r>
      <w:proofErr w:type="gramEnd"/>
    </w:p>
    <w:p w14:paraId="0FCB9C65" w14:textId="35732E2D" w:rsidR="00DC4387" w:rsidRPr="00DC4387" w:rsidRDefault="00DC4387" w:rsidP="000C2042">
      <w:pPr>
        <w:pStyle w:val="Paragraphedeliste"/>
        <w:numPr>
          <w:ilvl w:val="0"/>
          <w:numId w:val="26"/>
        </w:numPr>
        <w:jc w:val="both"/>
        <w:rPr>
          <w:rFonts w:ascii="Calibri" w:hAnsi="Calibri" w:cs="Calibri"/>
          <w:sz w:val="22"/>
          <w:szCs w:val="22"/>
          <w:lang w:val="en-US"/>
        </w:rPr>
      </w:pPr>
      <w:r w:rsidRPr="00DC4387">
        <w:rPr>
          <w:rFonts w:ascii="Calibri" w:hAnsi="Calibri" w:cs="Calibri"/>
          <w:sz w:val="22"/>
          <w:szCs w:val="22"/>
          <w:lang w:val="en-US"/>
        </w:rPr>
        <w:t>forb</w:t>
      </w:r>
      <w:r w:rsidR="0035448F">
        <w:rPr>
          <w:rFonts w:ascii="Calibri" w:hAnsi="Calibri" w:cs="Calibri"/>
          <w:sz w:val="22"/>
          <w:szCs w:val="22"/>
          <w:lang w:val="en-US"/>
        </w:rPr>
        <w:t>id</w:t>
      </w:r>
      <w:r w:rsidRPr="00DC4387">
        <w:rPr>
          <w:rFonts w:ascii="Calibri" w:hAnsi="Calibri" w:cs="Calibri"/>
          <w:sz w:val="22"/>
          <w:szCs w:val="22"/>
          <w:lang w:val="en-US"/>
        </w:rPr>
        <w:t xml:space="preserve"> the drivers to </w:t>
      </w:r>
      <w:proofErr w:type="gramStart"/>
      <w:r w:rsidRPr="00DC4387">
        <w:rPr>
          <w:rFonts w:ascii="Calibri" w:hAnsi="Calibri" w:cs="Calibri"/>
          <w:sz w:val="22"/>
          <w:szCs w:val="22"/>
          <w:lang w:val="en-US"/>
        </w:rPr>
        <w:t>enter into</w:t>
      </w:r>
      <w:proofErr w:type="gramEnd"/>
      <w:r w:rsidRPr="00DC4387">
        <w:rPr>
          <w:rFonts w:ascii="Calibri" w:hAnsi="Calibri" w:cs="Calibri"/>
          <w:sz w:val="22"/>
          <w:szCs w:val="22"/>
          <w:lang w:val="en-US"/>
        </w:rPr>
        <w:t xml:space="preserve"> personal and direct relations with </w:t>
      </w:r>
      <w:proofErr w:type="gramStart"/>
      <w:r w:rsidRPr="00DC4387">
        <w:rPr>
          <w:rFonts w:ascii="Calibri" w:hAnsi="Calibri" w:cs="Calibri"/>
          <w:sz w:val="22"/>
          <w:szCs w:val="22"/>
          <w:lang w:val="en-US"/>
        </w:rPr>
        <w:t>customers;</w:t>
      </w:r>
      <w:proofErr w:type="gramEnd"/>
    </w:p>
    <w:p w14:paraId="113B894A" w14:textId="420E72A4" w:rsidR="00DC4387" w:rsidRPr="00DC4387" w:rsidRDefault="00DC4387" w:rsidP="000C2042">
      <w:pPr>
        <w:pStyle w:val="Paragraphedeliste"/>
        <w:numPr>
          <w:ilvl w:val="0"/>
          <w:numId w:val="26"/>
        </w:numPr>
        <w:jc w:val="both"/>
        <w:rPr>
          <w:rFonts w:ascii="Calibri" w:hAnsi="Calibri" w:cs="Calibri"/>
          <w:sz w:val="22"/>
          <w:szCs w:val="22"/>
          <w:lang w:val="en-US"/>
        </w:rPr>
      </w:pPr>
      <w:r w:rsidRPr="00DC4387">
        <w:rPr>
          <w:rFonts w:ascii="Calibri" w:hAnsi="Calibri" w:cs="Calibri"/>
          <w:sz w:val="22"/>
          <w:szCs w:val="22"/>
          <w:lang w:val="en-US"/>
        </w:rPr>
        <w:lastRenderedPageBreak/>
        <w:t>allow an early and unilateral termination of the collaboration with the drivers.</w:t>
      </w:r>
    </w:p>
    <w:p w14:paraId="340E9102" w14:textId="77777777" w:rsidR="00DC4387" w:rsidRPr="00DC4387" w:rsidRDefault="00DC4387" w:rsidP="00A21FE0">
      <w:pPr>
        <w:jc w:val="both"/>
        <w:rPr>
          <w:rFonts w:ascii="Calibri" w:hAnsi="Calibri" w:cs="Calibri"/>
          <w:sz w:val="22"/>
          <w:szCs w:val="22"/>
          <w:lang w:val="en-US"/>
        </w:rPr>
      </w:pPr>
      <w:r w:rsidRPr="00DC4387">
        <w:rPr>
          <w:rFonts w:ascii="Calibri" w:hAnsi="Calibri" w:cs="Calibri"/>
          <w:sz w:val="22"/>
          <w:szCs w:val="22"/>
          <w:lang w:val="en-US"/>
        </w:rPr>
        <w:t xml:space="preserve">Thus, the ride-hailing platform did not comply with labor law and was also held liable because of unfair competition with its competitor </w:t>
      </w:r>
      <w:proofErr w:type="spellStart"/>
      <w:r w:rsidRPr="00DC4387">
        <w:rPr>
          <w:rFonts w:ascii="Calibri" w:hAnsi="Calibri" w:cs="Calibri"/>
          <w:sz w:val="22"/>
          <w:szCs w:val="22"/>
          <w:lang w:val="en-US"/>
        </w:rPr>
        <w:t>Viacab</w:t>
      </w:r>
      <w:proofErr w:type="spellEnd"/>
      <w:r w:rsidRPr="00DC4387">
        <w:rPr>
          <w:rFonts w:ascii="Calibri" w:hAnsi="Calibri" w:cs="Calibri"/>
          <w:sz w:val="22"/>
          <w:szCs w:val="22"/>
          <w:lang w:val="en-US"/>
        </w:rPr>
        <w:t>.</w:t>
      </w:r>
    </w:p>
    <w:p w14:paraId="572CE6A5" w14:textId="77777777" w:rsidR="00346379" w:rsidRPr="00DC4387" w:rsidRDefault="00346379" w:rsidP="00B27941">
      <w:pPr>
        <w:jc w:val="both"/>
        <w:rPr>
          <w:rFonts w:ascii="Calibri" w:hAnsi="Calibri" w:cs="Calibri"/>
          <w:sz w:val="22"/>
          <w:szCs w:val="22"/>
          <w:lang w:val="en-US"/>
        </w:rPr>
      </w:pPr>
    </w:p>
    <w:p w14:paraId="110E3AA9" w14:textId="77777777" w:rsidR="003966B3" w:rsidRPr="00DC4387" w:rsidRDefault="003966B3" w:rsidP="003966B3">
      <w:pPr>
        <w:rPr>
          <w:rFonts w:ascii="Calibri" w:hAnsi="Calibri" w:cs="Calibri"/>
          <w:b/>
          <w:bCs/>
          <w:sz w:val="22"/>
          <w:szCs w:val="22"/>
          <w:lang w:val="en-US"/>
        </w:rPr>
      </w:pPr>
      <w:proofErr w:type="spellStart"/>
      <w:r w:rsidRPr="00DC4387">
        <w:rPr>
          <w:rFonts w:ascii="Calibri" w:hAnsi="Calibri" w:cs="Calibri"/>
          <w:b/>
          <w:bCs/>
          <w:sz w:val="22"/>
          <w:szCs w:val="22"/>
          <w:lang w:val="en-US"/>
        </w:rPr>
        <w:t>Doctipharma</w:t>
      </w:r>
      <w:proofErr w:type="spellEnd"/>
      <w:r w:rsidRPr="00DC4387">
        <w:rPr>
          <w:rFonts w:ascii="Calibri" w:hAnsi="Calibri" w:cs="Calibri"/>
          <w:b/>
          <w:bCs/>
          <w:sz w:val="22"/>
          <w:szCs w:val="22"/>
          <w:lang w:val="en-US"/>
        </w:rPr>
        <w:t xml:space="preserve"> case</w:t>
      </w:r>
    </w:p>
    <w:p w14:paraId="4A5A4D88" w14:textId="54425D9D" w:rsidR="003966B3" w:rsidRPr="00335054" w:rsidRDefault="003966B3" w:rsidP="003966B3">
      <w:pPr>
        <w:rPr>
          <w:rFonts w:ascii="Calibri" w:hAnsi="Calibri" w:cs="Calibri"/>
          <w:b/>
          <w:bCs/>
          <w:sz w:val="22"/>
          <w:szCs w:val="22"/>
          <w:lang w:val="en-US"/>
        </w:rPr>
      </w:pPr>
      <w:r w:rsidRPr="00335054">
        <w:rPr>
          <w:rFonts w:ascii="Calibri" w:hAnsi="Calibri" w:cs="Calibri"/>
          <w:b/>
          <w:bCs/>
          <w:sz w:val="22"/>
          <w:szCs w:val="22"/>
          <w:lang w:val="en-US"/>
        </w:rPr>
        <w:t xml:space="preserve">CJEU 29 February 2024, </w:t>
      </w:r>
      <w:proofErr w:type="spellStart"/>
      <w:r w:rsidRPr="00335054">
        <w:rPr>
          <w:rFonts w:ascii="Calibri" w:hAnsi="Calibri" w:cs="Calibri"/>
          <w:b/>
          <w:bCs/>
          <w:sz w:val="22"/>
          <w:szCs w:val="22"/>
          <w:lang w:val="en-US"/>
        </w:rPr>
        <w:t>aff</w:t>
      </w:r>
      <w:proofErr w:type="spellEnd"/>
      <w:r w:rsidRPr="00335054">
        <w:rPr>
          <w:rFonts w:ascii="Calibri" w:hAnsi="Calibri" w:cs="Calibri"/>
          <w:b/>
          <w:bCs/>
          <w:sz w:val="22"/>
          <w:szCs w:val="22"/>
          <w:lang w:val="en-US"/>
        </w:rPr>
        <w:t xml:space="preserve">. C-606/21, </w:t>
      </w:r>
      <w:proofErr w:type="spellStart"/>
      <w:r w:rsidRPr="00335054">
        <w:rPr>
          <w:rFonts w:ascii="Calibri" w:hAnsi="Calibri" w:cs="Calibri"/>
          <w:b/>
          <w:bCs/>
          <w:sz w:val="22"/>
          <w:szCs w:val="22"/>
          <w:lang w:val="en-US"/>
        </w:rPr>
        <w:t>Doctipharma</w:t>
      </w:r>
      <w:proofErr w:type="spellEnd"/>
      <w:r w:rsidRPr="00335054">
        <w:rPr>
          <w:rFonts w:ascii="Calibri" w:hAnsi="Calibri" w:cs="Calibri"/>
          <w:b/>
          <w:bCs/>
          <w:sz w:val="22"/>
          <w:szCs w:val="22"/>
          <w:lang w:val="en-US"/>
        </w:rPr>
        <w:t xml:space="preserve"> SAS v. UDGPO and </w:t>
      </w:r>
      <w:proofErr w:type="spellStart"/>
      <w:r w:rsidRPr="00335054">
        <w:rPr>
          <w:rFonts w:ascii="Calibri" w:hAnsi="Calibri" w:cs="Calibri"/>
          <w:b/>
          <w:bCs/>
          <w:sz w:val="22"/>
          <w:szCs w:val="22"/>
          <w:lang w:val="en-US"/>
        </w:rPr>
        <w:t>Pictime</w:t>
      </w:r>
      <w:proofErr w:type="spellEnd"/>
      <w:r w:rsidRPr="00335054">
        <w:rPr>
          <w:rFonts w:ascii="Calibri" w:hAnsi="Calibri" w:cs="Calibri"/>
          <w:b/>
          <w:bCs/>
          <w:sz w:val="22"/>
          <w:szCs w:val="22"/>
          <w:lang w:val="en-US"/>
        </w:rPr>
        <w:t xml:space="preserve"> </w:t>
      </w:r>
      <w:proofErr w:type="spellStart"/>
      <w:r w:rsidRPr="00335054">
        <w:rPr>
          <w:rFonts w:ascii="Calibri" w:hAnsi="Calibri" w:cs="Calibri"/>
          <w:b/>
          <w:bCs/>
          <w:sz w:val="22"/>
          <w:szCs w:val="22"/>
          <w:lang w:val="en-US"/>
        </w:rPr>
        <w:t>Coreyre</w:t>
      </w:r>
      <w:proofErr w:type="spellEnd"/>
      <w:r w:rsidRPr="00335054">
        <w:rPr>
          <w:rFonts w:ascii="Calibri" w:hAnsi="Calibri" w:cs="Calibri"/>
          <w:b/>
          <w:bCs/>
          <w:sz w:val="22"/>
          <w:szCs w:val="22"/>
          <w:lang w:val="en-US"/>
        </w:rPr>
        <w:t>:</w:t>
      </w:r>
    </w:p>
    <w:p w14:paraId="4D04CADE" w14:textId="2B9CB9CB" w:rsidR="003966B3" w:rsidRPr="00CF15A7" w:rsidRDefault="003966B3" w:rsidP="003966B3">
      <w:pPr>
        <w:pStyle w:val="marginTopBottom14editable"/>
        <w:spacing w:before="240"/>
        <w:rPr>
          <w:rFonts w:ascii="Calibri" w:hAnsi="Calibri" w:cs="Calibri"/>
          <w:sz w:val="22"/>
          <w:szCs w:val="22"/>
          <w:lang w:val="en-US"/>
        </w:rPr>
      </w:pPr>
      <w:r w:rsidRPr="00CF15A7">
        <w:rPr>
          <w:rFonts w:ascii="Calibri" w:hAnsi="Calibri" w:cs="Calibri"/>
          <w:sz w:val="22"/>
          <w:szCs w:val="22"/>
          <w:lang w:val="en-US"/>
        </w:rPr>
        <w:t xml:space="preserve">The Paris Court of Appeal, </w:t>
      </w:r>
      <w:r w:rsidR="00933F0B" w:rsidRPr="00032A99">
        <w:rPr>
          <w:rStyle w:val="Appelnotedebasdep"/>
          <w:rFonts w:ascii="Calibri" w:hAnsi="Calibri" w:cs="Calibri"/>
          <w:sz w:val="22"/>
          <w:szCs w:val="22"/>
        </w:rPr>
        <w:footnoteReference w:id="24"/>
      </w:r>
      <w:r w:rsidRPr="00CF15A7">
        <w:rPr>
          <w:rFonts w:ascii="Calibri" w:hAnsi="Calibri" w:cs="Calibri"/>
          <w:sz w:val="22"/>
          <w:szCs w:val="22"/>
          <w:lang w:val="en-US"/>
        </w:rPr>
        <w:t xml:space="preserve"> after referral from the Court of Cassation</w:t>
      </w:r>
      <w:r w:rsidRPr="00032A99">
        <w:rPr>
          <w:rStyle w:val="Appelnotedebasdep"/>
          <w:rFonts w:ascii="Calibri" w:hAnsi="Calibri" w:cs="Calibri"/>
          <w:sz w:val="22"/>
          <w:szCs w:val="22"/>
        </w:rPr>
        <w:footnoteReference w:id="25"/>
      </w:r>
      <w:r w:rsidRPr="00CF15A7">
        <w:rPr>
          <w:rFonts w:ascii="Calibri" w:hAnsi="Calibri" w:cs="Calibri"/>
          <w:sz w:val="22"/>
          <w:szCs w:val="22"/>
          <w:lang w:val="en-US"/>
        </w:rPr>
        <w:t>,  asked the CJEU about the conditions under which the www.doctipharma.fr website</w:t>
      </w:r>
      <w:hyperlink r:id="rId8" w:history="1"/>
      <w:r w:rsidRPr="00CF15A7">
        <w:rPr>
          <w:rFonts w:ascii="Calibri" w:hAnsi="Calibri" w:cs="Calibri"/>
          <w:sz w:val="22"/>
          <w:szCs w:val="22"/>
          <w:lang w:val="en-US"/>
        </w:rPr>
        <w:t xml:space="preserve">, hosted by </w:t>
      </w:r>
      <w:proofErr w:type="spellStart"/>
      <w:r w:rsidRPr="00CF15A7">
        <w:rPr>
          <w:rFonts w:ascii="Calibri" w:hAnsi="Calibri" w:cs="Calibri"/>
          <w:sz w:val="22"/>
          <w:szCs w:val="22"/>
          <w:lang w:val="en-US"/>
        </w:rPr>
        <w:t>Pictime</w:t>
      </w:r>
      <w:proofErr w:type="spellEnd"/>
      <w:r w:rsidRPr="00CF15A7">
        <w:rPr>
          <w:rFonts w:ascii="Calibri" w:hAnsi="Calibri" w:cs="Calibri"/>
          <w:sz w:val="22"/>
          <w:szCs w:val="22"/>
          <w:lang w:val="en-US"/>
        </w:rPr>
        <w:t xml:space="preserve"> </w:t>
      </w:r>
      <w:proofErr w:type="spellStart"/>
      <w:r w:rsidRPr="00CF15A7">
        <w:rPr>
          <w:rFonts w:ascii="Calibri" w:hAnsi="Calibri" w:cs="Calibri"/>
          <w:sz w:val="22"/>
          <w:szCs w:val="22"/>
          <w:lang w:val="en-US"/>
        </w:rPr>
        <w:t>Coreyre</w:t>
      </w:r>
      <w:proofErr w:type="spellEnd"/>
      <w:r w:rsidRPr="00CF15A7">
        <w:rPr>
          <w:rFonts w:ascii="Calibri" w:hAnsi="Calibri" w:cs="Calibri"/>
          <w:sz w:val="22"/>
          <w:szCs w:val="22"/>
          <w:lang w:val="en-US"/>
        </w:rPr>
        <w:t xml:space="preserve">, on which Internet users could buy, from pharmacy websites, pharmaceutical products and medicines not subject to compulsory medical prescription, constituted an e-commerce activity for medicinal products, whereas the platform  was not a pharmacist, </w:t>
      </w:r>
    </w:p>
    <w:p w14:paraId="055D4602" w14:textId="0D04F865" w:rsidR="003966B3" w:rsidRPr="00CF15A7" w:rsidRDefault="003966B3" w:rsidP="003966B3">
      <w:pPr>
        <w:pStyle w:val="marginTopBottom14editable"/>
        <w:spacing w:before="240" w:after="240"/>
        <w:jc w:val="both"/>
        <w:rPr>
          <w:rFonts w:ascii="Calibri" w:hAnsi="Calibri" w:cs="Calibri"/>
          <w:sz w:val="22"/>
          <w:szCs w:val="22"/>
          <w:lang w:val="en-US"/>
        </w:rPr>
      </w:pPr>
      <w:r w:rsidRPr="00CF15A7">
        <w:rPr>
          <w:rFonts w:ascii="Calibri" w:hAnsi="Calibri" w:cs="Calibri"/>
          <w:sz w:val="22"/>
          <w:szCs w:val="22"/>
          <w:lang w:val="en-US"/>
        </w:rPr>
        <w:t xml:space="preserve">In a judgment of 29 February 2024, the Court clarified the interpretation to be made of the concept </w:t>
      </w:r>
      <w:r w:rsidRPr="00CF15A7">
        <w:rPr>
          <w:rFonts w:ascii="Calibri" w:hAnsi="Calibri" w:cs="Calibri"/>
          <w:i/>
          <w:iCs/>
          <w:sz w:val="22"/>
          <w:szCs w:val="22"/>
          <w:lang w:val="en-US"/>
        </w:rPr>
        <w:t>of "information society service",</w:t>
      </w:r>
      <w:r w:rsidRPr="00CF15A7">
        <w:rPr>
          <w:rFonts w:ascii="Calibri" w:hAnsi="Calibri" w:cs="Calibri"/>
          <w:sz w:val="22"/>
          <w:szCs w:val="22"/>
          <w:lang w:val="en-US"/>
        </w:rPr>
        <w:t xml:space="preserve"> </w:t>
      </w:r>
      <w:proofErr w:type="gramStart"/>
      <w:r w:rsidRPr="00CF15A7">
        <w:rPr>
          <w:rFonts w:ascii="Calibri" w:hAnsi="Calibri" w:cs="Calibri"/>
          <w:sz w:val="22"/>
          <w:szCs w:val="22"/>
          <w:lang w:val="en-US"/>
        </w:rPr>
        <w:t>in order to</w:t>
      </w:r>
      <w:proofErr w:type="gramEnd"/>
      <w:r w:rsidRPr="00CF15A7">
        <w:rPr>
          <w:rFonts w:ascii="Calibri" w:hAnsi="Calibri" w:cs="Calibri"/>
          <w:sz w:val="22"/>
          <w:szCs w:val="22"/>
          <w:lang w:val="en-US"/>
        </w:rPr>
        <w:t xml:space="preserve"> assess the compliance with EU law of a prohibition by a Member State of a service provided by means of a website and consisting of connecting pharmacists and </w:t>
      </w:r>
      <w:proofErr w:type="gramStart"/>
      <w:r w:rsidRPr="00CF15A7">
        <w:rPr>
          <w:rFonts w:ascii="Calibri" w:hAnsi="Calibri" w:cs="Calibri"/>
          <w:sz w:val="22"/>
          <w:szCs w:val="22"/>
          <w:lang w:val="en-US"/>
        </w:rPr>
        <w:t>customers,  for</w:t>
      </w:r>
      <w:proofErr w:type="gramEnd"/>
      <w:r w:rsidRPr="00CF15A7">
        <w:rPr>
          <w:rFonts w:ascii="Calibri" w:hAnsi="Calibri" w:cs="Calibri"/>
          <w:sz w:val="22"/>
          <w:szCs w:val="22"/>
          <w:lang w:val="en-US"/>
        </w:rPr>
        <w:t xml:space="preserve"> the online sale of non-prescription medicines.</w:t>
      </w:r>
    </w:p>
    <w:p w14:paraId="05F5665D" w14:textId="77777777" w:rsidR="00C126E7" w:rsidRPr="00CF15A7" w:rsidRDefault="00C126E7" w:rsidP="00C126E7">
      <w:pPr>
        <w:pStyle w:val="marginTopBottom14editable"/>
        <w:spacing w:before="240" w:after="240"/>
        <w:jc w:val="both"/>
        <w:rPr>
          <w:rFonts w:ascii="Calibri" w:hAnsi="Calibri" w:cs="Calibri"/>
          <w:sz w:val="22"/>
          <w:szCs w:val="22"/>
          <w:lang w:val="en-US"/>
        </w:rPr>
      </w:pPr>
      <w:r w:rsidRPr="00CF15A7">
        <w:rPr>
          <w:rFonts w:ascii="Calibri" w:hAnsi="Calibri" w:cs="Calibri"/>
          <w:sz w:val="22"/>
          <w:szCs w:val="22"/>
          <w:lang w:val="en-US"/>
        </w:rPr>
        <w:t>The Paris Court of Appeal wished to shed light on the interpretation of Directive 98/34/EC to determine whether the service provided by the platform falls within the concept of "information society service" and on that of Article 85c of Directive 2001/83/EC in order to determine whether Member States may,  on the basis of that provision, prohibit the provision of the service in question.</w:t>
      </w:r>
    </w:p>
    <w:p w14:paraId="3264AD24" w14:textId="77777777" w:rsidR="00C126E7" w:rsidRPr="00CF15A7" w:rsidRDefault="00C126E7" w:rsidP="00C126E7">
      <w:pPr>
        <w:pStyle w:val="marginTopBottom14editable"/>
        <w:spacing w:before="240" w:after="240"/>
        <w:jc w:val="both"/>
        <w:rPr>
          <w:rFonts w:ascii="Calibri" w:hAnsi="Calibri" w:cs="Calibri"/>
          <w:sz w:val="22"/>
          <w:szCs w:val="22"/>
          <w:lang w:val="en-US"/>
        </w:rPr>
      </w:pPr>
      <w:r w:rsidRPr="00CF15A7">
        <w:rPr>
          <w:rFonts w:ascii="Calibri" w:hAnsi="Calibri" w:cs="Calibri"/>
          <w:sz w:val="22"/>
          <w:szCs w:val="22"/>
          <w:lang w:val="en-US"/>
        </w:rPr>
        <w:t>The Court recalls that the provisions of Directive 98/34/EC and Directive 2015/1535/EC define the concept of 'information society service' as meeting four conditions. This is any service normally provided:</w:t>
      </w:r>
    </w:p>
    <w:p w14:paraId="5B531020" w14:textId="77777777" w:rsidR="00C126E7" w:rsidRPr="00CF15A7" w:rsidRDefault="00C126E7" w:rsidP="00C126E7">
      <w:pPr>
        <w:pStyle w:val="marginTopBottom14editable"/>
        <w:spacing w:before="240" w:after="240"/>
        <w:jc w:val="both"/>
        <w:rPr>
          <w:rFonts w:ascii="Calibri" w:hAnsi="Calibri" w:cs="Calibri"/>
          <w:sz w:val="22"/>
          <w:szCs w:val="22"/>
          <w:lang w:val="en-US"/>
        </w:rPr>
      </w:pPr>
      <w:r w:rsidRPr="00CF15A7">
        <w:rPr>
          <w:rFonts w:ascii="Calibri" w:hAnsi="Calibri" w:cs="Calibri"/>
          <w:sz w:val="22"/>
          <w:szCs w:val="22"/>
          <w:lang w:val="en-US"/>
        </w:rPr>
        <w:t>•</w:t>
      </w:r>
      <w:r w:rsidRPr="00CF15A7">
        <w:rPr>
          <w:rFonts w:ascii="Calibri" w:hAnsi="Calibri" w:cs="Calibri"/>
          <w:sz w:val="22"/>
          <w:szCs w:val="22"/>
          <w:lang w:val="en-US"/>
        </w:rPr>
        <w:tab/>
        <w:t xml:space="preserve">For a </w:t>
      </w:r>
      <w:proofErr w:type="gramStart"/>
      <w:r w:rsidRPr="00CF15A7">
        <w:rPr>
          <w:rFonts w:ascii="Calibri" w:hAnsi="Calibri" w:cs="Calibri"/>
          <w:sz w:val="22"/>
          <w:szCs w:val="22"/>
          <w:lang w:val="en-US"/>
        </w:rPr>
        <w:t>fee;</w:t>
      </w:r>
      <w:proofErr w:type="gramEnd"/>
    </w:p>
    <w:p w14:paraId="1C9E717F" w14:textId="77777777" w:rsidR="00C126E7" w:rsidRPr="00CF15A7" w:rsidRDefault="00C126E7" w:rsidP="00C126E7">
      <w:pPr>
        <w:pStyle w:val="marginTopBottom14editable"/>
        <w:spacing w:before="240" w:after="240"/>
        <w:jc w:val="both"/>
        <w:rPr>
          <w:rFonts w:ascii="Calibri" w:hAnsi="Calibri" w:cs="Calibri"/>
          <w:sz w:val="22"/>
          <w:szCs w:val="22"/>
          <w:lang w:val="en-US"/>
        </w:rPr>
      </w:pPr>
      <w:r w:rsidRPr="00CF15A7">
        <w:rPr>
          <w:rFonts w:ascii="Calibri" w:hAnsi="Calibri" w:cs="Calibri"/>
          <w:sz w:val="22"/>
          <w:szCs w:val="22"/>
          <w:lang w:val="en-US"/>
        </w:rPr>
        <w:t>•</w:t>
      </w:r>
      <w:r w:rsidRPr="00CF15A7">
        <w:rPr>
          <w:rFonts w:ascii="Calibri" w:hAnsi="Calibri" w:cs="Calibri"/>
          <w:sz w:val="22"/>
          <w:szCs w:val="22"/>
          <w:lang w:val="en-US"/>
        </w:rPr>
        <w:tab/>
      </w:r>
      <w:proofErr w:type="gramStart"/>
      <w:r w:rsidRPr="00CF15A7">
        <w:rPr>
          <w:rFonts w:ascii="Calibri" w:hAnsi="Calibri" w:cs="Calibri"/>
          <w:sz w:val="22"/>
          <w:szCs w:val="22"/>
          <w:lang w:val="en-US"/>
        </w:rPr>
        <w:t>Remotely;</w:t>
      </w:r>
      <w:proofErr w:type="gramEnd"/>
    </w:p>
    <w:p w14:paraId="0574CEC3" w14:textId="77777777" w:rsidR="00C126E7" w:rsidRPr="00CF15A7" w:rsidRDefault="00C126E7" w:rsidP="00C126E7">
      <w:pPr>
        <w:pStyle w:val="marginTopBottom14editable"/>
        <w:spacing w:before="240" w:after="240"/>
        <w:jc w:val="both"/>
        <w:rPr>
          <w:rFonts w:ascii="Calibri" w:hAnsi="Calibri" w:cs="Calibri"/>
          <w:sz w:val="22"/>
          <w:szCs w:val="22"/>
          <w:lang w:val="en-US"/>
        </w:rPr>
      </w:pPr>
      <w:r w:rsidRPr="00CF15A7">
        <w:rPr>
          <w:rFonts w:ascii="Calibri" w:hAnsi="Calibri" w:cs="Calibri"/>
          <w:sz w:val="22"/>
          <w:szCs w:val="22"/>
          <w:lang w:val="en-US"/>
        </w:rPr>
        <w:t>•</w:t>
      </w:r>
      <w:r w:rsidRPr="00CF15A7">
        <w:rPr>
          <w:rFonts w:ascii="Calibri" w:hAnsi="Calibri" w:cs="Calibri"/>
          <w:sz w:val="22"/>
          <w:szCs w:val="22"/>
          <w:lang w:val="en-US"/>
        </w:rPr>
        <w:tab/>
      </w:r>
      <w:proofErr w:type="gramStart"/>
      <w:r w:rsidRPr="00CF15A7">
        <w:rPr>
          <w:rFonts w:ascii="Calibri" w:hAnsi="Calibri" w:cs="Calibri"/>
          <w:sz w:val="22"/>
          <w:szCs w:val="22"/>
          <w:lang w:val="en-US"/>
        </w:rPr>
        <w:t>Electronically;</w:t>
      </w:r>
      <w:proofErr w:type="gramEnd"/>
    </w:p>
    <w:p w14:paraId="6D2CB61A" w14:textId="77777777" w:rsidR="00C126E7" w:rsidRPr="00CF15A7" w:rsidRDefault="00C126E7" w:rsidP="00C126E7">
      <w:pPr>
        <w:pStyle w:val="marginTopBottom14editable"/>
        <w:spacing w:before="240" w:after="240"/>
        <w:jc w:val="both"/>
        <w:rPr>
          <w:rFonts w:ascii="Calibri" w:hAnsi="Calibri" w:cs="Calibri"/>
          <w:sz w:val="22"/>
          <w:szCs w:val="22"/>
          <w:lang w:val="en-US"/>
        </w:rPr>
      </w:pPr>
      <w:r w:rsidRPr="00CF15A7">
        <w:rPr>
          <w:rFonts w:ascii="Calibri" w:hAnsi="Calibri" w:cs="Calibri"/>
          <w:sz w:val="22"/>
          <w:szCs w:val="22"/>
          <w:lang w:val="en-US"/>
        </w:rPr>
        <w:t>•</w:t>
      </w:r>
      <w:r w:rsidRPr="00CF15A7">
        <w:rPr>
          <w:rFonts w:ascii="Calibri" w:hAnsi="Calibri" w:cs="Calibri"/>
          <w:sz w:val="22"/>
          <w:szCs w:val="22"/>
          <w:lang w:val="en-US"/>
        </w:rPr>
        <w:tab/>
        <w:t>And at the individual request of a recipient of services.</w:t>
      </w:r>
    </w:p>
    <w:p w14:paraId="7293D2F9" w14:textId="6752E42D" w:rsidR="00C126E7" w:rsidRPr="00CF15A7" w:rsidRDefault="00C126E7" w:rsidP="00C126E7">
      <w:pPr>
        <w:pStyle w:val="marginTopBottom14editable"/>
        <w:spacing w:before="240" w:after="240"/>
        <w:jc w:val="both"/>
        <w:rPr>
          <w:rFonts w:ascii="Calibri" w:hAnsi="Calibri" w:cs="Calibri"/>
          <w:sz w:val="22"/>
          <w:szCs w:val="22"/>
          <w:lang w:val="en-US"/>
        </w:rPr>
      </w:pPr>
      <w:r w:rsidRPr="00CF15A7">
        <w:rPr>
          <w:rFonts w:ascii="Calibri" w:hAnsi="Calibri" w:cs="Calibri"/>
          <w:sz w:val="22"/>
          <w:szCs w:val="22"/>
          <w:lang w:val="en-US"/>
        </w:rPr>
        <w:t xml:space="preserve">The Court concludes, by carrying out a careful examination of the platform's offer, that a service such as that provided by </w:t>
      </w:r>
      <w:proofErr w:type="spellStart"/>
      <w:r w:rsidRPr="00CF15A7">
        <w:rPr>
          <w:rFonts w:ascii="Calibri" w:hAnsi="Calibri" w:cs="Calibri"/>
          <w:sz w:val="22"/>
          <w:szCs w:val="22"/>
          <w:lang w:val="en-US"/>
        </w:rPr>
        <w:t>Doctipharma</w:t>
      </w:r>
      <w:proofErr w:type="spellEnd"/>
      <w:r w:rsidRPr="00CF15A7">
        <w:rPr>
          <w:rFonts w:ascii="Calibri" w:hAnsi="Calibri" w:cs="Calibri"/>
          <w:sz w:val="22"/>
          <w:szCs w:val="22"/>
          <w:lang w:val="en-US"/>
        </w:rPr>
        <w:t xml:space="preserve"> must, subject to the verifications to be carried out by the referring court, be classified as an 'information society service'.</w:t>
      </w:r>
    </w:p>
    <w:p w14:paraId="1F0553A3" w14:textId="77777777" w:rsidR="003966B3" w:rsidRPr="00032A99" w:rsidRDefault="003966B3" w:rsidP="003966B3">
      <w:pPr>
        <w:pStyle w:val="marginTopBottom14editable"/>
        <w:spacing w:before="240"/>
        <w:rPr>
          <w:rFonts w:ascii="Calibri" w:hAnsi="Calibri" w:cs="Calibri"/>
          <w:sz w:val="22"/>
          <w:szCs w:val="22"/>
        </w:rPr>
      </w:pPr>
      <w:r w:rsidRPr="00032A99">
        <w:rPr>
          <w:rFonts w:ascii="Calibri" w:hAnsi="Calibri" w:cs="Calibri"/>
          <w:sz w:val="22"/>
          <w:szCs w:val="22"/>
        </w:rPr>
        <w:lastRenderedPageBreak/>
        <w:t xml:space="preserve">The Court </w:t>
      </w:r>
      <w:proofErr w:type="spellStart"/>
      <w:r w:rsidRPr="00032A99">
        <w:rPr>
          <w:rFonts w:ascii="Calibri" w:hAnsi="Calibri" w:cs="Calibri"/>
          <w:sz w:val="22"/>
          <w:szCs w:val="22"/>
        </w:rPr>
        <w:t>recalls</w:t>
      </w:r>
      <w:proofErr w:type="spellEnd"/>
      <w:r w:rsidRPr="00032A99">
        <w:rPr>
          <w:rFonts w:ascii="Calibri" w:hAnsi="Calibri" w:cs="Calibri"/>
          <w:sz w:val="22"/>
          <w:szCs w:val="22"/>
        </w:rPr>
        <w:t xml:space="preserve"> </w:t>
      </w:r>
      <w:proofErr w:type="spellStart"/>
      <w:proofErr w:type="gramStart"/>
      <w:r w:rsidRPr="00032A99">
        <w:rPr>
          <w:rFonts w:ascii="Calibri" w:hAnsi="Calibri" w:cs="Calibri"/>
          <w:sz w:val="22"/>
          <w:szCs w:val="22"/>
        </w:rPr>
        <w:t>that</w:t>
      </w:r>
      <w:proofErr w:type="spellEnd"/>
      <w:r w:rsidRPr="00032A99">
        <w:rPr>
          <w:rFonts w:ascii="Calibri" w:hAnsi="Calibri" w:cs="Calibri"/>
          <w:sz w:val="22"/>
          <w:szCs w:val="22"/>
        </w:rPr>
        <w:t>:</w:t>
      </w:r>
      <w:proofErr w:type="gramEnd"/>
    </w:p>
    <w:p w14:paraId="2A666909" w14:textId="77777777" w:rsidR="003966B3" w:rsidRPr="00CF15A7" w:rsidRDefault="003966B3" w:rsidP="003966B3">
      <w:pPr>
        <w:numPr>
          <w:ilvl w:val="0"/>
          <w:numId w:val="23"/>
        </w:numPr>
        <w:spacing w:before="240"/>
        <w:ind w:hanging="185"/>
        <w:jc w:val="both"/>
        <w:rPr>
          <w:rFonts w:ascii="Calibri" w:hAnsi="Calibri" w:cs="Calibri"/>
          <w:sz w:val="22"/>
          <w:szCs w:val="22"/>
          <w:lang w:val="en-US"/>
        </w:rPr>
      </w:pPr>
      <w:r w:rsidRPr="00CF15A7">
        <w:rPr>
          <w:rFonts w:ascii="Calibri" w:hAnsi="Calibri" w:cs="Calibri"/>
          <w:sz w:val="22"/>
          <w:szCs w:val="22"/>
          <w:lang w:val="en-US"/>
        </w:rPr>
        <w:t xml:space="preserve">the Member States shall have sole competence to determine the natural or legal </w:t>
      </w:r>
      <w:proofErr w:type="gramStart"/>
      <w:r w:rsidRPr="00CF15A7">
        <w:rPr>
          <w:rFonts w:ascii="Calibri" w:hAnsi="Calibri" w:cs="Calibri"/>
          <w:sz w:val="22"/>
          <w:szCs w:val="22"/>
          <w:lang w:val="en-US"/>
        </w:rPr>
        <w:t>persons</w:t>
      </w:r>
      <w:proofErr w:type="gramEnd"/>
      <w:r w:rsidRPr="00CF15A7">
        <w:rPr>
          <w:rFonts w:ascii="Calibri" w:hAnsi="Calibri" w:cs="Calibri"/>
          <w:sz w:val="22"/>
          <w:szCs w:val="22"/>
          <w:lang w:val="en-US"/>
        </w:rPr>
        <w:t xml:space="preserve"> </w:t>
      </w:r>
      <w:proofErr w:type="spellStart"/>
      <w:r w:rsidRPr="00CF15A7">
        <w:rPr>
          <w:rFonts w:ascii="Calibri" w:hAnsi="Calibri" w:cs="Calibri"/>
          <w:sz w:val="22"/>
          <w:szCs w:val="22"/>
          <w:lang w:val="en-US"/>
        </w:rPr>
        <w:t>authorised</w:t>
      </w:r>
      <w:proofErr w:type="spellEnd"/>
      <w:r w:rsidRPr="00CF15A7">
        <w:rPr>
          <w:rFonts w:ascii="Calibri" w:hAnsi="Calibri" w:cs="Calibri"/>
          <w:sz w:val="22"/>
          <w:szCs w:val="22"/>
          <w:lang w:val="en-US"/>
        </w:rPr>
        <w:t xml:space="preserve"> or </w:t>
      </w:r>
      <w:proofErr w:type="spellStart"/>
      <w:r w:rsidRPr="00CF15A7">
        <w:rPr>
          <w:rFonts w:ascii="Calibri" w:hAnsi="Calibri" w:cs="Calibri"/>
          <w:sz w:val="22"/>
          <w:szCs w:val="22"/>
          <w:lang w:val="en-US"/>
        </w:rPr>
        <w:t>authorised</w:t>
      </w:r>
      <w:proofErr w:type="spellEnd"/>
      <w:r w:rsidRPr="00CF15A7">
        <w:rPr>
          <w:rFonts w:ascii="Calibri" w:hAnsi="Calibri" w:cs="Calibri"/>
          <w:sz w:val="22"/>
          <w:szCs w:val="22"/>
          <w:lang w:val="en-US"/>
        </w:rPr>
        <w:t xml:space="preserve"> to supply, at a distance, by means of information society services, medicinal products to the </w:t>
      </w:r>
      <w:proofErr w:type="gramStart"/>
      <w:r w:rsidRPr="00CF15A7">
        <w:rPr>
          <w:rFonts w:ascii="Calibri" w:hAnsi="Calibri" w:cs="Calibri"/>
          <w:sz w:val="22"/>
          <w:szCs w:val="22"/>
          <w:lang w:val="en-US"/>
        </w:rPr>
        <w:t>public;</w:t>
      </w:r>
      <w:proofErr w:type="gramEnd"/>
    </w:p>
    <w:p w14:paraId="27E4FD74" w14:textId="77777777" w:rsidR="00C126E7" w:rsidRPr="00CF15A7" w:rsidRDefault="003966B3" w:rsidP="00C126E7">
      <w:pPr>
        <w:pStyle w:val="Paragraphedeliste"/>
        <w:numPr>
          <w:ilvl w:val="0"/>
          <w:numId w:val="23"/>
        </w:numPr>
        <w:rPr>
          <w:rFonts w:ascii="Calibri" w:hAnsi="Calibri" w:cs="Calibri"/>
          <w:sz w:val="22"/>
          <w:szCs w:val="22"/>
          <w:lang w:val="en-US"/>
        </w:rPr>
      </w:pPr>
      <w:r w:rsidRPr="00CF15A7">
        <w:rPr>
          <w:rFonts w:ascii="Calibri" w:hAnsi="Calibri" w:cs="Calibri"/>
          <w:sz w:val="22"/>
          <w:szCs w:val="22"/>
          <w:lang w:val="en-US"/>
        </w:rPr>
        <w:t xml:space="preserve">Member States may impose conditions for the retail supply in their territory of medicinal products offered for distance sale to the public by means of information society services, </w:t>
      </w:r>
      <w:proofErr w:type="gramStart"/>
      <w:r w:rsidRPr="00CF15A7">
        <w:rPr>
          <w:rFonts w:ascii="Calibri" w:hAnsi="Calibri" w:cs="Calibri"/>
          <w:sz w:val="22"/>
          <w:szCs w:val="22"/>
          <w:lang w:val="en-US"/>
        </w:rPr>
        <w:t>provided that</w:t>
      </w:r>
      <w:proofErr w:type="gramEnd"/>
      <w:r w:rsidRPr="00CF15A7">
        <w:rPr>
          <w:rFonts w:ascii="Calibri" w:hAnsi="Calibri" w:cs="Calibri"/>
          <w:sz w:val="22"/>
          <w:szCs w:val="22"/>
          <w:lang w:val="en-US"/>
        </w:rPr>
        <w:t xml:space="preserve"> they </w:t>
      </w:r>
      <w:r w:rsidRPr="00CF15A7">
        <w:rPr>
          <w:rFonts w:ascii="Calibri" w:hAnsi="Calibri" w:cs="Calibri"/>
          <w:i/>
          <w:iCs/>
          <w:sz w:val="22"/>
          <w:szCs w:val="22"/>
          <w:lang w:val="en-US"/>
        </w:rPr>
        <w:t>are 'justified by the protection of public health'.</w:t>
      </w:r>
    </w:p>
    <w:p w14:paraId="42282C04" w14:textId="77777777" w:rsidR="00C126E7" w:rsidRPr="00CF15A7" w:rsidRDefault="00C126E7" w:rsidP="00C126E7">
      <w:pPr>
        <w:jc w:val="both"/>
        <w:rPr>
          <w:rFonts w:ascii="Calibri" w:hAnsi="Calibri" w:cs="Calibri"/>
          <w:sz w:val="22"/>
          <w:szCs w:val="22"/>
          <w:lang w:val="en-US"/>
        </w:rPr>
      </w:pPr>
    </w:p>
    <w:p w14:paraId="45859531" w14:textId="40C40586" w:rsidR="003966B3" w:rsidRPr="00CF15A7" w:rsidRDefault="00C126E7" w:rsidP="00C126E7">
      <w:pPr>
        <w:jc w:val="both"/>
        <w:rPr>
          <w:rFonts w:ascii="Calibri" w:hAnsi="Calibri" w:cs="Calibri"/>
          <w:sz w:val="22"/>
          <w:szCs w:val="22"/>
          <w:lang w:val="en-US"/>
        </w:rPr>
      </w:pPr>
      <w:r w:rsidRPr="00CF15A7">
        <w:rPr>
          <w:rFonts w:ascii="Calibri" w:hAnsi="Calibri" w:cs="Calibri"/>
          <w:sz w:val="22"/>
          <w:szCs w:val="22"/>
          <w:lang w:val="en-US"/>
        </w:rPr>
        <w:t xml:space="preserve">The judgment invites the referring court to ascertain whether the supplier of the service in question must be regarded as confining itself, by means of a supply of its own and distinct from the sale, to putting sellers in contact with customers, or whether that supplier </w:t>
      </w:r>
      <w:proofErr w:type="gramStart"/>
      <w:r w:rsidRPr="00CF15A7">
        <w:rPr>
          <w:rFonts w:ascii="Calibri" w:hAnsi="Calibri" w:cs="Calibri"/>
          <w:sz w:val="22"/>
          <w:szCs w:val="22"/>
          <w:lang w:val="en-US"/>
        </w:rPr>
        <w:t>must itself</w:t>
      </w:r>
      <w:proofErr w:type="gramEnd"/>
      <w:r w:rsidRPr="00CF15A7">
        <w:rPr>
          <w:rFonts w:ascii="Calibri" w:hAnsi="Calibri" w:cs="Calibri"/>
          <w:sz w:val="22"/>
          <w:szCs w:val="22"/>
          <w:lang w:val="en-US"/>
        </w:rPr>
        <w:t xml:space="preserve"> be regarded as a supplier of the sale. </w:t>
      </w:r>
    </w:p>
    <w:p w14:paraId="2816DD44" w14:textId="7DDFCD66" w:rsidR="003966B3" w:rsidRPr="00CF15A7" w:rsidRDefault="009B0F5B" w:rsidP="003966B3">
      <w:pPr>
        <w:pStyle w:val="marginTopBottom14editable"/>
        <w:spacing w:before="240" w:after="240"/>
        <w:jc w:val="both"/>
        <w:rPr>
          <w:rFonts w:ascii="Calibri" w:hAnsi="Calibri" w:cs="Calibri"/>
          <w:sz w:val="22"/>
          <w:szCs w:val="22"/>
          <w:lang w:val="en-US"/>
        </w:rPr>
      </w:pPr>
      <w:r w:rsidRPr="00CF15A7">
        <w:rPr>
          <w:rFonts w:ascii="Calibri" w:hAnsi="Calibri" w:cs="Calibri"/>
          <w:sz w:val="22"/>
          <w:szCs w:val="22"/>
          <w:lang w:val="en-US"/>
        </w:rPr>
        <w:t xml:space="preserve">This judgment forces France to re-examine the framework for platforms selling medicines. Indeed, the Member States alone are competent to define the persons </w:t>
      </w:r>
      <w:proofErr w:type="spellStart"/>
      <w:r w:rsidRPr="00CF15A7">
        <w:rPr>
          <w:rFonts w:ascii="Calibri" w:hAnsi="Calibri" w:cs="Calibri"/>
          <w:sz w:val="22"/>
          <w:szCs w:val="22"/>
          <w:lang w:val="en-US"/>
        </w:rPr>
        <w:t>authorised</w:t>
      </w:r>
      <w:proofErr w:type="spellEnd"/>
      <w:r w:rsidRPr="00CF15A7">
        <w:rPr>
          <w:rFonts w:ascii="Calibri" w:hAnsi="Calibri" w:cs="Calibri"/>
          <w:sz w:val="22"/>
          <w:szCs w:val="22"/>
          <w:lang w:val="en-US"/>
        </w:rPr>
        <w:t xml:space="preserve"> or entitled to sell medicinal products not subject to medical prescription at a distance to the public by means of information society services, they must also ensure that medicinal products are offered for sale at a distance to the public by means of information society services and cannot therefore prohibit such a service for the purpose of selling medicinal products at a distance. non-prescription medicines</w:t>
      </w:r>
      <w:r w:rsidRPr="00032A99">
        <w:rPr>
          <w:rStyle w:val="Appelnotedebasdep"/>
          <w:rFonts w:ascii="Calibri" w:hAnsi="Calibri" w:cs="Calibri"/>
          <w:sz w:val="22"/>
          <w:szCs w:val="22"/>
        </w:rPr>
        <w:footnoteReference w:id="26"/>
      </w:r>
      <w:r w:rsidR="003966B3" w:rsidRPr="00CF15A7">
        <w:rPr>
          <w:rFonts w:ascii="Calibri" w:hAnsi="Calibri" w:cs="Calibri"/>
          <w:sz w:val="22"/>
          <w:szCs w:val="22"/>
          <w:lang w:val="en-US"/>
        </w:rPr>
        <w:t>.</w:t>
      </w:r>
    </w:p>
    <w:p w14:paraId="3319AB59" w14:textId="259CBA6F" w:rsidR="00C622A8" w:rsidRPr="00CF15A7" w:rsidRDefault="00C622A8" w:rsidP="00C622A8">
      <w:pPr>
        <w:pStyle w:val="marginTopBottom14editable"/>
        <w:spacing w:before="240" w:after="240"/>
        <w:jc w:val="both"/>
        <w:rPr>
          <w:rFonts w:ascii="Calibri" w:hAnsi="Calibri" w:cs="Calibri"/>
          <w:sz w:val="22"/>
          <w:szCs w:val="22"/>
          <w:lang w:val="en-US"/>
        </w:rPr>
      </w:pPr>
      <w:r w:rsidRPr="00CF15A7">
        <w:rPr>
          <w:rFonts w:ascii="Calibri" w:hAnsi="Calibri" w:cs="Calibri"/>
          <w:sz w:val="22"/>
          <w:szCs w:val="22"/>
          <w:lang w:val="en-US"/>
        </w:rPr>
        <w:t>Retail pharmacists have taken the opportunity and the entire profession</w:t>
      </w:r>
      <w:r w:rsidRPr="00032A99">
        <w:rPr>
          <w:rStyle w:val="Appelnotedebasdep"/>
          <w:rFonts w:ascii="Calibri" w:hAnsi="Calibri" w:cs="Calibri"/>
          <w:sz w:val="22"/>
          <w:szCs w:val="22"/>
        </w:rPr>
        <w:footnoteReference w:id="27"/>
      </w:r>
      <w:r w:rsidRPr="00CF15A7">
        <w:rPr>
          <w:rFonts w:ascii="Calibri" w:hAnsi="Calibri" w:cs="Calibri"/>
          <w:sz w:val="22"/>
          <w:szCs w:val="22"/>
          <w:lang w:val="en-US"/>
        </w:rPr>
        <w:t xml:space="preserve">,  in association with La Poste Santé, will launch an intermediation site "Ma </w:t>
      </w:r>
      <w:proofErr w:type="spellStart"/>
      <w:r w:rsidRPr="00CF15A7">
        <w:rPr>
          <w:rFonts w:ascii="Calibri" w:hAnsi="Calibri" w:cs="Calibri"/>
          <w:sz w:val="22"/>
          <w:szCs w:val="22"/>
          <w:lang w:val="en-US"/>
        </w:rPr>
        <w:t>Pharmacie</w:t>
      </w:r>
      <w:proofErr w:type="spellEnd"/>
      <w:r w:rsidRPr="00CF15A7">
        <w:rPr>
          <w:rFonts w:ascii="Calibri" w:hAnsi="Calibri" w:cs="Calibri"/>
          <w:sz w:val="22"/>
          <w:szCs w:val="22"/>
          <w:lang w:val="en-US"/>
        </w:rPr>
        <w:t xml:space="preserve"> </w:t>
      </w:r>
      <w:proofErr w:type="spellStart"/>
      <w:r w:rsidRPr="00CF15A7">
        <w:rPr>
          <w:rFonts w:ascii="Calibri" w:hAnsi="Calibri" w:cs="Calibri"/>
          <w:sz w:val="22"/>
          <w:szCs w:val="22"/>
          <w:lang w:val="en-US"/>
        </w:rPr>
        <w:t>en</w:t>
      </w:r>
      <w:proofErr w:type="spellEnd"/>
      <w:r w:rsidRPr="00CF15A7">
        <w:rPr>
          <w:rFonts w:ascii="Calibri" w:hAnsi="Calibri" w:cs="Calibri"/>
          <w:sz w:val="22"/>
          <w:szCs w:val="22"/>
          <w:lang w:val="en-US"/>
        </w:rPr>
        <w:t xml:space="preserve"> France" at the end of the year. This portal will be open to all pharmacies in France, to sell medicines without a prescription, </w:t>
      </w:r>
      <w:proofErr w:type="spellStart"/>
      <w:r w:rsidRPr="00CF15A7">
        <w:rPr>
          <w:rFonts w:ascii="Calibri" w:hAnsi="Calibri" w:cs="Calibri"/>
          <w:sz w:val="22"/>
          <w:szCs w:val="22"/>
          <w:lang w:val="en-US"/>
        </w:rPr>
        <w:t>organise</w:t>
      </w:r>
      <w:proofErr w:type="spellEnd"/>
      <w:r w:rsidRPr="00CF15A7">
        <w:rPr>
          <w:rFonts w:ascii="Calibri" w:hAnsi="Calibri" w:cs="Calibri"/>
          <w:sz w:val="22"/>
          <w:szCs w:val="22"/>
          <w:lang w:val="en-US"/>
        </w:rPr>
        <w:t xml:space="preserve"> the delivery of medicines or make appointments available. Alain Grollaud, President of </w:t>
      </w:r>
      <w:proofErr w:type="spellStart"/>
      <w:r w:rsidRPr="00CF15A7">
        <w:rPr>
          <w:rFonts w:ascii="Calibri" w:hAnsi="Calibri" w:cs="Calibri"/>
          <w:sz w:val="22"/>
          <w:szCs w:val="22"/>
          <w:lang w:val="en-US"/>
        </w:rPr>
        <w:t>Federgy</w:t>
      </w:r>
      <w:proofErr w:type="spellEnd"/>
      <w:r w:rsidRPr="00CF15A7">
        <w:rPr>
          <w:rFonts w:ascii="Calibri" w:hAnsi="Calibri" w:cs="Calibri"/>
          <w:sz w:val="22"/>
          <w:szCs w:val="22"/>
          <w:lang w:val="en-US"/>
        </w:rPr>
        <w:t xml:space="preserve">, who initiated the project, commented on this response from French pharmacists: </w:t>
      </w:r>
      <w:r w:rsidRPr="00CF15A7">
        <w:rPr>
          <w:rFonts w:ascii="Calibri" w:hAnsi="Calibri" w:cs="Calibri"/>
          <w:i/>
          <w:iCs/>
          <w:sz w:val="22"/>
          <w:szCs w:val="22"/>
          <w:lang w:val="en-US"/>
        </w:rPr>
        <w:t xml:space="preserve">"We are delighted! Pharmacies must take their destiny into their own </w:t>
      </w:r>
      <w:proofErr w:type="gramStart"/>
      <w:r w:rsidRPr="00CF15A7">
        <w:rPr>
          <w:rFonts w:ascii="Calibri" w:hAnsi="Calibri" w:cs="Calibri"/>
          <w:i/>
          <w:iCs/>
          <w:sz w:val="22"/>
          <w:szCs w:val="22"/>
          <w:lang w:val="en-US"/>
        </w:rPr>
        <w:t>hands</w:t>
      </w:r>
      <w:proofErr w:type="gramEnd"/>
      <w:r w:rsidRPr="00CF15A7">
        <w:rPr>
          <w:rFonts w:ascii="Calibri" w:hAnsi="Calibri" w:cs="Calibri"/>
          <w:i/>
          <w:iCs/>
          <w:sz w:val="22"/>
          <w:szCs w:val="22"/>
          <w:lang w:val="en-US"/>
        </w:rPr>
        <w:t xml:space="preserve"> and this could not be done without convincing the entire profession." </w:t>
      </w:r>
      <w:r w:rsidRPr="00032A99">
        <w:rPr>
          <w:rStyle w:val="Appelnotedebasdep"/>
          <w:rFonts w:ascii="Calibri" w:hAnsi="Calibri" w:cs="Calibri"/>
          <w:sz w:val="22"/>
          <w:szCs w:val="22"/>
        </w:rPr>
        <w:footnoteReference w:id="28"/>
      </w:r>
    </w:p>
    <w:p w14:paraId="4A81C295" w14:textId="77777777" w:rsidR="00C622A8" w:rsidRPr="00CF15A7" w:rsidRDefault="00C622A8" w:rsidP="003966B3">
      <w:pPr>
        <w:pStyle w:val="marginTopBottom14editable"/>
        <w:spacing w:before="240" w:after="240"/>
        <w:jc w:val="both"/>
        <w:rPr>
          <w:rFonts w:ascii="Calibri" w:hAnsi="Calibri" w:cs="Calibri"/>
          <w:sz w:val="22"/>
          <w:szCs w:val="22"/>
          <w:lang w:val="en-US"/>
        </w:rPr>
      </w:pPr>
    </w:p>
    <w:p w14:paraId="4D91B0ED" w14:textId="7BFCFC50" w:rsidR="00346379" w:rsidRPr="00CF15A7" w:rsidRDefault="00346379" w:rsidP="00B27941">
      <w:pPr>
        <w:jc w:val="both"/>
        <w:rPr>
          <w:rFonts w:ascii="Calibri" w:hAnsi="Calibri" w:cs="Calibri"/>
          <w:sz w:val="22"/>
          <w:szCs w:val="22"/>
          <w:lang w:val="en-US"/>
        </w:rPr>
      </w:pPr>
    </w:p>
    <w:sectPr w:rsidR="00346379" w:rsidRPr="00CF15A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4851" w14:textId="77777777" w:rsidR="00BE1F1F" w:rsidRDefault="00BE1F1F" w:rsidP="00D2749A">
      <w:r>
        <w:separator/>
      </w:r>
    </w:p>
  </w:endnote>
  <w:endnote w:type="continuationSeparator" w:id="0">
    <w:p w14:paraId="1FDD1E50" w14:textId="77777777" w:rsidR="00BE1F1F" w:rsidRDefault="00BE1F1F" w:rsidP="00D2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CFC6" w14:textId="77777777" w:rsidR="00BE1F1F" w:rsidRDefault="00BE1F1F" w:rsidP="00D2749A">
      <w:r>
        <w:separator/>
      </w:r>
    </w:p>
  </w:footnote>
  <w:footnote w:type="continuationSeparator" w:id="0">
    <w:p w14:paraId="1DD76833" w14:textId="77777777" w:rsidR="00BE1F1F" w:rsidRDefault="00BE1F1F" w:rsidP="00D2749A">
      <w:r>
        <w:continuationSeparator/>
      </w:r>
    </w:p>
  </w:footnote>
  <w:footnote w:id="1">
    <w:p w14:paraId="53E4149B" w14:textId="77777777" w:rsidR="00F92930" w:rsidRPr="00CF15A7" w:rsidRDefault="00F92930" w:rsidP="00F92930">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the "MAMAA" for Microsoft, Amazon, Meta, Apple and Alphabet</w:t>
      </w:r>
    </w:p>
  </w:footnote>
  <w:footnote w:id="2">
    <w:p w14:paraId="6FF76F86" w14:textId="77777777" w:rsidR="00F92930" w:rsidRPr="00CF15A7" w:rsidRDefault="00F92930" w:rsidP="00F92930">
      <w:pPr>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the "BATX" for Baidu, Alibaba, Tencent, and Xiaomi</w:t>
      </w:r>
    </w:p>
  </w:footnote>
  <w:footnote w:id="3">
    <w:p w14:paraId="027E5322" w14:textId="77777777" w:rsidR="00F92930" w:rsidRPr="00CF15A7" w:rsidRDefault="00F92930" w:rsidP="00F92930">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w:t>
      </w:r>
      <w:proofErr w:type="spellStart"/>
      <w:r w:rsidRPr="00CF15A7">
        <w:rPr>
          <w:rFonts w:ascii="Calibri" w:hAnsi="Calibri" w:cs="Calibri"/>
          <w:sz w:val="18"/>
          <w:szCs w:val="18"/>
          <w:lang w:val="en-US"/>
        </w:rPr>
        <w:t>Doctolib</w:t>
      </w:r>
      <w:proofErr w:type="spellEnd"/>
      <w:r w:rsidRPr="00CF15A7">
        <w:rPr>
          <w:rFonts w:ascii="Calibri" w:hAnsi="Calibri" w:cs="Calibri"/>
          <w:sz w:val="18"/>
          <w:szCs w:val="18"/>
          <w:lang w:val="en-US"/>
        </w:rPr>
        <w:t xml:space="preserve">, Deezer, </w:t>
      </w:r>
      <w:proofErr w:type="spellStart"/>
      <w:r w:rsidRPr="00CF15A7">
        <w:rPr>
          <w:rFonts w:ascii="Calibri" w:hAnsi="Calibri" w:cs="Calibri"/>
          <w:sz w:val="18"/>
          <w:szCs w:val="18"/>
          <w:lang w:val="en-US"/>
        </w:rPr>
        <w:t>Blablacar</w:t>
      </w:r>
      <w:proofErr w:type="spellEnd"/>
      <w:r w:rsidRPr="00CF15A7">
        <w:rPr>
          <w:rFonts w:ascii="Calibri" w:hAnsi="Calibri" w:cs="Calibri"/>
          <w:sz w:val="18"/>
          <w:szCs w:val="18"/>
          <w:lang w:val="en-US"/>
        </w:rPr>
        <w:t xml:space="preserve">, </w:t>
      </w:r>
      <w:proofErr w:type="spellStart"/>
      <w:r w:rsidRPr="00CF15A7">
        <w:rPr>
          <w:rFonts w:ascii="Calibri" w:hAnsi="Calibri" w:cs="Calibri"/>
          <w:sz w:val="18"/>
          <w:szCs w:val="18"/>
          <w:lang w:val="en-US"/>
        </w:rPr>
        <w:t>Leboncoin</w:t>
      </w:r>
      <w:proofErr w:type="spellEnd"/>
    </w:p>
  </w:footnote>
  <w:footnote w:id="4">
    <w:p w14:paraId="4347DEBF" w14:textId="77777777" w:rsidR="00F92930" w:rsidRPr="00CF15A7" w:rsidRDefault="00F92930" w:rsidP="00F92930">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w:t>
      </w:r>
      <w:proofErr w:type="spellStart"/>
      <w:r w:rsidRPr="00CF15A7">
        <w:rPr>
          <w:rFonts w:ascii="Calibri" w:hAnsi="Calibri" w:cs="Calibri"/>
          <w:sz w:val="18"/>
          <w:szCs w:val="18"/>
          <w:lang w:val="en-US"/>
        </w:rPr>
        <w:t>Doctolib</w:t>
      </w:r>
      <w:proofErr w:type="spellEnd"/>
      <w:r w:rsidRPr="00CF15A7">
        <w:rPr>
          <w:rFonts w:ascii="Calibri" w:hAnsi="Calibri" w:cs="Calibri"/>
          <w:sz w:val="18"/>
          <w:szCs w:val="18"/>
          <w:lang w:val="en-US"/>
        </w:rPr>
        <w:t xml:space="preserve"> becomes the most valuable unicorn in French tech, Les </w:t>
      </w:r>
      <w:proofErr w:type="spellStart"/>
      <w:r w:rsidRPr="00CF15A7">
        <w:rPr>
          <w:rFonts w:ascii="Calibri" w:hAnsi="Calibri" w:cs="Calibri"/>
          <w:sz w:val="18"/>
          <w:szCs w:val="18"/>
          <w:lang w:val="en-US"/>
        </w:rPr>
        <w:t>Echos</w:t>
      </w:r>
      <w:proofErr w:type="spellEnd"/>
      <w:r w:rsidRPr="00CF15A7">
        <w:rPr>
          <w:rFonts w:ascii="Calibri" w:hAnsi="Calibri" w:cs="Calibri"/>
          <w:sz w:val="18"/>
          <w:szCs w:val="18"/>
          <w:lang w:val="en-US"/>
        </w:rPr>
        <w:t>, March 15, 2022</w:t>
      </w:r>
    </w:p>
  </w:footnote>
  <w:footnote w:id="5">
    <w:p w14:paraId="4F0C1CD2" w14:textId="77777777" w:rsidR="00A344DE" w:rsidRPr="00CF15A7" w:rsidRDefault="00A344DE" w:rsidP="00A344DE">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Regulation (EU) 2022/2065 of the European Parliament and of the Council of 19 October 2022 on a single market for digital services and amending Directive 2000/31/EC (Digital Services Act)</w:t>
      </w:r>
    </w:p>
  </w:footnote>
  <w:footnote w:id="6">
    <w:p w14:paraId="299F462E" w14:textId="56210BA9" w:rsidR="00BB1D6B" w:rsidRPr="00CF15A7" w:rsidRDefault="00BB1D6B" w:rsidP="00067B6B">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The Paris Court of Appeal thus considered that the aid offered to owners for the management of real estate ads posted on the platform could make it possible to engage their liability </w:t>
      </w:r>
      <w:proofErr w:type="gramStart"/>
      <w:r w:rsidRPr="00CF15A7">
        <w:rPr>
          <w:rFonts w:ascii="Calibri" w:hAnsi="Calibri" w:cs="Calibri"/>
          <w:sz w:val="18"/>
          <w:szCs w:val="18"/>
          <w:lang w:val="en-US"/>
        </w:rPr>
        <w:t>on the basis of</w:t>
      </w:r>
      <w:proofErr w:type="gramEnd"/>
      <w:r w:rsidRPr="00CF15A7">
        <w:rPr>
          <w:rFonts w:ascii="Calibri" w:hAnsi="Calibri" w:cs="Calibri"/>
          <w:sz w:val="18"/>
          <w:szCs w:val="18"/>
          <w:lang w:val="en-US"/>
        </w:rPr>
        <w:t xml:space="preserve"> common law (CA Paris 12 December 2024 RG 23/09809). It is therefore in the assessment of the neutral, purely technical and automatic role or, by contrast, "if it plays an active role such as to entrust it with knowledge or control of these data" that the border could be discerned (§51 Conc AG Szpunar, 6 February 2025 in case C-492/23 </w:t>
      </w:r>
      <w:proofErr w:type="spellStart"/>
      <w:r w:rsidRPr="00CF15A7">
        <w:rPr>
          <w:rFonts w:ascii="Calibri" w:hAnsi="Calibri" w:cs="Calibri"/>
          <w:sz w:val="18"/>
          <w:szCs w:val="18"/>
          <w:lang w:val="en-US"/>
        </w:rPr>
        <w:t>Russmedia</w:t>
      </w:r>
      <w:proofErr w:type="spellEnd"/>
      <w:r w:rsidRPr="00CF15A7">
        <w:rPr>
          <w:rFonts w:ascii="Calibri" w:hAnsi="Calibri" w:cs="Calibri"/>
          <w:sz w:val="18"/>
          <w:szCs w:val="18"/>
          <w:lang w:val="en-US"/>
        </w:rPr>
        <w:t xml:space="preserve"> digital)</w:t>
      </w:r>
    </w:p>
  </w:footnote>
  <w:footnote w:id="7">
    <w:p w14:paraId="4F053804" w14:textId="73D00D08" w:rsidR="00EF1AD5" w:rsidRPr="00CF15A7" w:rsidRDefault="00EF1AD5" w:rsidP="00B27941">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Cass. 1st civ., 12 July 2012, Nos. 11-15165 and 11-15188.</w:t>
      </w:r>
    </w:p>
  </w:footnote>
  <w:footnote w:id="8">
    <w:p w14:paraId="1CC1DFC1" w14:textId="2EC14FD3" w:rsidR="00EF1AD5" w:rsidRPr="00CF15A7" w:rsidRDefault="00EF1AD5" w:rsidP="00B27941">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Cass. com., March 27, 2024, No. 22-21586. </w:t>
      </w:r>
    </w:p>
  </w:footnote>
  <w:footnote w:id="9">
    <w:p w14:paraId="12CE785F" w14:textId="59D4DD33" w:rsidR="00D2749A" w:rsidRPr="00CF15A7" w:rsidRDefault="00D2749A" w:rsidP="00B27941">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Cass. com., 15 January 2025, n° 23-14625, </w:t>
      </w:r>
      <w:proofErr w:type="spellStart"/>
      <w:r w:rsidRPr="00CF15A7">
        <w:rPr>
          <w:rFonts w:ascii="Calibri" w:hAnsi="Calibri" w:cs="Calibri"/>
          <w:sz w:val="18"/>
          <w:szCs w:val="18"/>
          <w:lang w:val="en-US"/>
        </w:rPr>
        <w:t>Sté</w:t>
      </w:r>
      <w:proofErr w:type="spellEnd"/>
      <w:r w:rsidRPr="00CF15A7">
        <w:rPr>
          <w:rFonts w:ascii="Calibri" w:hAnsi="Calibri" w:cs="Calibri"/>
          <w:sz w:val="18"/>
          <w:szCs w:val="18"/>
          <w:lang w:val="en-US"/>
        </w:rPr>
        <w:t xml:space="preserve"> </w:t>
      </w:r>
      <w:proofErr w:type="spellStart"/>
      <w:r w:rsidRPr="00CF15A7">
        <w:rPr>
          <w:rFonts w:ascii="Calibri" w:hAnsi="Calibri" w:cs="Calibri"/>
          <w:sz w:val="18"/>
          <w:szCs w:val="18"/>
          <w:lang w:val="en-US"/>
        </w:rPr>
        <w:t>Dstorage</w:t>
      </w:r>
      <w:proofErr w:type="spellEnd"/>
      <w:r w:rsidRPr="00CF15A7">
        <w:rPr>
          <w:rFonts w:ascii="Calibri" w:hAnsi="Calibri" w:cs="Calibri"/>
          <w:sz w:val="18"/>
          <w:szCs w:val="18"/>
          <w:lang w:val="en-US"/>
        </w:rPr>
        <w:t xml:space="preserve"> c/ </w:t>
      </w:r>
      <w:proofErr w:type="spellStart"/>
      <w:r w:rsidRPr="00CF15A7">
        <w:rPr>
          <w:rFonts w:ascii="Calibri" w:hAnsi="Calibri" w:cs="Calibri"/>
          <w:sz w:val="18"/>
          <w:szCs w:val="18"/>
          <w:lang w:val="en-US"/>
        </w:rPr>
        <w:t>Sté</w:t>
      </w:r>
      <w:proofErr w:type="spellEnd"/>
      <w:r w:rsidRPr="00CF15A7">
        <w:rPr>
          <w:rFonts w:ascii="Calibri" w:hAnsi="Calibri" w:cs="Calibri"/>
          <w:sz w:val="18"/>
          <w:szCs w:val="18"/>
          <w:lang w:val="en-US"/>
        </w:rPr>
        <w:t xml:space="preserve"> Générale.</w:t>
      </w:r>
    </w:p>
  </w:footnote>
  <w:footnote w:id="10">
    <w:p w14:paraId="0C25AAD3" w14:textId="77777777" w:rsidR="00B27941" w:rsidRPr="00CF15A7" w:rsidRDefault="00B27941" w:rsidP="00B27941">
      <w:pPr>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The notification must be sufficiently precise and substantiated. Knowledge of the disputed facts is presumed to have been acquired by the host provider when it is notified of the following elements listed in Article 16-2 of the DSA:</w:t>
      </w:r>
    </w:p>
    <w:p w14:paraId="1C171E52" w14:textId="77777777" w:rsidR="00B27941" w:rsidRPr="00CF15A7" w:rsidRDefault="00B27941" w:rsidP="00B27941">
      <w:pPr>
        <w:jc w:val="both"/>
        <w:rPr>
          <w:rFonts w:ascii="Calibri" w:hAnsi="Calibri" w:cs="Calibri"/>
          <w:sz w:val="18"/>
          <w:szCs w:val="18"/>
          <w:lang w:val="en-US"/>
        </w:rPr>
      </w:pPr>
      <w:r w:rsidRPr="00CF15A7">
        <w:rPr>
          <w:rFonts w:ascii="Calibri" w:hAnsi="Calibri" w:cs="Calibri"/>
          <w:sz w:val="18"/>
          <w:szCs w:val="18"/>
          <w:lang w:val="en-US"/>
        </w:rPr>
        <w:t xml:space="preserve">• (a) a sufficiently substantiated explanation of why the individual or entity alleges that the information in question is illegal </w:t>
      </w:r>
      <w:proofErr w:type="gramStart"/>
      <w:r w:rsidRPr="00CF15A7">
        <w:rPr>
          <w:rFonts w:ascii="Calibri" w:hAnsi="Calibri" w:cs="Calibri"/>
          <w:sz w:val="18"/>
          <w:szCs w:val="18"/>
          <w:lang w:val="en-US"/>
        </w:rPr>
        <w:t>content;</w:t>
      </w:r>
      <w:proofErr w:type="gramEnd"/>
    </w:p>
    <w:p w14:paraId="3DF2F612" w14:textId="77777777" w:rsidR="00B27941" w:rsidRPr="00CF15A7" w:rsidRDefault="00B27941" w:rsidP="00B27941">
      <w:pPr>
        <w:jc w:val="both"/>
        <w:rPr>
          <w:rFonts w:ascii="Calibri" w:hAnsi="Calibri" w:cs="Calibri"/>
          <w:sz w:val="18"/>
          <w:szCs w:val="18"/>
          <w:lang w:val="en-US"/>
        </w:rPr>
      </w:pPr>
      <w:r w:rsidRPr="00CF15A7">
        <w:rPr>
          <w:rFonts w:ascii="Calibri" w:hAnsi="Calibri" w:cs="Calibri"/>
          <w:sz w:val="18"/>
          <w:szCs w:val="18"/>
          <w:lang w:val="en-US"/>
        </w:rPr>
        <w:t xml:space="preserve">• b) a clear indication of the exact electronic location of this information, such as the exact URL(s), and, where applicable, additional information to identify the illegal content according to the type of content and the specific type of hosting </w:t>
      </w:r>
      <w:proofErr w:type="gramStart"/>
      <w:r w:rsidRPr="00CF15A7">
        <w:rPr>
          <w:rFonts w:ascii="Calibri" w:hAnsi="Calibri" w:cs="Calibri"/>
          <w:sz w:val="18"/>
          <w:szCs w:val="18"/>
          <w:lang w:val="en-US"/>
        </w:rPr>
        <w:t>service;</w:t>
      </w:r>
      <w:proofErr w:type="gramEnd"/>
    </w:p>
    <w:p w14:paraId="2CD6F8EA" w14:textId="77777777" w:rsidR="00B27941" w:rsidRPr="00CF15A7" w:rsidRDefault="00B27941" w:rsidP="00B27941">
      <w:pPr>
        <w:jc w:val="both"/>
        <w:rPr>
          <w:rFonts w:ascii="Calibri" w:hAnsi="Calibri" w:cs="Calibri"/>
          <w:sz w:val="18"/>
          <w:szCs w:val="18"/>
          <w:lang w:val="en-US"/>
        </w:rPr>
      </w:pPr>
      <w:r w:rsidRPr="00CF15A7">
        <w:rPr>
          <w:rFonts w:ascii="Calibri" w:hAnsi="Calibri" w:cs="Calibri"/>
          <w:sz w:val="18"/>
          <w:szCs w:val="18"/>
          <w:lang w:val="en-US"/>
        </w:rPr>
        <w:t>• (c) the name and email address of the individual or entity submitting the notification, except in the case of information considered to involve one of the offences referred to in Articles 3 to 7 of Directive 2011/93/</w:t>
      </w:r>
      <w:proofErr w:type="gramStart"/>
      <w:r w:rsidRPr="00CF15A7">
        <w:rPr>
          <w:rFonts w:ascii="Calibri" w:hAnsi="Calibri" w:cs="Calibri"/>
          <w:sz w:val="18"/>
          <w:szCs w:val="18"/>
          <w:lang w:val="en-US"/>
        </w:rPr>
        <w:t>EU;</w:t>
      </w:r>
      <w:proofErr w:type="gramEnd"/>
    </w:p>
    <w:p w14:paraId="4E1803D2" w14:textId="77777777" w:rsidR="00B27941" w:rsidRPr="00CF15A7" w:rsidRDefault="00B27941" w:rsidP="00B27941">
      <w:pPr>
        <w:jc w:val="both"/>
        <w:rPr>
          <w:rFonts w:ascii="Calibri" w:hAnsi="Calibri" w:cs="Calibri"/>
          <w:sz w:val="18"/>
          <w:szCs w:val="18"/>
          <w:lang w:val="en-US"/>
        </w:rPr>
      </w:pPr>
      <w:r w:rsidRPr="00CF15A7">
        <w:rPr>
          <w:rFonts w:ascii="Calibri" w:hAnsi="Calibri" w:cs="Calibri"/>
          <w:sz w:val="18"/>
          <w:szCs w:val="18"/>
          <w:lang w:val="en-US"/>
        </w:rPr>
        <w:t>• (d) a statement confirming that the individual or entity submitting the notification believes, in good faith, that the information and allegations contained therein are accurate and complete.</w:t>
      </w:r>
    </w:p>
    <w:p w14:paraId="0A576ED4" w14:textId="77777777" w:rsidR="00B27941" w:rsidRPr="00CF15A7" w:rsidRDefault="00B27941" w:rsidP="00B27941">
      <w:pPr>
        <w:jc w:val="both"/>
        <w:rPr>
          <w:rFonts w:ascii="Calibri" w:hAnsi="Calibri" w:cs="Calibri"/>
          <w:sz w:val="18"/>
          <w:szCs w:val="18"/>
          <w:lang w:val="en-US"/>
        </w:rPr>
      </w:pPr>
      <w:r w:rsidRPr="00CF15A7">
        <w:rPr>
          <w:rFonts w:ascii="Calibri" w:hAnsi="Calibri" w:cs="Calibri"/>
          <w:sz w:val="18"/>
          <w:szCs w:val="18"/>
          <w:lang w:val="en-US"/>
        </w:rPr>
        <w:t>An acknowledgement of receipt is sent to the notifying person or entity (Art. 16-4 DSA).</w:t>
      </w:r>
    </w:p>
    <w:p w14:paraId="57435ED5" w14:textId="77777777" w:rsidR="00B27941" w:rsidRPr="00CF15A7" w:rsidRDefault="00B27941" w:rsidP="00B27941">
      <w:pPr>
        <w:jc w:val="both"/>
        <w:rPr>
          <w:rFonts w:ascii="Calibri" w:hAnsi="Calibri" w:cs="Calibri"/>
          <w:sz w:val="18"/>
          <w:szCs w:val="18"/>
          <w:lang w:val="en-US"/>
        </w:rPr>
      </w:pPr>
      <w:r w:rsidRPr="00CF15A7">
        <w:rPr>
          <w:rFonts w:ascii="Calibri" w:hAnsi="Calibri" w:cs="Calibri"/>
          <w:sz w:val="18"/>
          <w:szCs w:val="18"/>
          <w:lang w:val="en-US"/>
        </w:rPr>
        <w:t xml:space="preserve">If this formalism is not complied with, the irregular notification does not have </w:t>
      </w:r>
      <w:proofErr w:type="gramStart"/>
      <w:r w:rsidRPr="00CF15A7">
        <w:rPr>
          <w:rFonts w:ascii="Calibri" w:hAnsi="Calibri" w:cs="Calibri"/>
          <w:sz w:val="18"/>
          <w:szCs w:val="18"/>
          <w:lang w:val="en-US"/>
        </w:rPr>
        <w:t>effect</w:t>
      </w:r>
      <w:proofErr w:type="gramEnd"/>
      <w:r w:rsidRPr="00CF15A7">
        <w:rPr>
          <w:rFonts w:ascii="Calibri" w:hAnsi="Calibri" w:cs="Calibri"/>
          <w:sz w:val="18"/>
          <w:szCs w:val="18"/>
          <w:lang w:val="en-US"/>
        </w:rPr>
        <w:t xml:space="preserve"> and the platform is not liable for not having removed the disputed information. The Court of Cassation, ruling under the LCEN before the adoption of the DSA, was firm on this point in its 2011 Dailymotion decision:</w:t>
      </w:r>
    </w:p>
    <w:p w14:paraId="4E99E479" w14:textId="6D8540A4" w:rsidR="00B27941" w:rsidRPr="00CF15A7" w:rsidRDefault="00B27941" w:rsidP="00B27941">
      <w:pPr>
        <w:jc w:val="both"/>
        <w:rPr>
          <w:rFonts w:ascii="Calibri" w:hAnsi="Calibri" w:cs="Calibri"/>
          <w:sz w:val="18"/>
          <w:szCs w:val="18"/>
          <w:lang w:val="en-US"/>
        </w:rPr>
      </w:pPr>
      <w:r w:rsidRPr="00CF15A7">
        <w:rPr>
          <w:rFonts w:ascii="Calibri" w:hAnsi="Calibri" w:cs="Calibri"/>
          <w:sz w:val="18"/>
          <w:szCs w:val="18"/>
          <w:lang w:val="en-US"/>
        </w:rPr>
        <w:t>"The notification issued under the Law of 21 June 2004 must include all the information prescribed by this text; that the Court of Appeal, which found that the information set out in the formal notice was insufficient within the meaning of Article 6-I-5 of that law to satisfy the notifier's obligation to describe and locate the facts in dispute and that the notifier had not attached to his registered letter the bailiff's reports which he had had drawn up and which would have enabled the operator to have all the necessary information to the identification of the offending content, was able to deduce from this, without incurring the complaint of the plea, that no breach of the obligation of promptness to remove the illegal content or to prohibit access to it could be reproached to the company Dailymotion, which had only been effectively aware of the disputed content with the summons for a fixed day and the annexed documents".</w:t>
      </w:r>
    </w:p>
    <w:p w14:paraId="00DEE0A9" w14:textId="77777777" w:rsidR="00B27941" w:rsidRPr="00CF15A7" w:rsidRDefault="00B27941" w:rsidP="00B27941">
      <w:pPr>
        <w:jc w:val="both"/>
        <w:rPr>
          <w:rFonts w:ascii="Calibri" w:hAnsi="Calibri" w:cs="Calibri"/>
          <w:sz w:val="18"/>
          <w:szCs w:val="18"/>
          <w:lang w:val="en-US"/>
        </w:rPr>
      </w:pPr>
    </w:p>
    <w:p w14:paraId="2BB18E62" w14:textId="015D59B0" w:rsidR="00B27941" w:rsidRPr="00CF15A7" w:rsidRDefault="00B27941" w:rsidP="00B27941">
      <w:pPr>
        <w:pStyle w:val="Notedebasdepage"/>
        <w:jc w:val="both"/>
        <w:rPr>
          <w:rFonts w:ascii="Calibri" w:hAnsi="Calibri" w:cs="Calibri"/>
          <w:sz w:val="18"/>
          <w:szCs w:val="18"/>
          <w:lang w:val="en-US"/>
        </w:rPr>
      </w:pPr>
    </w:p>
  </w:footnote>
  <w:footnote w:id="11">
    <w:p w14:paraId="5317FE17" w14:textId="19453908" w:rsidR="00DC423B" w:rsidRPr="00CF15A7" w:rsidRDefault="00DC423B" w:rsidP="00B27941">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Cass. com., September 4, 2024, No. 22-12321.</w:t>
      </w:r>
    </w:p>
  </w:footnote>
  <w:footnote w:id="12">
    <w:p w14:paraId="09CA1385" w14:textId="00323AFB" w:rsidR="008F2F62" w:rsidRPr="00CF15A7" w:rsidRDefault="008F2F62">
      <w:pPr>
        <w:pStyle w:val="Notedebasdepage"/>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See, for example, Cass. 1st civ., Nov. 23, 2022, No. 21-10.220.</w:t>
      </w:r>
    </w:p>
  </w:footnote>
  <w:footnote w:id="13">
    <w:p w14:paraId="5A8E0489" w14:textId="7A285D14" w:rsidR="00657D9E" w:rsidRPr="00CF15A7" w:rsidRDefault="00657D9E">
      <w:pPr>
        <w:pStyle w:val="Notedebasdepage"/>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Cass. 1st civ., February 26, 2025, No. 23-16.762.</w:t>
      </w:r>
    </w:p>
  </w:footnote>
  <w:footnote w:id="14">
    <w:p w14:paraId="1D0E1D59" w14:textId="15F03D88" w:rsidR="00DC423B" w:rsidRPr="00CF15A7" w:rsidRDefault="00DC423B" w:rsidP="00B27941">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TGI Paris, ord. Ref. 8 November 2013, No. 11/60013.</w:t>
      </w:r>
    </w:p>
  </w:footnote>
  <w:footnote w:id="15">
    <w:p w14:paraId="51787011" w14:textId="70EDF912" w:rsidR="00DC423B" w:rsidRPr="00CF15A7" w:rsidRDefault="00DC423B" w:rsidP="00B27941">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CJEU, 24 November 2011, </w:t>
      </w:r>
      <w:proofErr w:type="spellStart"/>
      <w:r w:rsidRPr="00CF15A7">
        <w:rPr>
          <w:rFonts w:ascii="Calibri" w:hAnsi="Calibri" w:cs="Calibri"/>
          <w:sz w:val="18"/>
          <w:szCs w:val="18"/>
          <w:lang w:val="en-US"/>
        </w:rPr>
        <w:t>aff</w:t>
      </w:r>
      <w:proofErr w:type="spellEnd"/>
      <w:r w:rsidRPr="00CF15A7">
        <w:rPr>
          <w:rFonts w:ascii="Calibri" w:hAnsi="Calibri" w:cs="Calibri"/>
          <w:sz w:val="18"/>
          <w:szCs w:val="18"/>
          <w:lang w:val="en-US"/>
        </w:rPr>
        <w:t xml:space="preserve">. C-70/10, Scarlet v. SABAM. – CJEU, 16 February 2012, case No. C-360/10, SABAM v. </w:t>
      </w:r>
      <w:proofErr w:type="spellStart"/>
      <w:r w:rsidRPr="00CF15A7">
        <w:rPr>
          <w:rFonts w:ascii="Calibri" w:hAnsi="Calibri" w:cs="Calibri"/>
          <w:sz w:val="18"/>
          <w:szCs w:val="18"/>
          <w:lang w:val="en-US"/>
        </w:rPr>
        <w:t>Netlog</w:t>
      </w:r>
      <w:proofErr w:type="spellEnd"/>
      <w:r w:rsidRPr="00CF15A7">
        <w:rPr>
          <w:rFonts w:ascii="Calibri" w:hAnsi="Calibri" w:cs="Calibri"/>
          <w:sz w:val="18"/>
          <w:szCs w:val="18"/>
          <w:lang w:val="en-US"/>
        </w:rPr>
        <w:t xml:space="preserve">. </w:t>
      </w:r>
    </w:p>
  </w:footnote>
  <w:footnote w:id="16">
    <w:p w14:paraId="7FFCBB33" w14:textId="47816400" w:rsidR="00156690" w:rsidRPr="00CF15A7" w:rsidRDefault="00156690">
      <w:pPr>
        <w:pStyle w:val="Notedebasdepage"/>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CA Paris, April 12, 2023, No. 21/10585.</w:t>
      </w:r>
    </w:p>
  </w:footnote>
  <w:footnote w:id="17">
    <w:p w14:paraId="1CA5D76F" w14:textId="77777777" w:rsidR="00830A58" w:rsidRPr="00032A99" w:rsidRDefault="00830A58" w:rsidP="00B27941">
      <w:pPr>
        <w:pStyle w:val="Notedebasdepage"/>
        <w:jc w:val="both"/>
        <w:rPr>
          <w:rFonts w:ascii="Calibri" w:hAnsi="Calibri" w:cs="Calibri"/>
          <w:sz w:val="18"/>
          <w:szCs w:val="18"/>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T. com. Versailles, ord. ref. 5 March 2020, FIAC c/ Yuka, </w:t>
      </w:r>
      <w:proofErr w:type="spellStart"/>
      <w:r w:rsidRPr="00CF15A7">
        <w:rPr>
          <w:rFonts w:ascii="Calibri" w:hAnsi="Calibri" w:cs="Calibri"/>
          <w:sz w:val="18"/>
          <w:szCs w:val="18"/>
          <w:lang w:val="en-US"/>
        </w:rPr>
        <w:t>Contrats</w:t>
      </w:r>
      <w:proofErr w:type="spellEnd"/>
      <w:r w:rsidRPr="00CF15A7">
        <w:rPr>
          <w:rFonts w:ascii="Calibri" w:hAnsi="Calibri" w:cs="Calibri"/>
          <w:sz w:val="18"/>
          <w:szCs w:val="18"/>
          <w:lang w:val="en-US"/>
        </w:rPr>
        <w:t xml:space="preserve">, conc. </w:t>
      </w:r>
      <w:proofErr w:type="spellStart"/>
      <w:r w:rsidRPr="00CF15A7">
        <w:rPr>
          <w:rFonts w:ascii="Calibri" w:hAnsi="Calibri" w:cs="Calibri"/>
          <w:sz w:val="18"/>
          <w:szCs w:val="18"/>
          <w:lang w:val="en-US"/>
        </w:rPr>
        <w:t>consum</w:t>
      </w:r>
      <w:proofErr w:type="spellEnd"/>
      <w:r w:rsidRPr="00CF15A7">
        <w:rPr>
          <w:rFonts w:ascii="Calibri" w:hAnsi="Calibri" w:cs="Calibri"/>
          <w:sz w:val="18"/>
          <w:szCs w:val="18"/>
          <w:lang w:val="en-US"/>
        </w:rPr>
        <w:t xml:space="preserve">. 2020, comm. n° 81, obs. M. </w:t>
      </w:r>
      <w:proofErr w:type="spellStart"/>
      <w:r w:rsidRPr="00CF15A7">
        <w:rPr>
          <w:rFonts w:ascii="Calibri" w:hAnsi="Calibri" w:cs="Calibri"/>
          <w:sz w:val="18"/>
          <w:szCs w:val="18"/>
          <w:lang w:val="en-US"/>
        </w:rPr>
        <w:t>Malaurie-Vignal</w:t>
      </w:r>
      <w:proofErr w:type="spellEnd"/>
      <w:r w:rsidRPr="00CF15A7">
        <w:rPr>
          <w:rFonts w:ascii="Calibri" w:hAnsi="Calibri" w:cs="Calibri"/>
          <w:sz w:val="18"/>
          <w:szCs w:val="18"/>
          <w:lang w:val="en-US"/>
        </w:rPr>
        <w:t xml:space="preserve">. "T. com. </w:t>
      </w:r>
      <w:r w:rsidRPr="00DC4387">
        <w:rPr>
          <w:rFonts w:ascii="Calibri" w:hAnsi="Calibri" w:cs="Calibri"/>
          <w:sz w:val="18"/>
          <w:szCs w:val="18"/>
          <w:lang w:val="en-US"/>
        </w:rPr>
        <w:t xml:space="preserve">Paris, May 5, 2021; T. com. </w:t>
      </w:r>
      <w:r w:rsidRPr="00CF15A7">
        <w:rPr>
          <w:rFonts w:ascii="Calibri" w:hAnsi="Calibri" w:cs="Calibri"/>
          <w:sz w:val="18"/>
          <w:szCs w:val="18"/>
          <w:lang w:val="en-US"/>
        </w:rPr>
        <w:t xml:space="preserve">Aix-en-Provence, 13 Sept. 2021, No. 2021004507, ABC c/ Yuka: </w:t>
      </w:r>
      <w:proofErr w:type="spellStart"/>
      <w:r w:rsidRPr="00CF15A7">
        <w:rPr>
          <w:rFonts w:ascii="Calibri" w:hAnsi="Calibri" w:cs="Calibri"/>
          <w:sz w:val="18"/>
          <w:szCs w:val="18"/>
          <w:lang w:val="en-US"/>
        </w:rPr>
        <w:t>Dalloz</w:t>
      </w:r>
      <w:proofErr w:type="spellEnd"/>
      <w:r w:rsidRPr="00CF15A7">
        <w:rPr>
          <w:rFonts w:ascii="Calibri" w:hAnsi="Calibri" w:cs="Calibri"/>
          <w:sz w:val="18"/>
          <w:szCs w:val="18"/>
          <w:lang w:val="en-US"/>
        </w:rPr>
        <w:t xml:space="preserve">, IP/IT 2022, p. 163, note L. Watrin; T. com. </w:t>
      </w:r>
      <w:r w:rsidRPr="00032A99">
        <w:rPr>
          <w:rFonts w:ascii="Calibri" w:hAnsi="Calibri" w:cs="Calibri"/>
          <w:sz w:val="18"/>
          <w:szCs w:val="18"/>
        </w:rPr>
        <w:t>Brive, 24 Sep 2021.</w:t>
      </w:r>
    </w:p>
  </w:footnote>
  <w:footnote w:id="18">
    <w:p w14:paraId="21468748" w14:textId="77777777" w:rsidR="00830A58" w:rsidRPr="00032A99" w:rsidRDefault="00830A58" w:rsidP="00B27941">
      <w:pPr>
        <w:pStyle w:val="Notedebasdepage"/>
        <w:jc w:val="both"/>
        <w:rPr>
          <w:rFonts w:ascii="Calibri" w:hAnsi="Calibri" w:cs="Calibri"/>
          <w:sz w:val="18"/>
          <w:szCs w:val="18"/>
        </w:rPr>
      </w:pPr>
      <w:r w:rsidRPr="00032A99">
        <w:rPr>
          <w:rStyle w:val="Appelnotedebasdep"/>
          <w:rFonts w:ascii="Calibri" w:hAnsi="Calibri" w:cs="Calibri"/>
          <w:sz w:val="18"/>
          <w:szCs w:val="18"/>
        </w:rPr>
        <w:footnoteRef/>
      </w:r>
      <w:r w:rsidRPr="00032A99">
        <w:rPr>
          <w:rFonts w:ascii="Calibri" w:hAnsi="Calibri" w:cs="Calibri"/>
          <w:sz w:val="18"/>
          <w:szCs w:val="18"/>
        </w:rPr>
        <w:t xml:space="preserve"> </w:t>
      </w:r>
    </w:p>
  </w:footnote>
  <w:footnote w:id="19">
    <w:p w14:paraId="29C09359" w14:textId="77777777" w:rsidR="00830A58" w:rsidRPr="00032A99" w:rsidRDefault="00830A58" w:rsidP="00B27941">
      <w:pPr>
        <w:pStyle w:val="Notedebasdepage"/>
        <w:jc w:val="both"/>
        <w:rPr>
          <w:rFonts w:ascii="Calibri" w:hAnsi="Calibri" w:cs="Calibri"/>
          <w:sz w:val="18"/>
          <w:szCs w:val="18"/>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Cass. com., 9 Jan. 2019, No. 17-18350, published in the Bulletin, Comm. com. </w:t>
      </w:r>
      <w:proofErr w:type="spellStart"/>
      <w:r w:rsidRPr="00CF15A7">
        <w:rPr>
          <w:rFonts w:ascii="Calibri" w:hAnsi="Calibri" w:cs="Calibri"/>
          <w:sz w:val="18"/>
          <w:szCs w:val="18"/>
          <w:lang w:val="en-US"/>
        </w:rPr>
        <w:t>électr</w:t>
      </w:r>
      <w:proofErr w:type="spellEnd"/>
      <w:r w:rsidRPr="00CF15A7">
        <w:rPr>
          <w:rFonts w:ascii="Calibri" w:hAnsi="Calibri" w:cs="Calibri"/>
          <w:sz w:val="18"/>
          <w:szCs w:val="18"/>
          <w:lang w:val="en-US"/>
        </w:rPr>
        <w:t xml:space="preserve">. 2019, comm. No. 15, obs. C. Caron; D. 2019, p. 872, note J.-M. </w:t>
      </w:r>
      <w:proofErr w:type="spellStart"/>
      <w:r w:rsidRPr="00CF15A7">
        <w:rPr>
          <w:rFonts w:ascii="Calibri" w:hAnsi="Calibri" w:cs="Calibri"/>
          <w:sz w:val="18"/>
          <w:szCs w:val="18"/>
          <w:lang w:val="en-US"/>
        </w:rPr>
        <w:t>Bruguère</w:t>
      </w:r>
      <w:proofErr w:type="spellEnd"/>
      <w:r w:rsidRPr="00CF15A7">
        <w:rPr>
          <w:rFonts w:ascii="Calibri" w:hAnsi="Calibri" w:cs="Calibri"/>
          <w:sz w:val="18"/>
          <w:szCs w:val="18"/>
          <w:lang w:val="en-US"/>
        </w:rPr>
        <w:t xml:space="preserve"> and A. </w:t>
      </w:r>
      <w:proofErr w:type="spellStart"/>
      <w:r w:rsidRPr="00CF15A7">
        <w:rPr>
          <w:rFonts w:ascii="Calibri" w:hAnsi="Calibri" w:cs="Calibri"/>
          <w:sz w:val="18"/>
          <w:szCs w:val="18"/>
          <w:lang w:val="en-US"/>
        </w:rPr>
        <w:t>Bregou</w:t>
      </w:r>
      <w:proofErr w:type="spellEnd"/>
      <w:r w:rsidRPr="00CF15A7">
        <w:rPr>
          <w:rFonts w:ascii="Calibri" w:hAnsi="Calibri" w:cs="Calibri"/>
          <w:sz w:val="18"/>
          <w:szCs w:val="18"/>
          <w:lang w:val="en-US"/>
        </w:rPr>
        <w:t xml:space="preserve">; Prop. ind. 2019, comm. no. 21, obs. J. Larrieu. – Cass. com., 11 July 1919. 2018, No. 17-21457, Contracts, conc. </w:t>
      </w:r>
      <w:proofErr w:type="spellStart"/>
      <w:r w:rsidRPr="00CF15A7">
        <w:rPr>
          <w:rFonts w:ascii="Calibri" w:hAnsi="Calibri" w:cs="Calibri"/>
          <w:sz w:val="18"/>
          <w:szCs w:val="18"/>
          <w:lang w:val="en-US"/>
        </w:rPr>
        <w:t>consum</w:t>
      </w:r>
      <w:proofErr w:type="spellEnd"/>
      <w:r w:rsidRPr="00CF15A7">
        <w:rPr>
          <w:rFonts w:ascii="Calibri" w:hAnsi="Calibri" w:cs="Calibri"/>
          <w:sz w:val="18"/>
          <w:szCs w:val="18"/>
          <w:lang w:val="en-US"/>
        </w:rPr>
        <w:t xml:space="preserve">. 2018, comm. no. 191, obs. </w:t>
      </w:r>
      <w:r w:rsidRPr="00032A99">
        <w:rPr>
          <w:rFonts w:ascii="Calibri" w:hAnsi="Calibri" w:cs="Calibri"/>
          <w:sz w:val="18"/>
          <w:szCs w:val="18"/>
        </w:rPr>
        <w:t>M. Malaurie-</w:t>
      </w:r>
      <w:proofErr w:type="spellStart"/>
      <w:r w:rsidRPr="00032A99">
        <w:rPr>
          <w:rFonts w:ascii="Calibri" w:hAnsi="Calibri" w:cs="Calibri"/>
          <w:sz w:val="18"/>
          <w:szCs w:val="18"/>
        </w:rPr>
        <w:t>Vigna</w:t>
      </w:r>
      <w:proofErr w:type="spellEnd"/>
      <w:r w:rsidRPr="00032A99">
        <w:rPr>
          <w:rFonts w:ascii="Calibri" w:hAnsi="Calibri" w:cs="Calibri"/>
          <w:sz w:val="18"/>
          <w:szCs w:val="18"/>
        </w:rPr>
        <w:t xml:space="preserve">; D. 2018, p. 2010, note C. Bigot; RTD civ. 2018, p. 913, obs. </w:t>
      </w:r>
      <w:r w:rsidRPr="00CF15A7">
        <w:rPr>
          <w:rFonts w:ascii="Calibri" w:hAnsi="Calibri" w:cs="Calibri"/>
          <w:sz w:val="18"/>
          <w:szCs w:val="18"/>
          <w:lang w:val="en-US"/>
        </w:rPr>
        <w:t xml:space="preserve">P. </w:t>
      </w:r>
      <w:proofErr w:type="spellStart"/>
      <w:r w:rsidRPr="00CF15A7">
        <w:rPr>
          <w:rFonts w:ascii="Calibri" w:hAnsi="Calibri" w:cs="Calibri"/>
          <w:sz w:val="18"/>
          <w:szCs w:val="18"/>
          <w:lang w:val="en-US"/>
        </w:rPr>
        <w:t>jourdain</w:t>
      </w:r>
      <w:proofErr w:type="spellEnd"/>
      <w:r w:rsidRPr="00CF15A7">
        <w:rPr>
          <w:rFonts w:ascii="Calibri" w:hAnsi="Calibri" w:cs="Calibri"/>
          <w:sz w:val="18"/>
          <w:szCs w:val="18"/>
          <w:lang w:val="en-US"/>
        </w:rPr>
        <w:t xml:space="preserve">. – Cass. com., 4 March 2020, n° 18-15651, published in the Bulletin, </w:t>
      </w:r>
      <w:proofErr w:type="spellStart"/>
      <w:r w:rsidRPr="00CF15A7">
        <w:rPr>
          <w:rFonts w:ascii="Calibri" w:hAnsi="Calibri" w:cs="Calibri"/>
          <w:sz w:val="18"/>
          <w:szCs w:val="18"/>
          <w:lang w:val="en-US"/>
        </w:rPr>
        <w:t>Contrats</w:t>
      </w:r>
      <w:proofErr w:type="spellEnd"/>
      <w:r w:rsidRPr="00CF15A7">
        <w:rPr>
          <w:rFonts w:ascii="Calibri" w:hAnsi="Calibri" w:cs="Calibri"/>
          <w:sz w:val="18"/>
          <w:szCs w:val="18"/>
          <w:lang w:val="en-US"/>
        </w:rPr>
        <w:t xml:space="preserve">, conc. </w:t>
      </w:r>
      <w:proofErr w:type="spellStart"/>
      <w:r w:rsidRPr="00CF15A7">
        <w:rPr>
          <w:rFonts w:ascii="Calibri" w:hAnsi="Calibri" w:cs="Calibri"/>
          <w:sz w:val="18"/>
          <w:szCs w:val="18"/>
          <w:lang w:val="en-US"/>
        </w:rPr>
        <w:t>consum</w:t>
      </w:r>
      <w:proofErr w:type="spellEnd"/>
      <w:r w:rsidRPr="00CF15A7">
        <w:rPr>
          <w:rFonts w:ascii="Calibri" w:hAnsi="Calibri" w:cs="Calibri"/>
          <w:sz w:val="18"/>
          <w:szCs w:val="18"/>
          <w:lang w:val="en-US"/>
        </w:rPr>
        <w:t xml:space="preserve">. </w:t>
      </w:r>
      <w:r w:rsidRPr="00032A99">
        <w:rPr>
          <w:rFonts w:ascii="Calibri" w:hAnsi="Calibri" w:cs="Calibri"/>
          <w:sz w:val="18"/>
          <w:szCs w:val="18"/>
        </w:rPr>
        <w:t xml:space="preserve">2020, </w:t>
      </w:r>
      <w:proofErr w:type="spellStart"/>
      <w:r w:rsidRPr="00032A99">
        <w:rPr>
          <w:rFonts w:ascii="Calibri" w:hAnsi="Calibri" w:cs="Calibri"/>
          <w:sz w:val="18"/>
          <w:szCs w:val="18"/>
        </w:rPr>
        <w:t>comm</w:t>
      </w:r>
      <w:proofErr w:type="spellEnd"/>
      <w:r w:rsidRPr="00032A99">
        <w:rPr>
          <w:rFonts w:ascii="Calibri" w:hAnsi="Calibri" w:cs="Calibri"/>
          <w:sz w:val="18"/>
          <w:szCs w:val="18"/>
        </w:rPr>
        <w:t>. no. 96, obs. M. Malaurie-</w:t>
      </w:r>
      <w:proofErr w:type="gramStart"/>
      <w:r w:rsidRPr="00032A99">
        <w:rPr>
          <w:rFonts w:ascii="Calibri" w:hAnsi="Calibri" w:cs="Calibri"/>
          <w:sz w:val="18"/>
          <w:szCs w:val="18"/>
        </w:rPr>
        <w:t>Vignal;</w:t>
      </w:r>
      <w:proofErr w:type="gramEnd"/>
      <w:r w:rsidRPr="00032A99">
        <w:rPr>
          <w:rFonts w:ascii="Calibri" w:hAnsi="Calibri" w:cs="Calibri"/>
          <w:sz w:val="18"/>
          <w:szCs w:val="18"/>
        </w:rPr>
        <w:t xml:space="preserve"> </w:t>
      </w:r>
      <w:proofErr w:type="spellStart"/>
      <w:r w:rsidRPr="00032A99">
        <w:rPr>
          <w:rFonts w:ascii="Calibri" w:hAnsi="Calibri" w:cs="Calibri"/>
          <w:sz w:val="18"/>
          <w:szCs w:val="18"/>
        </w:rPr>
        <w:t>Comm</w:t>
      </w:r>
      <w:proofErr w:type="spellEnd"/>
      <w:r w:rsidRPr="00032A99">
        <w:rPr>
          <w:rFonts w:ascii="Calibri" w:hAnsi="Calibri" w:cs="Calibri"/>
          <w:sz w:val="18"/>
          <w:szCs w:val="18"/>
        </w:rPr>
        <w:t xml:space="preserve">. com. </w:t>
      </w:r>
      <w:proofErr w:type="spellStart"/>
      <w:r w:rsidRPr="00032A99">
        <w:rPr>
          <w:rFonts w:ascii="Calibri" w:hAnsi="Calibri" w:cs="Calibri"/>
          <w:sz w:val="18"/>
          <w:szCs w:val="18"/>
        </w:rPr>
        <w:t>électr</w:t>
      </w:r>
      <w:proofErr w:type="spellEnd"/>
      <w:r w:rsidRPr="00032A99">
        <w:rPr>
          <w:rFonts w:ascii="Calibri" w:hAnsi="Calibri" w:cs="Calibri"/>
          <w:sz w:val="18"/>
          <w:szCs w:val="18"/>
        </w:rPr>
        <w:t xml:space="preserve">. 2020, </w:t>
      </w:r>
      <w:proofErr w:type="spellStart"/>
      <w:r w:rsidRPr="00032A99">
        <w:rPr>
          <w:rFonts w:ascii="Calibri" w:hAnsi="Calibri" w:cs="Calibri"/>
          <w:sz w:val="18"/>
          <w:szCs w:val="18"/>
        </w:rPr>
        <w:t>comm</w:t>
      </w:r>
      <w:proofErr w:type="spellEnd"/>
      <w:r w:rsidRPr="00032A99">
        <w:rPr>
          <w:rFonts w:ascii="Calibri" w:hAnsi="Calibri" w:cs="Calibri"/>
          <w:sz w:val="18"/>
          <w:szCs w:val="18"/>
        </w:rPr>
        <w:t>. n° 41, obs. G. Loiseau.</w:t>
      </w:r>
    </w:p>
  </w:footnote>
  <w:footnote w:id="20">
    <w:p w14:paraId="5BE18E07" w14:textId="77777777" w:rsidR="00830A58" w:rsidRPr="00CF15A7" w:rsidRDefault="00830A58" w:rsidP="00B27941">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CA Aix, 8 Dec. 2022, No. 21/14555, </w:t>
      </w:r>
      <w:proofErr w:type="spellStart"/>
      <w:r w:rsidRPr="00CF15A7">
        <w:rPr>
          <w:rFonts w:ascii="Calibri" w:hAnsi="Calibri" w:cs="Calibri"/>
          <w:sz w:val="18"/>
          <w:szCs w:val="18"/>
          <w:lang w:val="en-US"/>
        </w:rPr>
        <w:t>Dalloz</w:t>
      </w:r>
      <w:proofErr w:type="spellEnd"/>
      <w:r w:rsidRPr="00CF15A7">
        <w:rPr>
          <w:rFonts w:ascii="Calibri" w:hAnsi="Calibri" w:cs="Calibri"/>
          <w:sz w:val="18"/>
          <w:szCs w:val="18"/>
          <w:lang w:val="en-US"/>
        </w:rPr>
        <w:t xml:space="preserve"> IP/IT 2023, p. 315, note L. Watrin; </w:t>
      </w:r>
      <w:proofErr w:type="spellStart"/>
      <w:r w:rsidRPr="00CF15A7">
        <w:rPr>
          <w:rFonts w:ascii="Calibri" w:hAnsi="Calibri" w:cs="Calibri"/>
          <w:sz w:val="18"/>
          <w:szCs w:val="18"/>
          <w:lang w:val="en-US"/>
        </w:rPr>
        <w:t>Dalloz</w:t>
      </w:r>
      <w:proofErr w:type="spellEnd"/>
      <w:r w:rsidRPr="00CF15A7">
        <w:rPr>
          <w:rFonts w:ascii="Calibri" w:hAnsi="Calibri" w:cs="Calibri"/>
          <w:sz w:val="18"/>
          <w:szCs w:val="18"/>
          <w:lang w:val="en-US"/>
        </w:rPr>
        <w:t xml:space="preserve"> News, 17 March 2023, note V. Giovannini; CA Limoges, 13 April 2023, RG n° 21/00929; CA Paris, 7 June 2023, RG n° 21/11775. </w:t>
      </w:r>
    </w:p>
  </w:footnote>
  <w:footnote w:id="21">
    <w:p w14:paraId="7712946E" w14:textId="77777777" w:rsidR="00830A58" w:rsidRPr="00CF15A7" w:rsidRDefault="00830A58" w:rsidP="00B27941">
      <w:pPr>
        <w:pStyle w:val="Notedebasdepage"/>
        <w:jc w:val="both"/>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CA Paris, June 7, 2023, op. cit. cit. </w:t>
      </w:r>
    </w:p>
  </w:footnote>
  <w:footnote w:id="22">
    <w:p w14:paraId="2966EBD5" w14:textId="0527FB3B" w:rsidR="00346379" w:rsidRPr="00CF15A7" w:rsidRDefault="00346379">
      <w:pPr>
        <w:pStyle w:val="Notedebasdepage"/>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Paris Court of Appeal, October 4, </w:t>
      </w:r>
      <w:proofErr w:type="gramStart"/>
      <w:r w:rsidRPr="00CF15A7">
        <w:rPr>
          <w:rFonts w:ascii="Calibri" w:hAnsi="Calibri" w:cs="Calibri"/>
          <w:sz w:val="18"/>
          <w:szCs w:val="18"/>
          <w:lang w:val="en-US"/>
        </w:rPr>
        <w:t>2023</w:t>
      </w:r>
      <w:proofErr w:type="gramEnd"/>
      <w:r w:rsidRPr="00CF15A7">
        <w:rPr>
          <w:rFonts w:ascii="Calibri" w:hAnsi="Calibri" w:cs="Calibri"/>
          <w:sz w:val="18"/>
          <w:szCs w:val="18"/>
          <w:lang w:val="en-US"/>
        </w:rPr>
        <w:t xml:space="preserve"> No. 21/22383</w:t>
      </w:r>
    </w:p>
  </w:footnote>
  <w:footnote w:id="23">
    <w:p w14:paraId="079811A8" w14:textId="1B1828FC" w:rsidR="00F73AA5" w:rsidRPr="00CF15A7" w:rsidRDefault="00F73AA5">
      <w:pPr>
        <w:pStyle w:val="Notedebasdepage"/>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Cass. Com. 9 April 2025 n° 23-22.122</w:t>
      </w:r>
    </w:p>
  </w:footnote>
  <w:footnote w:id="24">
    <w:p w14:paraId="36905BA4" w14:textId="393BA961" w:rsidR="00933F0B" w:rsidRPr="00CF15A7" w:rsidRDefault="00933F0B">
      <w:pPr>
        <w:pStyle w:val="Notedebasdepage"/>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Paris Court of Appeal, Pole 5, 11th Chamber, Chamber 11, 17 September 2021, No. 21/00416</w:t>
      </w:r>
    </w:p>
  </w:footnote>
  <w:footnote w:id="25">
    <w:p w14:paraId="4073230F" w14:textId="389CC426" w:rsidR="003966B3" w:rsidRPr="00032A99" w:rsidRDefault="003966B3">
      <w:pPr>
        <w:pStyle w:val="Notedebasdepage"/>
        <w:rPr>
          <w:rFonts w:ascii="Calibri" w:hAnsi="Calibri" w:cs="Calibri"/>
          <w:sz w:val="18"/>
          <w:szCs w:val="18"/>
        </w:rPr>
      </w:pPr>
      <w:r w:rsidRPr="00032A99">
        <w:rPr>
          <w:rStyle w:val="Appelnotedebasdep"/>
          <w:rFonts w:ascii="Calibri" w:hAnsi="Calibri" w:cs="Calibri"/>
          <w:sz w:val="18"/>
          <w:szCs w:val="18"/>
        </w:rPr>
        <w:footnoteRef/>
      </w:r>
      <w:r w:rsidRPr="00032A99">
        <w:rPr>
          <w:rFonts w:ascii="Calibri" w:hAnsi="Calibri" w:cs="Calibri"/>
          <w:sz w:val="18"/>
          <w:szCs w:val="18"/>
        </w:rPr>
        <w:t xml:space="preserve"> Cas. Com. </w:t>
      </w:r>
      <w:r w:rsidRPr="003966B3">
        <w:rPr>
          <w:rFonts w:ascii="Calibri" w:eastAsia="Times New Roman" w:hAnsi="Calibri" w:cs="Calibri"/>
          <w:kern w:val="0"/>
          <w:sz w:val="18"/>
          <w:szCs w:val="18"/>
          <w:lang w:eastAsia="fr-FR"/>
          <w14:ligatures w14:val="none"/>
        </w:rPr>
        <w:t>19 June 2019, n° 18-12.292</w:t>
      </w:r>
    </w:p>
  </w:footnote>
  <w:footnote w:id="26">
    <w:p w14:paraId="55CC3C2F" w14:textId="2A9B4810" w:rsidR="009B0F5B" w:rsidRPr="00CF15A7" w:rsidRDefault="009B0F5B">
      <w:pPr>
        <w:pStyle w:val="Notedebasdepage"/>
        <w:rPr>
          <w:rFonts w:ascii="Calibri" w:hAnsi="Calibri" w:cs="Calibri"/>
          <w:sz w:val="18"/>
          <w:szCs w:val="18"/>
          <w:lang w:val="en-US"/>
        </w:rPr>
      </w:pPr>
      <w:r w:rsidRPr="00032A99">
        <w:rPr>
          <w:rStyle w:val="Appelnotedebasdep"/>
          <w:rFonts w:ascii="Calibri" w:hAnsi="Calibri" w:cs="Calibri"/>
          <w:sz w:val="18"/>
          <w:szCs w:val="18"/>
        </w:rPr>
        <w:footnoteRef/>
      </w:r>
      <w:r w:rsidRPr="00032A99">
        <w:rPr>
          <w:rFonts w:ascii="Calibri" w:hAnsi="Calibri" w:cs="Calibri"/>
          <w:sz w:val="18"/>
          <w:szCs w:val="18"/>
        </w:rPr>
        <w:t xml:space="preserve"> Linda. </w:t>
      </w:r>
      <w:r w:rsidRPr="00CF15A7">
        <w:rPr>
          <w:rFonts w:ascii="Calibri" w:hAnsi="Calibri" w:cs="Calibri"/>
          <w:sz w:val="18"/>
          <w:szCs w:val="18"/>
          <w:lang w:val="en-US"/>
        </w:rPr>
        <w:t>Arcelin and Jean-Louis Fourgoux, Digital Market Law LGDJ 2024 § 393 et seq.</w:t>
      </w:r>
    </w:p>
  </w:footnote>
  <w:footnote w:id="27">
    <w:p w14:paraId="5F426494" w14:textId="01DDC6A7" w:rsidR="00C622A8" w:rsidRPr="00CF15A7" w:rsidRDefault="00C622A8">
      <w:pPr>
        <w:pStyle w:val="Notedebasdepage"/>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w:t>
      </w:r>
      <w:proofErr w:type="spellStart"/>
      <w:r w:rsidRPr="00CF15A7">
        <w:rPr>
          <w:rFonts w:ascii="Calibri" w:hAnsi="Calibri" w:cs="Calibri"/>
          <w:sz w:val="18"/>
          <w:szCs w:val="18"/>
          <w:lang w:val="en-US"/>
        </w:rPr>
        <w:t>Federgy</w:t>
      </w:r>
      <w:proofErr w:type="spellEnd"/>
      <w:r w:rsidRPr="00CF15A7">
        <w:rPr>
          <w:rFonts w:ascii="Calibri" w:hAnsi="Calibri" w:cs="Calibri"/>
          <w:sz w:val="18"/>
          <w:szCs w:val="18"/>
          <w:lang w:val="en-US"/>
        </w:rPr>
        <w:t xml:space="preserve"> – which represents 19 groups and 11,000 pharmacies – the profession's unions (FSPF, USPO, CNGPO, UDGPO)</w:t>
      </w:r>
    </w:p>
  </w:footnote>
  <w:footnote w:id="28">
    <w:p w14:paraId="6B5A76C7" w14:textId="02C1AF55" w:rsidR="00C622A8" w:rsidRPr="00CF15A7" w:rsidRDefault="00C622A8" w:rsidP="00C622A8">
      <w:pPr>
        <w:pStyle w:val="Notedebasdepage"/>
        <w:rPr>
          <w:rFonts w:ascii="Calibri" w:hAnsi="Calibri" w:cs="Calibri"/>
          <w:sz w:val="18"/>
          <w:szCs w:val="18"/>
          <w:lang w:val="en-US"/>
        </w:rPr>
      </w:pPr>
      <w:r w:rsidRPr="00032A99">
        <w:rPr>
          <w:rStyle w:val="Appelnotedebasdep"/>
          <w:rFonts w:ascii="Calibri" w:hAnsi="Calibri" w:cs="Calibri"/>
          <w:sz w:val="18"/>
          <w:szCs w:val="18"/>
        </w:rPr>
        <w:footnoteRef/>
      </w:r>
      <w:r w:rsidRPr="00CF15A7">
        <w:rPr>
          <w:rFonts w:ascii="Calibri" w:hAnsi="Calibri" w:cs="Calibri"/>
          <w:sz w:val="18"/>
          <w:szCs w:val="18"/>
          <w:lang w:val="en-US"/>
        </w:rPr>
        <w:t xml:space="preserve"> </w:t>
      </w:r>
      <w:proofErr w:type="spellStart"/>
      <w:r w:rsidRPr="00CF15A7">
        <w:rPr>
          <w:rFonts w:ascii="Calibri" w:hAnsi="Calibri" w:cs="Calibri"/>
          <w:sz w:val="18"/>
          <w:szCs w:val="18"/>
          <w:lang w:val="en-US"/>
        </w:rPr>
        <w:t>laRevuePharma</w:t>
      </w:r>
      <w:proofErr w:type="spellEnd"/>
      <w:r w:rsidRPr="00CF15A7">
        <w:rPr>
          <w:rFonts w:ascii="Calibri" w:hAnsi="Calibri" w:cs="Calibri"/>
          <w:sz w:val="18"/>
          <w:szCs w:val="18"/>
          <w:lang w:val="en-US"/>
        </w:rPr>
        <w:t xml:space="preserve"> .</w:t>
      </w:r>
      <w:proofErr w:type="spellStart"/>
      <w:r w:rsidRPr="00CF15A7">
        <w:rPr>
          <w:rFonts w:ascii="Calibri" w:hAnsi="Calibri" w:cs="Calibri"/>
          <w:sz w:val="18"/>
          <w:szCs w:val="18"/>
          <w:lang w:val="en-US"/>
        </w:rPr>
        <w:t>fr</w:t>
      </w:r>
      <w:proofErr w:type="spellEnd"/>
      <w:r w:rsidRPr="00CF15A7">
        <w:rPr>
          <w:rFonts w:ascii="Calibri" w:hAnsi="Calibri" w:cs="Calibri"/>
          <w:sz w:val="18"/>
          <w:szCs w:val="18"/>
          <w:lang w:val="en-US"/>
        </w:rPr>
        <w:t xml:space="preserve"> 25 May 2025 </w:t>
      </w:r>
      <w:hyperlink r:id="rId1" w:history="1">
        <w:r w:rsidR="00032A99" w:rsidRPr="00CF15A7">
          <w:rPr>
            <w:rStyle w:val="Lienhypertexte"/>
            <w:rFonts w:ascii="Calibri" w:hAnsi="Calibri" w:cs="Calibri"/>
            <w:sz w:val="18"/>
            <w:szCs w:val="18"/>
            <w:lang w:val="en-US"/>
          </w:rPr>
          <w:t>https://www.revuepharma.fr/2025/05/vente-en-ligne-de-medicaments-la-profession-contre-attaque-et-lancera-ma-pharmacie-en-france-en-octobre/</w:t>
        </w:r>
      </w:hyperlink>
    </w:p>
    <w:p w14:paraId="7F087FF9" w14:textId="77777777" w:rsidR="00032A99" w:rsidRPr="00CF15A7" w:rsidRDefault="00032A99" w:rsidP="00C622A8">
      <w:pPr>
        <w:pStyle w:val="Notedebasdepage"/>
        <w:rPr>
          <w:rFonts w:ascii="Calibri" w:hAnsi="Calibri" w:cs="Calibri"/>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EE90" w14:textId="77777777" w:rsidR="0065000D" w:rsidRDefault="0065000D" w:rsidP="0065000D">
    <w:pPr>
      <w:pStyle w:val="En-tte"/>
      <w:ind w:left="-851"/>
      <w:rPr>
        <w:noProof/>
      </w:rPr>
    </w:pPr>
    <w:r>
      <w:rPr>
        <w:noProof/>
      </w:rPr>
      <w:drawing>
        <wp:inline distT="0" distB="0" distL="0" distR="0" wp14:anchorId="156866E4" wp14:editId="365117DD">
          <wp:extent cx="1676400" cy="817245"/>
          <wp:effectExtent l="0" t="0" r="0" b="0"/>
          <wp:docPr id="1" name="Picture" descr="Une image contenant texte, Police, diagramme, lign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 name="Picture" descr="Une image contenant texte, Police, diagramme, ligne&#10;&#10;Le contenu généré par l’IA peut être incorrect."/>
                  <pic:cNvPicPr preferRelativeResize="0"/>
                </pic:nvPicPr>
                <pic:blipFill>
                  <a:blip r:embed="rId1"/>
                  <a:stretch>
                    <a:fillRect/>
                  </a:stretch>
                </pic:blipFill>
                <pic:spPr>
                  <a:xfrm>
                    <a:off x="0" y="0"/>
                    <a:ext cx="1676400" cy="817245"/>
                  </a:xfrm>
                  <a:prstGeom prst="rect">
                    <a:avLst/>
                  </a:prstGeom>
                </pic:spPr>
              </pic:pic>
            </a:graphicData>
          </a:graphic>
        </wp:inline>
      </w:drawing>
    </w:r>
    <w:r w:rsidR="00DC4387">
      <w:rPr>
        <w:noProof/>
      </w:rPr>
      <w:tab/>
    </w:r>
  </w:p>
  <w:p w14:paraId="3685C5B7" w14:textId="5D5FC9C6" w:rsidR="00F92930" w:rsidRPr="0065000D" w:rsidRDefault="0065000D" w:rsidP="00DC4387">
    <w:pPr>
      <w:pStyle w:val="En-tte"/>
      <w:rPr>
        <w:noProof/>
      </w:rPr>
    </w:pPr>
    <w:r>
      <w:rPr>
        <w:noProof/>
      </w:rPr>
      <w:tab/>
    </w:r>
    <w:r w:rsidR="00F92930" w:rsidRPr="00F92930">
      <w:t xml:space="preserve">French report LIDC </w:t>
    </w:r>
    <w:proofErr w:type="spellStart"/>
    <w:r w:rsidR="00F92930" w:rsidRPr="00F92930">
      <w:t>congress</w:t>
    </w:r>
    <w:proofErr w:type="spellEnd"/>
    <w:r w:rsidR="00F92930" w:rsidRPr="00F92930">
      <w:t xml:space="preserve"> Vienna</w:t>
    </w:r>
  </w:p>
  <w:p w14:paraId="1843E64D" w14:textId="3EDB5792" w:rsidR="00F92930" w:rsidRDefault="00F92930" w:rsidP="00A344DE">
    <w:pPr>
      <w:pStyle w:val="En-tte"/>
      <w:jc w:val="center"/>
    </w:pPr>
    <w:r w:rsidRPr="00F92930">
      <w:t xml:space="preserve">International Rapporteur Professor Nikolaus </w:t>
    </w:r>
    <w:proofErr w:type="spellStart"/>
    <w:r w:rsidRPr="00F92930">
      <w:t>Forgó</w:t>
    </w:r>
    <w:proofErr w:type="spellEnd"/>
  </w:p>
  <w:p w14:paraId="58E6DCA5" w14:textId="77777777" w:rsidR="0065000D" w:rsidRDefault="0065000D" w:rsidP="0065000D">
    <w:pPr>
      <w:jc w:val="both"/>
      <w:rPr>
        <w:rFonts w:ascii="Calibri" w:hAnsi="Calibri" w:cs="Calibri"/>
        <w:b/>
        <w:bCs/>
        <w:sz w:val="22"/>
        <w:szCs w:val="22"/>
        <w:lang w:val="en-US"/>
      </w:rPr>
    </w:pPr>
  </w:p>
  <w:p w14:paraId="476D973A" w14:textId="14DB27C6" w:rsidR="0065000D" w:rsidRPr="00CF15A7" w:rsidRDefault="0065000D" w:rsidP="0065000D">
    <w:pPr>
      <w:jc w:val="both"/>
      <w:rPr>
        <w:rFonts w:ascii="Calibri" w:hAnsi="Calibri" w:cs="Calibri"/>
        <w:sz w:val="22"/>
        <w:szCs w:val="22"/>
        <w:lang w:val="en-US"/>
      </w:rPr>
    </w:pPr>
    <w:r w:rsidRPr="00CF15A7">
      <w:rPr>
        <w:rFonts w:ascii="Calibri" w:hAnsi="Calibri" w:cs="Calibri"/>
        <w:b/>
        <w:bCs/>
        <w:sz w:val="22"/>
        <w:szCs w:val="22"/>
        <w:lang w:val="en-US"/>
      </w:rPr>
      <w:t>Linda Arcelin</w:t>
    </w:r>
    <w:r w:rsidRPr="00CF15A7">
      <w:rPr>
        <w:rFonts w:ascii="Calibri" w:hAnsi="Calibri" w:cs="Calibri"/>
        <w:sz w:val="22"/>
        <w:szCs w:val="22"/>
        <w:lang w:val="en-US"/>
      </w:rPr>
      <w:t xml:space="preserve"> </w:t>
    </w:r>
    <w:r>
      <w:rPr>
        <w:rFonts w:ascii="Calibri" w:hAnsi="Calibri" w:cs="Calibri"/>
        <w:sz w:val="22"/>
        <w:szCs w:val="22"/>
        <w:lang w:val="en-US"/>
      </w:rPr>
      <w:t xml:space="preserve">Professor </w:t>
    </w:r>
    <w:r w:rsidRPr="00CF15A7">
      <w:rPr>
        <w:rFonts w:ascii="Calibri" w:hAnsi="Calibri" w:cs="Calibri"/>
        <w:sz w:val="22"/>
        <w:szCs w:val="22"/>
        <w:lang w:val="en-US"/>
      </w:rPr>
      <w:t>University of Law and Political Science of La Rochelle</w:t>
    </w:r>
  </w:p>
  <w:p w14:paraId="524F6BD4" w14:textId="77777777" w:rsidR="0065000D" w:rsidRPr="00C126E7" w:rsidRDefault="0065000D" w:rsidP="0065000D">
    <w:pPr>
      <w:jc w:val="both"/>
      <w:rPr>
        <w:rFonts w:ascii="Calibri" w:hAnsi="Calibri" w:cs="Calibri"/>
        <w:sz w:val="22"/>
        <w:szCs w:val="22"/>
      </w:rPr>
    </w:pPr>
    <w:r w:rsidRPr="00C126E7">
      <w:rPr>
        <w:rFonts w:ascii="Calibri" w:hAnsi="Calibri" w:cs="Calibri"/>
        <w:b/>
        <w:bCs/>
        <w:sz w:val="22"/>
        <w:szCs w:val="22"/>
      </w:rPr>
      <w:t xml:space="preserve">Jean-Louis Fourgoux </w:t>
    </w:r>
    <w:r w:rsidRPr="00C126E7">
      <w:rPr>
        <w:rFonts w:ascii="Calibri" w:hAnsi="Calibri" w:cs="Calibri"/>
        <w:sz w:val="22"/>
        <w:szCs w:val="22"/>
      </w:rPr>
      <w:t>Partner Mermoz Paris-Brussels</w:t>
    </w:r>
  </w:p>
  <w:p w14:paraId="57D2A76B" w14:textId="77777777" w:rsidR="0065000D" w:rsidRPr="00F92930" w:rsidRDefault="0065000D" w:rsidP="00A344DE">
    <w:pPr>
      <w:pStyle w:val="En-tte"/>
      <w:jc w:val="center"/>
    </w:pPr>
  </w:p>
  <w:p w14:paraId="578AB671" w14:textId="77777777" w:rsidR="00A344DE" w:rsidRDefault="00A344DE" w:rsidP="00F92930">
    <w:pPr>
      <w:pStyle w:val="En-tte"/>
      <w:rPr>
        <w:b/>
        <w:bCs/>
      </w:rPr>
    </w:pPr>
  </w:p>
  <w:p w14:paraId="4F3C8765" w14:textId="77777777" w:rsidR="00A344DE" w:rsidRDefault="00A344DE" w:rsidP="00F929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174E2EE">
      <w:start w:val="1"/>
      <w:numFmt w:val="bullet"/>
      <w:lvlText w:val=""/>
      <w:lvlJc w:val="left"/>
      <w:pPr>
        <w:ind w:left="720" w:hanging="360"/>
      </w:pPr>
      <w:rPr>
        <w:rFonts w:ascii="Symbol" w:hAnsi="Symbol"/>
      </w:rPr>
    </w:lvl>
    <w:lvl w:ilvl="1" w:tplc="3F68E01C">
      <w:start w:val="1"/>
      <w:numFmt w:val="bullet"/>
      <w:lvlText w:val="o"/>
      <w:lvlJc w:val="left"/>
      <w:pPr>
        <w:tabs>
          <w:tab w:val="num" w:pos="1440"/>
        </w:tabs>
        <w:ind w:left="1440" w:hanging="360"/>
      </w:pPr>
      <w:rPr>
        <w:rFonts w:ascii="Courier New" w:hAnsi="Courier New"/>
      </w:rPr>
    </w:lvl>
    <w:lvl w:ilvl="2" w:tplc="17AC9746">
      <w:start w:val="1"/>
      <w:numFmt w:val="bullet"/>
      <w:lvlText w:val=""/>
      <w:lvlJc w:val="left"/>
      <w:pPr>
        <w:tabs>
          <w:tab w:val="num" w:pos="2160"/>
        </w:tabs>
        <w:ind w:left="2160" w:hanging="360"/>
      </w:pPr>
      <w:rPr>
        <w:rFonts w:ascii="Wingdings" w:hAnsi="Wingdings"/>
      </w:rPr>
    </w:lvl>
    <w:lvl w:ilvl="3" w:tplc="DC6A7B48">
      <w:start w:val="1"/>
      <w:numFmt w:val="bullet"/>
      <w:lvlText w:val=""/>
      <w:lvlJc w:val="left"/>
      <w:pPr>
        <w:tabs>
          <w:tab w:val="num" w:pos="2880"/>
        </w:tabs>
        <w:ind w:left="2880" w:hanging="360"/>
      </w:pPr>
      <w:rPr>
        <w:rFonts w:ascii="Symbol" w:hAnsi="Symbol"/>
      </w:rPr>
    </w:lvl>
    <w:lvl w:ilvl="4" w:tplc="0540C94C">
      <w:start w:val="1"/>
      <w:numFmt w:val="bullet"/>
      <w:lvlText w:val="o"/>
      <w:lvlJc w:val="left"/>
      <w:pPr>
        <w:tabs>
          <w:tab w:val="num" w:pos="3600"/>
        </w:tabs>
        <w:ind w:left="3600" w:hanging="360"/>
      </w:pPr>
      <w:rPr>
        <w:rFonts w:ascii="Courier New" w:hAnsi="Courier New"/>
      </w:rPr>
    </w:lvl>
    <w:lvl w:ilvl="5" w:tplc="E12A9A28">
      <w:start w:val="1"/>
      <w:numFmt w:val="bullet"/>
      <w:lvlText w:val=""/>
      <w:lvlJc w:val="left"/>
      <w:pPr>
        <w:tabs>
          <w:tab w:val="num" w:pos="4320"/>
        </w:tabs>
        <w:ind w:left="4320" w:hanging="360"/>
      </w:pPr>
      <w:rPr>
        <w:rFonts w:ascii="Wingdings" w:hAnsi="Wingdings"/>
      </w:rPr>
    </w:lvl>
    <w:lvl w:ilvl="6" w:tplc="8C02B61A">
      <w:start w:val="1"/>
      <w:numFmt w:val="bullet"/>
      <w:lvlText w:val=""/>
      <w:lvlJc w:val="left"/>
      <w:pPr>
        <w:tabs>
          <w:tab w:val="num" w:pos="5040"/>
        </w:tabs>
        <w:ind w:left="5040" w:hanging="360"/>
      </w:pPr>
      <w:rPr>
        <w:rFonts w:ascii="Symbol" w:hAnsi="Symbol"/>
      </w:rPr>
    </w:lvl>
    <w:lvl w:ilvl="7" w:tplc="7D62B7A8">
      <w:start w:val="1"/>
      <w:numFmt w:val="bullet"/>
      <w:lvlText w:val="o"/>
      <w:lvlJc w:val="left"/>
      <w:pPr>
        <w:tabs>
          <w:tab w:val="num" w:pos="5760"/>
        </w:tabs>
        <w:ind w:left="5760" w:hanging="360"/>
      </w:pPr>
      <w:rPr>
        <w:rFonts w:ascii="Courier New" w:hAnsi="Courier New"/>
      </w:rPr>
    </w:lvl>
    <w:lvl w:ilvl="8" w:tplc="25D2741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770E230">
      <w:start w:val="1"/>
      <w:numFmt w:val="bullet"/>
      <w:lvlText w:val=""/>
      <w:lvlJc w:val="left"/>
      <w:pPr>
        <w:ind w:left="720" w:hanging="360"/>
      </w:pPr>
      <w:rPr>
        <w:rFonts w:ascii="Symbol" w:hAnsi="Symbol"/>
      </w:rPr>
    </w:lvl>
    <w:lvl w:ilvl="1" w:tplc="DCA429E4">
      <w:start w:val="1"/>
      <w:numFmt w:val="bullet"/>
      <w:lvlText w:val="o"/>
      <w:lvlJc w:val="left"/>
      <w:pPr>
        <w:tabs>
          <w:tab w:val="num" w:pos="1440"/>
        </w:tabs>
        <w:ind w:left="1440" w:hanging="360"/>
      </w:pPr>
      <w:rPr>
        <w:rFonts w:ascii="Courier New" w:hAnsi="Courier New"/>
      </w:rPr>
    </w:lvl>
    <w:lvl w:ilvl="2" w:tplc="6F86EA44">
      <w:start w:val="1"/>
      <w:numFmt w:val="bullet"/>
      <w:lvlText w:val=""/>
      <w:lvlJc w:val="left"/>
      <w:pPr>
        <w:tabs>
          <w:tab w:val="num" w:pos="2160"/>
        </w:tabs>
        <w:ind w:left="2160" w:hanging="360"/>
      </w:pPr>
      <w:rPr>
        <w:rFonts w:ascii="Wingdings" w:hAnsi="Wingdings"/>
      </w:rPr>
    </w:lvl>
    <w:lvl w:ilvl="3" w:tplc="EAB023CE">
      <w:start w:val="1"/>
      <w:numFmt w:val="bullet"/>
      <w:lvlText w:val=""/>
      <w:lvlJc w:val="left"/>
      <w:pPr>
        <w:tabs>
          <w:tab w:val="num" w:pos="2880"/>
        </w:tabs>
        <w:ind w:left="2880" w:hanging="360"/>
      </w:pPr>
      <w:rPr>
        <w:rFonts w:ascii="Symbol" w:hAnsi="Symbol"/>
      </w:rPr>
    </w:lvl>
    <w:lvl w:ilvl="4" w:tplc="F5E2A424">
      <w:start w:val="1"/>
      <w:numFmt w:val="bullet"/>
      <w:lvlText w:val="o"/>
      <w:lvlJc w:val="left"/>
      <w:pPr>
        <w:tabs>
          <w:tab w:val="num" w:pos="3600"/>
        </w:tabs>
        <w:ind w:left="3600" w:hanging="360"/>
      </w:pPr>
      <w:rPr>
        <w:rFonts w:ascii="Courier New" w:hAnsi="Courier New"/>
      </w:rPr>
    </w:lvl>
    <w:lvl w:ilvl="5" w:tplc="91421196">
      <w:start w:val="1"/>
      <w:numFmt w:val="bullet"/>
      <w:lvlText w:val=""/>
      <w:lvlJc w:val="left"/>
      <w:pPr>
        <w:tabs>
          <w:tab w:val="num" w:pos="4320"/>
        </w:tabs>
        <w:ind w:left="4320" w:hanging="360"/>
      </w:pPr>
      <w:rPr>
        <w:rFonts w:ascii="Wingdings" w:hAnsi="Wingdings"/>
      </w:rPr>
    </w:lvl>
    <w:lvl w:ilvl="6" w:tplc="F3F47A7C">
      <w:start w:val="1"/>
      <w:numFmt w:val="bullet"/>
      <w:lvlText w:val=""/>
      <w:lvlJc w:val="left"/>
      <w:pPr>
        <w:tabs>
          <w:tab w:val="num" w:pos="5040"/>
        </w:tabs>
        <w:ind w:left="5040" w:hanging="360"/>
      </w:pPr>
      <w:rPr>
        <w:rFonts w:ascii="Symbol" w:hAnsi="Symbol"/>
      </w:rPr>
    </w:lvl>
    <w:lvl w:ilvl="7" w:tplc="4C8E7CD8">
      <w:start w:val="1"/>
      <w:numFmt w:val="bullet"/>
      <w:lvlText w:val="o"/>
      <w:lvlJc w:val="left"/>
      <w:pPr>
        <w:tabs>
          <w:tab w:val="num" w:pos="5760"/>
        </w:tabs>
        <w:ind w:left="5760" w:hanging="360"/>
      </w:pPr>
      <w:rPr>
        <w:rFonts w:ascii="Courier New" w:hAnsi="Courier New"/>
      </w:rPr>
    </w:lvl>
    <w:lvl w:ilvl="8" w:tplc="F08E02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123E5504">
      <w:start w:val="1"/>
      <w:numFmt w:val="bullet"/>
      <w:lvlText w:val=""/>
      <w:lvlJc w:val="left"/>
      <w:pPr>
        <w:ind w:left="720" w:hanging="360"/>
      </w:pPr>
      <w:rPr>
        <w:rFonts w:ascii="Symbol" w:hAnsi="Symbol"/>
      </w:rPr>
    </w:lvl>
    <w:lvl w:ilvl="1" w:tplc="1072440C">
      <w:start w:val="1"/>
      <w:numFmt w:val="bullet"/>
      <w:lvlText w:val="o"/>
      <w:lvlJc w:val="left"/>
      <w:pPr>
        <w:tabs>
          <w:tab w:val="num" w:pos="1440"/>
        </w:tabs>
        <w:ind w:left="1440" w:hanging="360"/>
      </w:pPr>
      <w:rPr>
        <w:rFonts w:ascii="Courier New" w:hAnsi="Courier New"/>
      </w:rPr>
    </w:lvl>
    <w:lvl w:ilvl="2" w:tplc="D9B6A612">
      <w:start w:val="1"/>
      <w:numFmt w:val="bullet"/>
      <w:lvlText w:val=""/>
      <w:lvlJc w:val="left"/>
      <w:pPr>
        <w:tabs>
          <w:tab w:val="num" w:pos="2160"/>
        </w:tabs>
        <w:ind w:left="2160" w:hanging="360"/>
      </w:pPr>
      <w:rPr>
        <w:rFonts w:ascii="Wingdings" w:hAnsi="Wingdings"/>
      </w:rPr>
    </w:lvl>
    <w:lvl w:ilvl="3" w:tplc="A122FFCC">
      <w:start w:val="1"/>
      <w:numFmt w:val="bullet"/>
      <w:lvlText w:val=""/>
      <w:lvlJc w:val="left"/>
      <w:pPr>
        <w:tabs>
          <w:tab w:val="num" w:pos="2880"/>
        </w:tabs>
        <w:ind w:left="2880" w:hanging="360"/>
      </w:pPr>
      <w:rPr>
        <w:rFonts w:ascii="Symbol" w:hAnsi="Symbol"/>
      </w:rPr>
    </w:lvl>
    <w:lvl w:ilvl="4" w:tplc="D614731C">
      <w:start w:val="1"/>
      <w:numFmt w:val="bullet"/>
      <w:lvlText w:val="o"/>
      <w:lvlJc w:val="left"/>
      <w:pPr>
        <w:tabs>
          <w:tab w:val="num" w:pos="3600"/>
        </w:tabs>
        <w:ind w:left="3600" w:hanging="360"/>
      </w:pPr>
      <w:rPr>
        <w:rFonts w:ascii="Courier New" w:hAnsi="Courier New"/>
      </w:rPr>
    </w:lvl>
    <w:lvl w:ilvl="5" w:tplc="5D448296">
      <w:start w:val="1"/>
      <w:numFmt w:val="bullet"/>
      <w:lvlText w:val=""/>
      <w:lvlJc w:val="left"/>
      <w:pPr>
        <w:tabs>
          <w:tab w:val="num" w:pos="4320"/>
        </w:tabs>
        <w:ind w:left="4320" w:hanging="360"/>
      </w:pPr>
      <w:rPr>
        <w:rFonts w:ascii="Wingdings" w:hAnsi="Wingdings"/>
      </w:rPr>
    </w:lvl>
    <w:lvl w:ilvl="6" w:tplc="160882F4">
      <w:start w:val="1"/>
      <w:numFmt w:val="bullet"/>
      <w:lvlText w:val=""/>
      <w:lvlJc w:val="left"/>
      <w:pPr>
        <w:tabs>
          <w:tab w:val="num" w:pos="5040"/>
        </w:tabs>
        <w:ind w:left="5040" w:hanging="360"/>
      </w:pPr>
      <w:rPr>
        <w:rFonts w:ascii="Symbol" w:hAnsi="Symbol"/>
      </w:rPr>
    </w:lvl>
    <w:lvl w:ilvl="7" w:tplc="49A25EFE">
      <w:start w:val="1"/>
      <w:numFmt w:val="bullet"/>
      <w:lvlText w:val="o"/>
      <w:lvlJc w:val="left"/>
      <w:pPr>
        <w:tabs>
          <w:tab w:val="num" w:pos="5760"/>
        </w:tabs>
        <w:ind w:left="5760" w:hanging="360"/>
      </w:pPr>
      <w:rPr>
        <w:rFonts w:ascii="Courier New" w:hAnsi="Courier New"/>
      </w:rPr>
    </w:lvl>
    <w:lvl w:ilvl="8" w:tplc="CB0066B6">
      <w:start w:val="1"/>
      <w:numFmt w:val="bullet"/>
      <w:lvlText w:val=""/>
      <w:lvlJc w:val="left"/>
      <w:pPr>
        <w:tabs>
          <w:tab w:val="num" w:pos="6480"/>
        </w:tabs>
        <w:ind w:left="6480" w:hanging="360"/>
      </w:pPr>
      <w:rPr>
        <w:rFonts w:ascii="Wingdings" w:hAnsi="Wingdings"/>
      </w:rPr>
    </w:lvl>
  </w:abstractNum>
  <w:abstractNum w:abstractNumId="3" w15:restartNumberingAfterBreak="0">
    <w:nsid w:val="00057C2D"/>
    <w:multiLevelType w:val="hybridMultilevel"/>
    <w:tmpl w:val="6D84CD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15677A5"/>
    <w:multiLevelType w:val="hybridMultilevel"/>
    <w:tmpl w:val="973AF2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0643A7"/>
    <w:multiLevelType w:val="hybridMultilevel"/>
    <w:tmpl w:val="4F2A9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696B30"/>
    <w:multiLevelType w:val="hybridMultilevel"/>
    <w:tmpl w:val="A39CF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55657F"/>
    <w:multiLevelType w:val="hybridMultilevel"/>
    <w:tmpl w:val="0CB48FF0"/>
    <w:lvl w:ilvl="0" w:tplc="719A9E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666D80"/>
    <w:multiLevelType w:val="hybridMultilevel"/>
    <w:tmpl w:val="11D20454"/>
    <w:lvl w:ilvl="0" w:tplc="870E988A">
      <w:start w:val="1"/>
      <w:numFmt w:val="bullet"/>
      <w:lvlText w:val="o"/>
      <w:lvlJc w:val="left"/>
      <w:pPr>
        <w:tabs>
          <w:tab w:val="num" w:pos="720"/>
        </w:tabs>
        <w:ind w:left="720" w:hanging="360"/>
      </w:pPr>
      <w:rPr>
        <w:rFonts w:ascii="Courier New" w:hAnsi="Courier New" w:hint="default"/>
      </w:rPr>
    </w:lvl>
    <w:lvl w:ilvl="1" w:tplc="7D00F40A" w:tentative="1">
      <w:start w:val="1"/>
      <w:numFmt w:val="bullet"/>
      <w:lvlText w:val="o"/>
      <w:lvlJc w:val="left"/>
      <w:pPr>
        <w:tabs>
          <w:tab w:val="num" w:pos="1440"/>
        </w:tabs>
        <w:ind w:left="1440" w:hanging="360"/>
      </w:pPr>
      <w:rPr>
        <w:rFonts w:ascii="Courier New" w:hAnsi="Courier New" w:hint="default"/>
      </w:rPr>
    </w:lvl>
    <w:lvl w:ilvl="2" w:tplc="CEA66620" w:tentative="1">
      <w:start w:val="1"/>
      <w:numFmt w:val="bullet"/>
      <w:lvlText w:val="o"/>
      <w:lvlJc w:val="left"/>
      <w:pPr>
        <w:tabs>
          <w:tab w:val="num" w:pos="2160"/>
        </w:tabs>
        <w:ind w:left="2160" w:hanging="360"/>
      </w:pPr>
      <w:rPr>
        <w:rFonts w:ascii="Courier New" w:hAnsi="Courier New" w:hint="default"/>
      </w:rPr>
    </w:lvl>
    <w:lvl w:ilvl="3" w:tplc="64800164" w:tentative="1">
      <w:start w:val="1"/>
      <w:numFmt w:val="bullet"/>
      <w:lvlText w:val="o"/>
      <w:lvlJc w:val="left"/>
      <w:pPr>
        <w:tabs>
          <w:tab w:val="num" w:pos="2880"/>
        </w:tabs>
        <w:ind w:left="2880" w:hanging="360"/>
      </w:pPr>
      <w:rPr>
        <w:rFonts w:ascii="Courier New" w:hAnsi="Courier New" w:hint="default"/>
      </w:rPr>
    </w:lvl>
    <w:lvl w:ilvl="4" w:tplc="95323F7E" w:tentative="1">
      <w:start w:val="1"/>
      <w:numFmt w:val="bullet"/>
      <w:lvlText w:val="o"/>
      <w:lvlJc w:val="left"/>
      <w:pPr>
        <w:tabs>
          <w:tab w:val="num" w:pos="3600"/>
        </w:tabs>
        <w:ind w:left="3600" w:hanging="360"/>
      </w:pPr>
      <w:rPr>
        <w:rFonts w:ascii="Courier New" w:hAnsi="Courier New" w:hint="default"/>
      </w:rPr>
    </w:lvl>
    <w:lvl w:ilvl="5" w:tplc="4C782AD0" w:tentative="1">
      <w:start w:val="1"/>
      <w:numFmt w:val="bullet"/>
      <w:lvlText w:val="o"/>
      <w:lvlJc w:val="left"/>
      <w:pPr>
        <w:tabs>
          <w:tab w:val="num" w:pos="4320"/>
        </w:tabs>
        <w:ind w:left="4320" w:hanging="360"/>
      </w:pPr>
      <w:rPr>
        <w:rFonts w:ascii="Courier New" w:hAnsi="Courier New" w:hint="default"/>
      </w:rPr>
    </w:lvl>
    <w:lvl w:ilvl="6" w:tplc="C7F23AA8" w:tentative="1">
      <w:start w:val="1"/>
      <w:numFmt w:val="bullet"/>
      <w:lvlText w:val="o"/>
      <w:lvlJc w:val="left"/>
      <w:pPr>
        <w:tabs>
          <w:tab w:val="num" w:pos="5040"/>
        </w:tabs>
        <w:ind w:left="5040" w:hanging="360"/>
      </w:pPr>
      <w:rPr>
        <w:rFonts w:ascii="Courier New" w:hAnsi="Courier New" w:hint="default"/>
      </w:rPr>
    </w:lvl>
    <w:lvl w:ilvl="7" w:tplc="973449FE" w:tentative="1">
      <w:start w:val="1"/>
      <w:numFmt w:val="bullet"/>
      <w:lvlText w:val="o"/>
      <w:lvlJc w:val="left"/>
      <w:pPr>
        <w:tabs>
          <w:tab w:val="num" w:pos="5760"/>
        </w:tabs>
        <w:ind w:left="5760" w:hanging="360"/>
      </w:pPr>
      <w:rPr>
        <w:rFonts w:ascii="Courier New" w:hAnsi="Courier New" w:hint="default"/>
      </w:rPr>
    </w:lvl>
    <w:lvl w:ilvl="8" w:tplc="0A7EE45C"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33631ED6"/>
    <w:multiLevelType w:val="hybridMultilevel"/>
    <w:tmpl w:val="998647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3EE63D6"/>
    <w:multiLevelType w:val="hybridMultilevel"/>
    <w:tmpl w:val="B718CB2E"/>
    <w:lvl w:ilvl="0" w:tplc="5BF8B494">
      <w:start w:val="1"/>
      <w:numFmt w:val="bullet"/>
      <w:lvlText w:val="o"/>
      <w:lvlJc w:val="left"/>
      <w:pPr>
        <w:tabs>
          <w:tab w:val="num" w:pos="720"/>
        </w:tabs>
        <w:ind w:left="720" w:hanging="360"/>
      </w:pPr>
      <w:rPr>
        <w:rFonts w:ascii="Courier New" w:hAnsi="Courier New" w:hint="default"/>
      </w:rPr>
    </w:lvl>
    <w:lvl w:ilvl="1" w:tplc="08B2F806" w:tentative="1">
      <w:start w:val="1"/>
      <w:numFmt w:val="bullet"/>
      <w:lvlText w:val="o"/>
      <w:lvlJc w:val="left"/>
      <w:pPr>
        <w:tabs>
          <w:tab w:val="num" w:pos="1440"/>
        </w:tabs>
        <w:ind w:left="1440" w:hanging="360"/>
      </w:pPr>
      <w:rPr>
        <w:rFonts w:ascii="Courier New" w:hAnsi="Courier New" w:hint="default"/>
      </w:rPr>
    </w:lvl>
    <w:lvl w:ilvl="2" w:tplc="C6D8EC0C" w:tentative="1">
      <w:start w:val="1"/>
      <w:numFmt w:val="bullet"/>
      <w:lvlText w:val="o"/>
      <w:lvlJc w:val="left"/>
      <w:pPr>
        <w:tabs>
          <w:tab w:val="num" w:pos="2160"/>
        </w:tabs>
        <w:ind w:left="2160" w:hanging="360"/>
      </w:pPr>
      <w:rPr>
        <w:rFonts w:ascii="Courier New" w:hAnsi="Courier New" w:hint="default"/>
      </w:rPr>
    </w:lvl>
    <w:lvl w:ilvl="3" w:tplc="06CC3556" w:tentative="1">
      <w:start w:val="1"/>
      <w:numFmt w:val="bullet"/>
      <w:lvlText w:val="o"/>
      <w:lvlJc w:val="left"/>
      <w:pPr>
        <w:tabs>
          <w:tab w:val="num" w:pos="2880"/>
        </w:tabs>
        <w:ind w:left="2880" w:hanging="360"/>
      </w:pPr>
      <w:rPr>
        <w:rFonts w:ascii="Courier New" w:hAnsi="Courier New" w:hint="default"/>
      </w:rPr>
    </w:lvl>
    <w:lvl w:ilvl="4" w:tplc="737CDF40" w:tentative="1">
      <w:start w:val="1"/>
      <w:numFmt w:val="bullet"/>
      <w:lvlText w:val="o"/>
      <w:lvlJc w:val="left"/>
      <w:pPr>
        <w:tabs>
          <w:tab w:val="num" w:pos="3600"/>
        </w:tabs>
        <w:ind w:left="3600" w:hanging="360"/>
      </w:pPr>
      <w:rPr>
        <w:rFonts w:ascii="Courier New" w:hAnsi="Courier New" w:hint="default"/>
      </w:rPr>
    </w:lvl>
    <w:lvl w:ilvl="5" w:tplc="30488BA6" w:tentative="1">
      <w:start w:val="1"/>
      <w:numFmt w:val="bullet"/>
      <w:lvlText w:val="o"/>
      <w:lvlJc w:val="left"/>
      <w:pPr>
        <w:tabs>
          <w:tab w:val="num" w:pos="4320"/>
        </w:tabs>
        <w:ind w:left="4320" w:hanging="360"/>
      </w:pPr>
      <w:rPr>
        <w:rFonts w:ascii="Courier New" w:hAnsi="Courier New" w:hint="default"/>
      </w:rPr>
    </w:lvl>
    <w:lvl w:ilvl="6" w:tplc="D88ABD20" w:tentative="1">
      <w:start w:val="1"/>
      <w:numFmt w:val="bullet"/>
      <w:lvlText w:val="o"/>
      <w:lvlJc w:val="left"/>
      <w:pPr>
        <w:tabs>
          <w:tab w:val="num" w:pos="5040"/>
        </w:tabs>
        <w:ind w:left="5040" w:hanging="360"/>
      </w:pPr>
      <w:rPr>
        <w:rFonts w:ascii="Courier New" w:hAnsi="Courier New" w:hint="default"/>
      </w:rPr>
    </w:lvl>
    <w:lvl w:ilvl="7" w:tplc="FD9CDC30" w:tentative="1">
      <w:start w:val="1"/>
      <w:numFmt w:val="bullet"/>
      <w:lvlText w:val="o"/>
      <w:lvlJc w:val="left"/>
      <w:pPr>
        <w:tabs>
          <w:tab w:val="num" w:pos="5760"/>
        </w:tabs>
        <w:ind w:left="5760" w:hanging="360"/>
      </w:pPr>
      <w:rPr>
        <w:rFonts w:ascii="Courier New" w:hAnsi="Courier New" w:hint="default"/>
      </w:rPr>
    </w:lvl>
    <w:lvl w:ilvl="8" w:tplc="AF90B342"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375B6EA6"/>
    <w:multiLevelType w:val="multilevel"/>
    <w:tmpl w:val="59FA6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760430"/>
    <w:multiLevelType w:val="hybridMultilevel"/>
    <w:tmpl w:val="3058EB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BB0B93"/>
    <w:multiLevelType w:val="hybridMultilevel"/>
    <w:tmpl w:val="059E025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7E304B5"/>
    <w:multiLevelType w:val="multilevel"/>
    <w:tmpl w:val="34089070"/>
    <w:lvl w:ilvl="0">
      <w:start w:val="1"/>
      <w:numFmt w:val="upperRoman"/>
      <w:pStyle w:val="Titre1"/>
      <w:lvlText w:val="%1."/>
      <w:lvlJc w:val="left"/>
      <w:pPr>
        <w:ind w:left="4320" w:firstLine="0"/>
      </w:pPr>
    </w:lvl>
    <w:lvl w:ilvl="1">
      <w:start w:val="1"/>
      <w:numFmt w:val="upperLetter"/>
      <w:pStyle w:val="Titre2"/>
      <w:lvlText w:val="%2."/>
      <w:lvlJc w:val="left"/>
      <w:pPr>
        <w:ind w:left="5040" w:firstLine="0"/>
      </w:pPr>
    </w:lvl>
    <w:lvl w:ilvl="2">
      <w:start w:val="1"/>
      <w:numFmt w:val="decimal"/>
      <w:pStyle w:val="Titre3"/>
      <w:lvlText w:val="%3."/>
      <w:lvlJc w:val="left"/>
      <w:pPr>
        <w:ind w:left="5760" w:firstLine="0"/>
      </w:pPr>
    </w:lvl>
    <w:lvl w:ilvl="3">
      <w:start w:val="1"/>
      <w:numFmt w:val="lowerLetter"/>
      <w:lvlText w:val="%4)"/>
      <w:lvlJc w:val="left"/>
      <w:pPr>
        <w:ind w:left="6480" w:firstLine="0"/>
      </w:pPr>
    </w:lvl>
    <w:lvl w:ilvl="4">
      <w:start w:val="1"/>
      <w:numFmt w:val="decimal"/>
      <w:lvlText w:val="(%5)"/>
      <w:lvlJc w:val="left"/>
      <w:pPr>
        <w:ind w:left="7200" w:firstLine="0"/>
      </w:pPr>
    </w:lvl>
    <w:lvl w:ilvl="5">
      <w:start w:val="1"/>
      <w:numFmt w:val="lowerLetter"/>
      <w:lvlText w:val="(%6)"/>
      <w:lvlJc w:val="left"/>
      <w:pPr>
        <w:ind w:left="7920" w:firstLine="0"/>
      </w:pPr>
    </w:lvl>
    <w:lvl w:ilvl="6">
      <w:start w:val="1"/>
      <w:numFmt w:val="lowerRoman"/>
      <w:lvlText w:val="(%7)"/>
      <w:lvlJc w:val="left"/>
      <w:pPr>
        <w:ind w:left="8640" w:firstLine="0"/>
      </w:pPr>
    </w:lvl>
    <w:lvl w:ilvl="7">
      <w:start w:val="1"/>
      <w:numFmt w:val="lowerLetter"/>
      <w:lvlText w:val="(%8)"/>
      <w:lvlJc w:val="left"/>
      <w:pPr>
        <w:ind w:left="9360" w:firstLine="0"/>
      </w:pPr>
    </w:lvl>
    <w:lvl w:ilvl="8">
      <w:start w:val="1"/>
      <w:numFmt w:val="lowerRoman"/>
      <w:lvlText w:val="(%9)"/>
      <w:lvlJc w:val="left"/>
      <w:pPr>
        <w:ind w:left="10080" w:firstLine="0"/>
      </w:pPr>
    </w:lvl>
  </w:abstractNum>
  <w:abstractNum w:abstractNumId="15" w15:restartNumberingAfterBreak="0">
    <w:nsid w:val="4D71402F"/>
    <w:multiLevelType w:val="hybridMultilevel"/>
    <w:tmpl w:val="F2EE2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29273A4"/>
    <w:multiLevelType w:val="hybridMultilevel"/>
    <w:tmpl w:val="864A3E94"/>
    <w:lvl w:ilvl="0" w:tplc="EDCC6CD6">
      <w:start w:val="1"/>
      <w:numFmt w:val="upperRoman"/>
      <w:lvlText w:val="%1."/>
      <w:lvlJc w:val="left"/>
      <w:pPr>
        <w:ind w:left="1080" w:hanging="720"/>
      </w:pPr>
      <w:rPr>
        <w:rFonts w:hint="default"/>
      </w:rPr>
    </w:lvl>
    <w:lvl w:ilvl="1" w:tplc="4522BF36">
      <w:numFmt w:val="bullet"/>
      <w:lvlText w:val="-"/>
      <w:lvlJc w:val="left"/>
      <w:pPr>
        <w:ind w:left="1440" w:hanging="360"/>
      </w:pPr>
      <w:rPr>
        <w:rFonts w:ascii="Aptos" w:eastAsiaTheme="minorHAnsi" w:hAnsi="Aptos"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82120F"/>
    <w:multiLevelType w:val="hybridMultilevel"/>
    <w:tmpl w:val="1ECCBEC4"/>
    <w:lvl w:ilvl="0" w:tplc="03A06E1E">
      <w:start w:val="1"/>
      <w:numFmt w:val="bullet"/>
      <w:lvlText w:val="•"/>
      <w:lvlJc w:val="left"/>
      <w:pPr>
        <w:tabs>
          <w:tab w:val="num" w:pos="720"/>
        </w:tabs>
        <w:ind w:left="720" w:hanging="360"/>
      </w:pPr>
      <w:rPr>
        <w:rFonts w:ascii="Arial" w:hAnsi="Arial" w:hint="default"/>
      </w:rPr>
    </w:lvl>
    <w:lvl w:ilvl="1" w:tplc="0C9E7BE4" w:tentative="1">
      <w:start w:val="1"/>
      <w:numFmt w:val="bullet"/>
      <w:lvlText w:val="•"/>
      <w:lvlJc w:val="left"/>
      <w:pPr>
        <w:tabs>
          <w:tab w:val="num" w:pos="1440"/>
        </w:tabs>
        <w:ind w:left="1440" w:hanging="360"/>
      </w:pPr>
      <w:rPr>
        <w:rFonts w:ascii="Arial" w:hAnsi="Arial" w:hint="default"/>
      </w:rPr>
    </w:lvl>
    <w:lvl w:ilvl="2" w:tplc="38CC468C" w:tentative="1">
      <w:start w:val="1"/>
      <w:numFmt w:val="bullet"/>
      <w:lvlText w:val="•"/>
      <w:lvlJc w:val="left"/>
      <w:pPr>
        <w:tabs>
          <w:tab w:val="num" w:pos="2160"/>
        </w:tabs>
        <w:ind w:left="2160" w:hanging="360"/>
      </w:pPr>
      <w:rPr>
        <w:rFonts w:ascii="Arial" w:hAnsi="Arial" w:hint="default"/>
      </w:rPr>
    </w:lvl>
    <w:lvl w:ilvl="3" w:tplc="C10430A8" w:tentative="1">
      <w:start w:val="1"/>
      <w:numFmt w:val="bullet"/>
      <w:lvlText w:val="•"/>
      <w:lvlJc w:val="left"/>
      <w:pPr>
        <w:tabs>
          <w:tab w:val="num" w:pos="2880"/>
        </w:tabs>
        <w:ind w:left="2880" w:hanging="360"/>
      </w:pPr>
      <w:rPr>
        <w:rFonts w:ascii="Arial" w:hAnsi="Arial" w:hint="default"/>
      </w:rPr>
    </w:lvl>
    <w:lvl w:ilvl="4" w:tplc="00923130" w:tentative="1">
      <w:start w:val="1"/>
      <w:numFmt w:val="bullet"/>
      <w:lvlText w:val="•"/>
      <w:lvlJc w:val="left"/>
      <w:pPr>
        <w:tabs>
          <w:tab w:val="num" w:pos="3600"/>
        </w:tabs>
        <w:ind w:left="3600" w:hanging="360"/>
      </w:pPr>
      <w:rPr>
        <w:rFonts w:ascii="Arial" w:hAnsi="Arial" w:hint="default"/>
      </w:rPr>
    </w:lvl>
    <w:lvl w:ilvl="5" w:tplc="5BE61D3E" w:tentative="1">
      <w:start w:val="1"/>
      <w:numFmt w:val="bullet"/>
      <w:lvlText w:val="•"/>
      <w:lvlJc w:val="left"/>
      <w:pPr>
        <w:tabs>
          <w:tab w:val="num" w:pos="4320"/>
        </w:tabs>
        <w:ind w:left="4320" w:hanging="360"/>
      </w:pPr>
      <w:rPr>
        <w:rFonts w:ascii="Arial" w:hAnsi="Arial" w:hint="default"/>
      </w:rPr>
    </w:lvl>
    <w:lvl w:ilvl="6" w:tplc="345659A6" w:tentative="1">
      <w:start w:val="1"/>
      <w:numFmt w:val="bullet"/>
      <w:lvlText w:val="•"/>
      <w:lvlJc w:val="left"/>
      <w:pPr>
        <w:tabs>
          <w:tab w:val="num" w:pos="5040"/>
        </w:tabs>
        <w:ind w:left="5040" w:hanging="360"/>
      </w:pPr>
      <w:rPr>
        <w:rFonts w:ascii="Arial" w:hAnsi="Arial" w:hint="default"/>
      </w:rPr>
    </w:lvl>
    <w:lvl w:ilvl="7" w:tplc="A678F4A4" w:tentative="1">
      <w:start w:val="1"/>
      <w:numFmt w:val="bullet"/>
      <w:lvlText w:val="•"/>
      <w:lvlJc w:val="left"/>
      <w:pPr>
        <w:tabs>
          <w:tab w:val="num" w:pos="5760"/>
        </w:tabs>
        <w:ind w:left="5760" w:hanging="360"/>
      </w:pPr>
      <w:rPr>
        <w:rFonts w:ascii="Arial" w:hAnsi="Arial" w:hint="default"/>
      </w:rPr>
    </w:lvl>
    <w:lvl w:ilvl="8" w:tplc="DD7C77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5E0923"/>
    <w:multiLevelType w:val="hybridMultilevel"/>
    <w:tmpl w:val="296C83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89A553D"/>
    <w:multiLevelType w:val="hybridMultilevel"/>
    <w:tmpl w:val="DAC41D32"/>
    <w:lvl w:ilvl="0" w:tplc="780CE4F6">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B923AC"/>
    <w:multiLevelType w:val="hybridMultilevel"/>
    <w:tmpl w:val="5EA2F50E"/>
    <w:lvl w:ilvl="0" w:tplc="780CE4F6">
      <w:start w:val="2"/>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F91027"/>
    <w:multiLevelType w:val="hybridMultilevel"/>
    <w:tmpl w:val="C9382398"/>
    <w:lvl w:ilvl="0" w:tplc="0756C3C2">
      <w:start w:val="1"/>
      <w:numFmt w:val="bullet"/>
      <w:lvlText w:val="o"/>
      <w:lvlJc w:val="left"/>
      <w:pPr>
        <w:tabs>
          <w:tab w:val="num" w:pos="720"/>
        </w:tabs>
        <w:ind w:left="720" w:hanging="360"/>
      </w:pPr>
      <w:rPr>
        <w:rFonts w:ascii="Courier New" w:hAnsi="Courier New" w:hint="default"/>
      </w:rPr>
    </w:lvl>
    <w:lvl w:ilvl="1" w:tplc="911A3850" w:tentative="1">
      <w:start w:val="1"/>
      <w:numFmt w:val="bullet"/>
      <w:lvlText w:val="o"/>
      <w:lvlJc w:val="left"/>
      <w:pPr>
        <w:tabs>
          <w:tab w:val="num" w:pos="1440"/>
        </w:tabs>
        <w:ind w:left="1440" w:hanging="360"/>
      </w:pPr>
      <w:rPr>
        <w:rFonts w:ascii="Courier New" w:hAnsi="Courier New" w:hint="default"/>
      </w:rPr>
    </w:lvl>
    <w:lvl w:ilvl="2" w:tplc="AAAACD2A" w:tentative="1">
      <w:start w:val="1"/>
      <w:numFmt w:val="bullet"/>
      <w:lvlText w:val="o"/>
      <w:lvlJc w:val="left"/>
      <w:pPr>
        <w:tabs>
          <w:tab w:val="num" w:pos="2160"/>
        </w:tabs>
        <w:ind w:left="2160" w:hanging="360"/>
      </w:pPr>
      <w:rPr>
        <w:rFonts w:ascii="Courier New" w:hAnsi="Courier New" w:hint="default"/>
      </w:rPr>
    </w:lvl>
    <w:lvl w:ilvl="3" w:tplc="3B3E1B6E" w:tentative="1">
      <w:start w:val="1"/>
      <w:numFmt w:val="bullet"/>
      <w:lvlText w:val="o"/>
      <w:lvlJc w:val="left"/>
      <w:pPr>
        <w:tabs>
          <w:tab w:val="num" w:pos="2880"/>
        </w:tabs>
        <w:ind w:left="2880" w:hanging="360"/>
      </w:pPr>
      <w:rPr>
        <w:rFonts w:ascii="Courier New" w:hAnsi="Courier New" w:hint="default"/>
      </w:rPr>
    </w:lvl>
    <w:lvl w:ilvl="4" w:tplc="A65EE66A" w:tentative="1">
      <w:start w:val="1"/>
      <w:numFmt w:val="bullet"/>
      <w:lvlText w:val="o"/>
      <w:lvlJc w:val="left"/>
      <w:pPr>
        <w:tabs>
          <w:tab w:val="num" w:pos="3600"/>
        </w:tabs>
        <w:ind w:left="3600" w:hanging="360"/>
      </w:pPr>
      <w:rPr>
        <w:rFonts w:ascii="Courier New" w:hAnsi="Courier New" w:hint="default"/>
      </w:rPr>
    </w:lvl>
    <w:lvl w:ilvl="5" w:tplc="082E1AF2" w:tentative="1">
      <w:start w:val="1"/>
      <w:numFmt w:val="bullet"/>
      <w:lvlText w:val="o"/>
      <w:lvlJc w:val="left"/>
      <w:pPr>
        <w:tabs>
          <w:tab w:val="num" w:pos="4320"/>
        </w:tabs>
        <w:ind w:left="4320" w:hanging="360"/>
      </w:pPr>
      <w:rPr>
        <w:rFonts w:ascii="Courier New" w:hAnsi="Courier New" w:hint="default"/>
      </w:rPr>
    </w:lvl>
    <w:lvl w:ilvl="6" w:tplc="2E5AA3F2" w:tentative="1">
      <w:start w:val="1"/>
      <w:numFmt w:val="bullet"/>
      <w:lvlText w:val="o"/>
      <w:lvlJc w:val="left"/>
      <w:pPr>
        <w:tabs>
          <w:tab w:val="num" w:pos="5040"/>
        </w:tabs>
        <w:ind w:left="5040" w:hanging="360"/>
      </w:pPr>
      <w:rPr>
        <w:rFonts w:ascii="Courier New" w:hAnsi="Courier New" w:hint="default"/>
      </w:rPr>
    </w:lvl>
    <w:lvl w:ilvl="7" w:tplc="E916B450" w:tentative="1">
      <w:start w:val="1"/>
      <w:numFmt w:val="bullet"/>
      <w:lvlText w:val="o"/>
      <w:lvlJc w:val="left"/>
      <w:pPr>
        <w:tabs>
          <w:tab w:val="num" w:pos="5760"/>
        </w:tabs>
        <w:ind w:left="5760" w:hanging="360"/>
      </w:pPr>
      <w:rPr>
        <w:rFonts w:ascii="Courier New" w:hAnsi="Courier New" w:hint="default"/>
      </w:rPr>
    </w:lvl>
    <w:lvl w:ilvl="8" w:tplc="1158BB36"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71341A77"/>
    <w:multiLevelType w:val="hybridMultilevel"/>
    <w:tmpl w:val="D61447A2"/>
    <w:lvl w:ilvl="0" w:tplc="9768E948">
      <w:start w:val="1"/>
      <w:numFmt w:val="bullet"/>
      <w:lvlText w:val="•"/>
      <w:lvlJc w:val="left"/>
      <w:pPr>
        <w:tabs>
          <w:tab w:val="num" w:pos="720"/>
        </w:tabs>
        <w:ind w:left="720" w:hanging="360"/>
      </w:pPr>
      <w:rPr>
        <w:rFonts w:ascii="Arial" w:hAnsi="Arial" w:hint="default"/>
      </w:rPr>
    </w:lvl>
    <w:lvl w:ilvl="1" w:tplc="04E88962" w:tentative="1">
      <w:start w:val="1"/>
      <w:numFmt w:val="bullet"/>
      <w:lvlText w:val="•"/>
      <w:lvlJc w:val="left"/>
      <w:pPr>
        <w:tabs>
          <w:tab w:val="num" w:pos="1440"/>
        </w:tabs>
        <w:ind w:left="1440" w:hanging="360"/>
      </w:pPr>
      <w:rPr>
        <w:rFonts w:ascii="Arial" w:hAnsi="Arial" w:hint="default"/>
      </w:rPr>
    </w:lvl>
    <w:lvl w:ilvl="2" w:tplc="EF5C5AF6" w:tentative="1">
      <w:start w:val="1"/>
      <w:numFmt w:val="bullet"/>
      <w:lvlText w:val="•"/>
      <w:lvlJc w:val="left"/>
      <w:pPr>
        <w:tabs>
          <w:tab w:val="num" w:pos="2160"/>
        </w:tabs>
        <w:ind w:left="2160" w:hanging="360"/>
      </w:pPr>
      <w:rPr>
        <w:rFonts w:ascii="Arial" w:hAnsi="Arial" w:hint="default"/>
      </w:rPr>
    </w:lvl>
    <w:lvl w:ilvl="3" w:tplc="0F3E0A62" w:tentative="1">
      <w:start w:val="1"/>
      <w:numFmt w:val="bullet"/>
      <w:lvlText w:val="•"/>
      <w:lvlJc w:val="left"/>
      <w:pPr>
        <w:tabs>
          <w:tab w:val="num" w:pos="2880"/>
        </w:tabs>
        <w:ind w:left="2880" w:hanging="360"/>
      </w:pPr>
      <w:rPr>
        <w:rFonts w:ascii="Arial" w:hAnsi="Arial" w:hint="default"/>
      </w:rPr>
    </w:lvl>
    <w:lvl w:ilvl="4" w:tplc="B022B1D4" w:tentative="1">
      <w:start w:val="1"/>
      <w:numFmt w:val="bullet"/>
      <w:lvlText w:val="•"/>
      <w:lvlJc w:val="left"/>
      <w:pPr>
        <w:tabs>
          <w:tab w:val="num" w:pos="3600"/>
        </w:tabs>
        <w:ind w:left="3600" w:hanging="360"/>
      </w:pPr>
      <w:rPr>
        <w:rFonts w:ascii="Arial" w:hAnsi="Arial" w:hint="default"/>
      </w:rPr>
    </w:lvl>
    <w:lvl w:ilvl="5" w:tplc="8102BC96" w:tentative="1">
      <w:start w:val="1"/>
      <w:numFmt w:val="bullet"/>
      <w:lvlText w:val="•"/>
      <w:lvlJc w:val="left"/>
      <w:pPr>
        <w:tabs>
          <w:tab w:val="num" w:pos="4320"/>
        </w:tabs>
        <w:ind w:left="4320" w:hanging="360"/>
      </w:pPr>
      <w:rPr>
        <w:rFonts w:ascii="Arial" w:hAnsi="Arial" w:hint="default"/>
      </w:rPr>
    </w:lvl>
    <w:lvl w:ilvl="6" w:tplc="627EE7D0" w:tentative="1">
      <w:start w:val="1"/>
      <w:numFmt w:val="bullet"/>
      <w:lvlText w:val="•"/>
      <w:lvlJc w:val="left"/>
      <w:pPr>
        <w:tabs>
          <w:tab w:val="num" w:pos="5040"/>
        </w:tabs>
        <w:ind w:left="5040" w:hanging="360"/>
      </w:pPr>
      <w:rPr>
        <w:rFonts w:ascii="Arial" w:hAnsi="Arial" w:hint="default"/>
      </w:rPr>
    </w:lvl>
    <w:lvl w:ilvl="7" w:tplc="BF28157E" w:tentative="1">
      <w:start w:val="1"/>
      <w:numFmt w:val="bullet"/>
      <w:lvlText w:val="•"/>
      <w:lvlJc w:val="left"/>
      <w:pPr>
        <w:tabs>
          <w:tab w:val="num" w:pos="5760"/>
        </w:tabs>
        <w:ind w:left="5760" w:hanging="360"/>
      </w:pPr>
      <w:rPr>
        <w:rFonts w:ascii="Arial" w:hAnsi="Arial" w:hint="default"/>
      </w:rPr>
    </w:lvl>
    <w:lvl w:ilvl="8" w:tplc="D1740D70" w:tentative="1">
      <w:start w:val="1"/>
      <w:numFmt w:val="bullet"/>
      <w:lvlText w:val="•"/>
      <w:lvlJc w:val="left"/>
      <w:pPr>
        <w:tabs>
          <w:tab w:val="num" w:pos="6480"/>
        </w:tabs>
        <w:ind w:left="6480" w:hanging="360"/>
      </w:pPr>
      <w:rPr>
        <w:rFonts w:ascii="Arial" w:hAnsi="Arial" w:hint="default"/>
      </w:rPr>
    </w:lvl>
  </w:abstractNum>
  <w:num w:numId="1" w16cid:durableId="1337807362">
    <w:abstractNumId w:val="14"/>
  </w:num>
  <w:num w:numId="2" w16cid:durableId="690957134">
    <w:abstractNumId w:val="14"/>
  </w:num>
  <w:num w:numId="3" w16cid:durableId="1032342573">
    <w:abstractNumId w:val="14"/>
  </w:num>
  <w:num w:numId="4" w16cid:durableId="1115834774">
    <w:abstractNumId w:val="14"/>
  </w:num>
  <w:num w:numId="5" w16cid:durableId="1143766609">
    <w:abstractNumId w:val="11"/>
  </w:num>
  <w:num w:numId="6" w16cid:durableId="269166276">
    <w:abstractNumId w:val="16"/>
  </w:num>
  <w:num w:numId="7" w16cid:durableId="227569662">
    <w:abstractNumId w:val="3"/>
  </w:num>
  <w:num w:numId="8" w16cid:durableId="1284506460">
    <w:abstractNumId w:val="13"/>
  </w:num>
  <w:num w:numId="9" w16cid:durableId="1407990008">
    <w:abstractNumId w:val="9"/>
  </w:num>
  <w:num w:numId="10" w16cid:durableId="1122649082">
    <w:abstractNumId w:val="18"/>
  </w:num>
  <w:num w:numId="11" w16cid:durableId="1733846238">
    <w:abstractNumId w:val="20"/>
  </w:num>
  <w:num w:numId="12" w16cid:durableId="1695423918">
    <w:abstractNumId w:val="19"/>
  </w:num>
  <w:num w:numId="13" w16cid:durableId="1625501910">
    <w:abstractNumId w:val="7"/>
  </w:num>
  <w:num w:numId="14" w16cid:durableId="1632829888">
    <w:abstractNumId w:val="4"/>
  </w:num>
  <w:num w:numId="15" w16cid:durableId="518546408">
    <w:abstractNumId w:val="12"/>
  </w:num>
  <w:num w:numId="16" w16cid:durableId="1229463457">
    <w:abstractNumId w:val="21"/>
  </w:num>
  <w:num w:numId="17" w16cid:durableId="1987511203">
    <w:abstractNumId w:val="22"/>
  </w:num>
  <w:num w:numId="18" w16cid:durableId="1360625557">
    <w:abstractNumId w:val="10"/>
  </w:num>
  <w:num w:numId="19" w16cid:durableId="1789861016">
    <w:abstractNumId w:val="17"/>
  </w:num>
  <w:num w:numId="20" w16cid:durableId="811599072">
    <w:abstractNumId w:val="8"/>
  </w:num>
  <w:num w:numId="21" w16cid:durableId="222371080">
    <w:abstractNumId w:val="15"/>
  </w:num>
  <w:num w:numId="22" w16cid:durableId="800153753">
    <w:abstractNumId w:val="0"/>
  </w:num>
  <w:num w:numId="23" w16cid:durableId="1366713028">
    <w:abstractNumId w:val="1"/>
  </w:num>
  <w:num w:numId="24" w16cid:durableId="904799051">
    <w:abstractNumId w:val="2"/>
  </w:num>
  <w:num w:numId="25" w16cid:durableId="827132748">
    <w:abstractNumId w:val="6"/>
  </w:num>
  <w:num w:numId="26" w16cid:durableId="1764570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A7"/>
    <w:rsid w:val="000052D2"/>
    <w:rsid w:val="00032A99"/>
    <w:rsid w:val="00067B6B"/>
    <w:rsid w:val="0008258D"/>
    <w:rsid w:val="00094316"/>
    <w:rsid w:val="00094D16"/>
    <w:rsid w:val="000C2042"/>
    <w:rsid w:val="00156690"/>
    <w:rsid w:val="001D2100"/>
    <w:rsid w:val="00314A69"/>
    <w:rsid w:val="00335054"/>
    <w:rsid w:val="00346379"/>
    <w:rsid w:val="0035448F"/>
    <w:rsid w:val="003842C3"/>
    <w:rsid w:val="003966B3"/>
    <w:rsid w:val="003C1A54"/>
    <w:rsid w:val="00413EE4"/>
    <w:rsid w:val="00462C3F"/>
    <w:rsid w:val="004B3367"/>
    <w:rsid w:val="004F1DB5"/>
    <w:rsid w:val="005524A8"/>
    <w:rsid w:val="005B7073"/>
    <w:rsid w:val="00605CE7"/>
    <w:rsid w:val="0065000D"/>
    <w:rsid w:val="00657D9E"/>
    <w:rsid w:val="006C027F"/>
    <w:rsid w:val="006C64DA"/>
    <w:rsid w:val="006D1B9B"/>
    <w:rsid w:val="006E09AA"/>
    <w:rsid w:val="00713BD5"/>
    <w:rsid w:val="00742260"/>
    <w:rsid w:val="007474CD"/>
    <w:rsid w:val="007537D2"/>
    <w:rsid w:val="00757E28"/>
    <w:rsid w:val="007761EE"/>
    <w:rsid w:val="00782A44"/>
    <w:rsid w:val="0079005B"/>
    <w:rsid w:val="00830A58"/>
    <w:rsid w:val="00863A62"/>
    <w:rsid w:val="0087290A"/>
    <w:rsid w:val="008C1B94"/>
    <w:rsid w:val="008C5E2C"/>
    <w:rsid w:val="008F2E0A"/>
    <w:rsid w:val="008F2F62"/>
    <w:rsid w:val="00912ABF"/>
    <w:rsid w:val="009149E7"/>
    <w:rsid w:val="0092028E"/>
    <w:rsid w:val="00920F4D"/>
    <w:rsid w:val="00930A3F"/>
    <w:rsid w:val="00933F0B"/>
    <w:rsid w:val="009B0F5B"/>
    <w:rsid w:val="009F1EC2"/>
    <w:rsid w:val="00A344DE"/>
    <w:rsid w:val="00A83D16"/>
    <w:rsid w:val="00A95198"/>
    <w:rsid w:val="00B27941"/>
    <w:rsid w:val="00B62E81"/>
    <w:rsid w:val="00B6694F"/>
    <w:rsid w:val="00B8430D"/>
    <w:rsid w:val="00BB1D6B"/>
    <w:rsid w:val="00BC151A"/>
    <w:rsid w:val="00BE1F1F"/>
    <w:rsid w:val="00C126E7"/>
    <w:rsid w:val="00C44A59"/>
    <w:rsid w:val="00C622A8"/>
    <w:rsid w:val="00CA33ED"/>
    <w:rsid w:val="00CD0DA4"/>
    <w:rsid w:val="00CF15A7"/>
    <w:rsid w:val="00D2749A"/>
    <w:rsid w:val="00D56434"/>
    <w:rsid w:val="00D86DF4"/>
    <w:rsid w:val="00D95472"/>
    <w:rsid w:val="00DA58BE"/>
    <w:rsid w:val="00DC423B"/>
    <w:rsid w:val="00DC4387"/>
    <w:rsid w:val="00E0130F"/>
    <w:rsid w:val="00E84522"/>
    <w:rsid w:val="00E91A91"/>
    <w:rsid w:val="00EA07A7"/>
    <w:rsid w:val="00EF1AD5"/>
    <w:rsid w:val="00F73AA5"/>
    <w:rsid w:val="00F92930"/>
    <w:rsid w:val="00FD13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F6F46"/>
  <w15:chartTrackingRefBased/>
  <w15:docId w15:val="{AC2A1FDB-FFA6-6347-A1A6-566C6C76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AA"/>
  </w:style>
  <w:style w:type="paragraph" w:styleId="Titre1">
    <w:name w:val="heading 1"/>
    <w:basedOn w:val="Normal"/>
    <w:next w:val="Normal"/>
    <w:link w:val="Titre1Car"/>
    <w:uiPriority w:val="9"/>
    <w:qFormat/>
    <w:rsid w:val="00B62E81"/>
    <w:pPr>
      <w:keepNext/>
      <w:keepLines/>
      <w:numPr>
        <w:numId w:val="4"/>
      </w:numPr>
      <w:spacing w:before="360" w:after="360"/>
      <w:outlineLvl w:val="0"/>
    </w:pPr>
    <w:rPr>
      <w:rFonts w:ascii="Times New Roman" w:eastAsiaTheme="majorEastAsia" w:hAnsi="Times New Roman" w:cstheme="majorBidi"/>
      <w:b/>
      <w:szCs w:val="40"/>
    </w:rPr>
  </w:style>
  <w:style w:type="paragraph" w:styleId="Titre2">
    <w:name w:val="heading 2"/>
    <w:basedOn w:val="Normal"/>
    <w:next w:val="Normal"/>
    <w:link w:val="Titre2Car"/>
    <w:uiPriority w:val="9"/>
    <w:unhideWhenUsed/>
    <w:qFormat/>
    <w:rsid w:val="00B62E81"/>
    <w:pPr>
      <w:keepNext/>
      <w:keepLines/>
      <w:numPr>
        <w:ilvl w:val="1"/>
        <w:numId w:val="4"/>
      </w:numPr>
      <w:spacing w:before="360" w:after="360"/>
      <w:outlineLvl w:val="1"/>
    </w:pPr>
    <w:rPr>
      <w:rFonts w:ascii="Times New Roman" w:eastAsiaTheme="majorEastAsia" w:hAnsi="Times New Roman" w:cstheme="majorBidi"/>
      <w:b/>
      <w:szCs w:val="32"/>
    </w:rPr>
  </w:style>
  <w:style w:type="paragraph" w:styleId="Titre3">
    <w:name w:val="heading 3"/>
    <w:basedOn w:val="Normal"/>
    <w:next w:val="Normal"/>
    <w:link w:val="Titre3Car"/>
    <w:uiPriority w:val="9"/>
    <w:unhideWhenUsed/>
    <w:qFormat/>
    <w:rsid w:val="00B62E81"/>
    <w:pPr>
      <w:keepNext/>
      <w:keepLines/>
      <w:numPr>
        <w:ilvl w:val="2"/>
        <w:numId w:val="4"/>
      </w:numPr>
      <w:spacing w:before="240" w:after="240"/>
      <w:outlineLvl w:val="2"/>
    </w:pPr>
    <w:rPr>
      <w:rFonts w:ascii="Times New Roman" w:eastAsiaTheme="majorEastAsia" w:hAnsi="Times New Roman" w:cstheme="majorBidi"/>
      <w:b/>
      <w:szCs w:val="28"/>
    </w:rPr>
  </w:style>
  <w:style w:type="paragraph" w:styleId="Titre4">
    <w:name w:val="heading 4"/>
    <w:basedOn w:val="Normal"/>
    <w:next w:val="Normal"/>
    <w:link w:val="Titre4Car"/>
    <w:uiPriority w:val="9"/>
    <w:unhideWhenUsed/>
    <w:qFormat/>
    <w:rsid w:val="00B62E81"/>
    <w:pPr>
      <w:keepNext/>
      <w:keepLines/>
      <w:numPr>
        <w:ilvl w:val="3"/>
        <w:numId w:val="5"/>
      </w:numPr>
      <w:spacing w:before="120" w:after="120"/>
      <w:ind w:left="6481"/>
      <w:outlineLvl w:val="3"/>
    </w:pPr>
    <w:rPr>
      <w:rFonts w:ascii="Times New Roman" w:eastAsiaTheme="majorEastAsia" w:hAnsi="Times New Roman" w:cstheme="majorBidi"/>
      <w:b/>
      <w:iCs/>
    </w:rPr>
  </w:style>
  <w:style w:type="paragraph" w:styleId="Titre5">
    <w:name w:val="heading 5"/>
    <w:basedOn w:val="Normal"/>
    <w:next w:val="Normal"/>
    <w:link w:val="Titre5Car"/>
    <w:uiPriority w:val="9"/>
    <w:semiHidden/>
    <w:unhideWhenUsed/>
    <w:qFormat/>
    <w:rsid w:val="00EA07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07A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07A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07A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07A7"/>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2E81"/>
    <w:rPr>
      <w:rFonts w:ascii="Times New Roman" w:eastAsiaTheme="majorEastAsia" w:hAnsi="Times New Roman" w:cstheme="majorBidi"/>
      <w:b/>
      <w:szCs w:val="40"/>
    </w:rPr>
  </w:style>
  <w:style w:type="character" w:customStyle="1" w:styleId="Titre2Car">
    <w:name w:val="Titre 2 Car"/>
    <w:basedOn w:val="Policepardfaut"/>
    <w:link w:val="Titre2"/>
    <w:uiPriority w:val="9"/>
    <w:rsid w:val="00B62E81"/>
    <w:rPr>
      <w:rFonts w:ascii="Times New Roman" w:eastAsiaTheme="majorEastAsia" w:hAnsi="Times New Roman" w:cstheme="majorBidi"/>
      <w:b/>
      <w:szCs w:val="32"/>
    </w:rPr>
  </w:style>
  <w:style w:type="character" w:customStyle="1" w:styleId="Titre3Car">
    <w:name w:val="Titre 3 Car"/>
    <w:basedOn w:val="Policepardfaut"/>
    <w:link w:val="Titre3"/>
    <w:uiPriority w:val="9"/>
    <w:rsid w:val="00B62E81"/>
    <w:rPr>
      <w:rFonts w:ascii="Times New Roman" w:eastAsiaTheme="majorEastAsia" w:hAnsi="Times New Roman" w:cstheme="majorBidi"/>
      <w:b/>
      <w:szCs w:val="28"/>
    </w:rPr>
  </w:style>
  <w:style w:type="character" w:customStyle="1" w:styleId="Titre4Car">
    <w:name w:val="Titre 4 Car"/>
    <w:basedOn w:val="Policepardfaut"/>
    <w:link w:val="Titre4"/>
    <w:uiPriority w:val="9"/>
    <w:rsid w:val="00B62E81"/>
    <w:rPr>
      <w:rFonts w:ascii="Times New Roman" w:eastAsiaTheme="majorEastAsia" w:hAnsi="Times New Roman" w:cstheme="majorBidi"/>
      <w:b/>
      <w:iCs/>
    </w:rPr>
  </w:style>
  <w:style w:type="character" w:customStyle="1" w:styleId="Titre5Car">
    <w:name w:val="Titre 5 Car"/>
    <w:basedOn w:val="Policepardfaut"/>
    <w:link w:val="Titre5"/>
    <w:uiPriority w:val="9"/>
    <w:semiHidden/>
    <w:rsid w:val="00EA07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07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07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07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07A7"/>
    <w:rPr>
      <w:rFonts w:eastAsiaTheme="majorEastAsia" w:cstheme="majorBidi"/>
      <w:color w:val="272727" w:themeColor="text1" w:themeTint="D8"/>
    </w:rPr>
  </w:style>
  <w:style w:type="paragraph" w:styleId="Titre">
    <w:name w:val="Title"/>
    <w:basedOn w:val="Normal"/>
    <w:next w:val="Normal"/>
    <w:link w:val="TitreCar"/>
    <w:uiPriority w:val="10"/>
    <w:qFormat/>
    <w:rsid w:val="00EA07A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07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07A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07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07A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A07A7"/>
    <w:rPr>
      <w:i/>
      <w:iCs/>
      <w:color w:val="404040" w:themeColor="text1" w:themeTint="BF"/>
    </w:rPr>
  </w:style>
  <w:style w:type="paragraph" w:styleId="Paragraphedeliste">
    <w:name w:val="List Paragraph"/>
    <w:basedOn w:val="Normal"/>
    <w:uiPriority w:val="34"/>
    <w:qFormat/>
    <w:rsid w:val="00EA07A7"/>
    <w:pPr>
      <w:ind w:left="720"/>
      <w:contextualSpacing/>
    </w:pPr>
  </w:style>
  <w:style w:type="character" w:styleId="Accentuationintense">
    <w:name w:val="Intense Emphasis"/>
    <w:basedOn w:val="Policepardfaut"/>
    <w:uiPriority w:val="21"/>
    <w:qFormat/>
    <w:rsid w:val="00EA07A7"/>
    <w:rPr>
      <w:i/>
      <w:iCs/>
      <w:color w:val="0F4761" w:themeColor="accent1" w:themeShade="BF"/>
    </w:rPr>
  </w:style>
  <w:style w:type="paragraph" w:styleId="Citationintense">
    <w:name w:val="Intense Quote"/>
    <w:basedOn w:val="Normal"/>
    <w:next w:val="Normal"/>
    <w:link w:val="CitationintenseCar"/>
    <w:uiPriority w:val="30"/>
    <w:qFormat/>
    <w:rsid w:val="00EA0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07A7"/>
    <w:rPr>
      <w:i/>
      <w:iCs/>
      <w:color w:val="0F4761" w:themeColor="accent1" w:themeShade="BF"/>
    </w:rPr>
  </w:style>
  <w:style w:type="character" w:styleId="Rfrenceintense">
    <w:name w:val="Intense Reference"/>
    <w:basedOn w:val="Policepardfaut"/>
    <w:uiPriority w:val="32"/>
    <w:qFormat/>
    <w:rsid w:val="00EA07A7"/>
    <w:rPr>
      <w:b/>
      <w:bCs/>
      <w:smallCaps/>
      <w:color w:val="0F4761" w:themeColor="accent1" w:themeShade="BF"/>
      <w:spacing w:val="5"/>
    </w:rPr>
  </w:style>
  <w:style w:type="paragraph" w:styleId="NormalWeb">
    <w:name w:val="Normal (Web)"/>
    <w:basedOn w:val="Normal"/>
    <w:uiPriority w:val="99"/>
    <w:unhideWhenUsed/>
    <w:rsid w:val="00EA07A7"/>
    <w:pPr>
      <w:spacing w:before="100" w:beforeAutospacing="1" w:after="100" w:afterAutospacing="1"/>
    </w:pPr>
    <w:rPr>
      <w:rFonts w:ascii="Times New Roman" w:eastAsia="Times New Roman" w:hAnsi="Times New Roman" w:cs="Times New Roman"/>
      <w:kern w:val="0"/>
      <w:lang w:eastAsia="fr-FR"/>
      <w14:ligatures w14:val="none"/>
    </w:rPr>
  </w:style>
  <w:style w:type="paragraph" w:styleId="Notedebasdepage">
    <w:name w:val="footnote text"/>
    <w:basedOn w:val="Normal"/>
    <w:link w:val="NotedebasdepageCar"/>
    <w:uiPriority w:val="99"/>
    <w:unhideWhenUsed/>
    <w:rsid w:val="00D2749A"/>
    <w:rPr>
      <w:sz w:val="20"/>
      <w:szCs w:val="20"/>
    </w:rPr>
  </w:style>
  <w:style w:type="character" w:customStyle="1" w:styleId="NotedebasdepageCar">
    <w:name w:val="Note de bas de page Car"/>
    <w:basedOn w:val="Policepardfaut"/>
    <w:link w:val="Notedebasdepage"/>
    <w:uiPriority w:val="99"/>
    <w:rsid w:val="00D2749A"/>
    <w:rPr>
      <w:sz w:val="20"/>
      <w:szCs w:val="20"/>
    </w:rPr>
  </w:style>
  <w:style w:type="character" w:styleId="Appelnotedebasdep">
    <w:name w:val="footnote reference"/>
    <w:basedOn w:val="Policepardfaut"/>
    <w:uiPriority w:val="99"/>
    <w:semiHidden/>
    <w:unhideWhenUsed/>
    <w:rsid w:val="00D2749A"/>
    <w:rPr>
      <w:vertAlign w:val="superscript"/>
    </w:rPr>
  </w:style>
  <w:style w:type="character" w:customStyle="1" w:styleId="srvrlnk">
    <w:name w:val="srvrlnk"/>
    <w:basedOn w:val="Policepardfaut"/>
    <w:rsid w:val="00D2749A"/>
  </w:style>
  <w:style w:type="character" w:styleId="Lienhypertexte">
    <w:name w:val="Hyperlink"/>
    <w:basedOn w:val="Policepardfaut"/>
    <w:uiPriority w:val="99"/>
    <w:unhideWhenUsed/>
    <w:rsid w:val="00D2749A"/>
    <w:rPr>
      <w:color w:val="0000FF"/>
      <w:u w:val="single"/>
    </w:rPr>
  </w:style>
  <w:style w:type="paragraph" w:styleId="En-tte">
    <w:name w:val="header"/>
    <w:basedOn w:val="Normal"/>
    <w:link w:val="En-tteCar"/>
    <w:uiPriority w:val="99"/>
    <w:unhideWhenUsed/>
    <w:rsid w:val="00F92930"/>
    <w:pPr>
      <w:tabs>
        <w:tab w:val="center" w:pos="4536"/>
        <w:tab w:val="right" w:pos="9072"/>
      </w:tabs>
    </w:pPr>
  </w:style>
  <w:style w:type="character" w:customStyle="1" w:styleId="En-tteCar">
    <w:name w:val="En-tête Car"/>
    <w:basedOn w:val="Policepardfaut"/>
    <w:link w:val="En-tte"/>
    <w:uiPriority w:val="99"/>
    <w:rsid w:val="00F92930"/>
  </w:style>
  <w:style w:type="paragraph" w:styleId="Pieddepage">
    <w:name w:val="footer"/>
    <w:basedOn w:val="Normal"/>
    <w:link w:val="PieddepageCar"/>
    <w:uiPriority w:val="99"/>
    <w:unhideWhenUsed/>
    <w:rsid w:val="00F92930"/>
    <w:pPr>
      <w:tabs>
        <w:tab w:val="center" w:pos="4536"/>
        <w:tab w:val="right" w:pos="9072"/>
      </w:tabs>
    </w:pPr>
  </w:style>
  <w:style w:type="character" w:customStyle="1" w:styleId="PieddepageCar">
    <w:name w:val="Pied de page Car"/>
    <w:basedOn w:val="Policepardfaut"/>
    <w:link w:val="Pieddepage"/>
    <w:uiPriority w:val="99"/>
    <w:rsid w:val="00F92930"/>
  </w:style>
  <w:style w:type="character" w:styleId="Mentionnonrsolue">
    <w:name w:val="Unresolved Mention"/>
    <w:basedOn w:val="Policepardfaut"/>
    <w:uiPriority w:val="99"/>
    <w:semiHidden/>
    <w:unhideWhenUsed/>
    <w:rsid w:val="00F92930"/>
    <w:rPr>
      <w:color w:val="605E5C"/>
      <w:shd w:val="clear" w:color="auto" w:fill="E1DFDD"/>
    </w:rPr>
  </w:style>
  <w:style w:type="character" w:styleId="Lienhypertextesuivivisit">
    <w:name w:val="FollowedHyperlink"/>
    <w:basedOn w:val="Policepardfaut"/>
    <w:uiPriority w:val="99"/>
    <w:semiHidden/>
    <w:unhideWhenUsed/>
    <w:rsid w:val="00657D9E"/>
    <w:rPr>
      <w:color w:val="96607D" w:themeColor="followedHyperlink"/>
      <w:u w:val="single"/>
    </w:rPr>
  </w:style>
  <w:style w:type="paragraph" w:customStyle="1" w:styleId="marginTopBottom14editable">
    <w:name w:val="marginTopBottom14 &#10;                        editable"/>
    <w:basedOn w:val="Normal"/>
    <w:rsid w:val="003966B3"/>
    <w:rPr>
      <w:rFonts w:ascii="Times New Roman" w:eastAsia="Times New Roman" w:hAnsi="Times New Roman" w:cs="Times New Roman"/>
      <w:kern w:val="0"/>
      <w:lang w:eastAsia="fr-FR"/>
      <w14:ligatures w14:val="none"/>
    </w:rPr>
  </w:style>
  <w:style w:type="character" w:customStyle="1" w:styleId="srvrLnk0">
    <w:name w:val="srvrLnk"/>
    <w:basedOn w:val="Policepardfaut"/>
    <w:rsid w:val="003966B3"/>
  </w:style>
  <w:style w:type="character" w:styleId="Textedelespacerserv">
    <w:name w:val="Placeholder Text"/>
    <w:basedOn w:val="Policepardfaut"/>
    <w:uiPriority w:val="99"/>
    <w:semiHidden/>
    <w:rsid w:val="00CF15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683">
      <w:bodyDiv w:val="1"/>
      <w:marLeft w:val="0"/>
      <w:marRight w:val="0"/>
      <w:marTop w:val="0"/>
      <w:marBottom w:val="0"/>
      <w:divBdr>
        <w:top w:val="none" w:sz="0" w:space="0" w:color="auto"/>
        <w:left w:val="none" w:sz="0" w:space="0" w:color="auto"/>
        <w:bottom w:val="none" w:sz="0" w:space="0" w:color="auto"/>
        <w:right w:val="none" w:sz="0" w:space="0" w:color="auto"/>
      </w:divBdr>
      <w:divsChild>
        <w:div w:id="2087920155">
          <w:marLeft w:val="0"/>
          <w:marRight w:val="0"/>
          <w:marTop w:val="0"/>
          <w:marBottom w:val="0"/>
          <w:divBdr>
            <w:top w:val="none" w:sz="0" w:space="0" w:color="auto"/>
            <w:left w:val="none" w:sz="0" w:space="0" w:color="auto"/>
            <w:bottom w:val="none" w:sz="0" w:space="0" w:color="auto"/>
            <w:right w:val="none" w:sz="0" w:space="0" w:color="auto"/>
          </w:divBdr>
          <w:divsChild>
            <w:div w:id="2084447511">
              <w:marLeft w:val="0"/>
              <w:marRight w:val="0"/>
              <w:marTop w:val="0"/>
              <w:marBottom w:val="0"/>
              <w:divBdr>
                <w:top w:val="none" w:sz="0" w:space="0" w:color="auto"/>
                <w:left w:val="none" w:sz="0" w:space="0" w:color="auto"/>
                <w:bottom w:val="none" w:sz="0" w:space="0" w:color="auto"/>
                <w:right w:val="none" w:sz="0" w:space="0" w:color="auto"/>
              </w:divBdr>
              <w:divsChild>
                <w:div w:id="1818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6103">
      <w:bodyDiv w:val="1"/>
      <w:marLeft w:val="0"/>
      <w:marRight w:val="0"/>
      <w:marTop w:val="0"/>
      <w:marBottom w:val="0"/>
      <w:divBdr>
        <w:top w:val="none" w:sz="0" w:space="0" w:color="auto"/>
        <w:left w:val="none" w:sz="0" w:space="0" w:color="auto"/>
        <w:bottom w:val="none" w:sz="0" w:space="0" w:color="auto"/>
        <w:right w:val="none" w:sz="0" w:space="0" w:color="auto"/>
      </w:divBdr>
    </w:div>
    <w:div w:id="222450821">
      <w:bodyDiv w:val="1"/>
      <w:marLeft w:val="0"/>
      <w:marRight w:val="0"/>
      <w:marTop w:val="0"/>
      <w:marBottom w:val="0"/>
      <w:divBdr>
        <w:top w:val="none" w:sz="0" w:space="0" w:color="auto"/>
        <w:left w:val="none" w:sz="0" w:space="0" w:color="auto"/>
        <w:bottom w:val="none" w:sz="0" w:space="0" w:color="auto"/>
        <w:right w:val="none" w:sz="0" w:space="0" w:color="auto"/>
      </w:divBdr>
    </w:div>
    <w:div w:id="507870075">
      <w:bodyDiv w:val="1"/>
      <w:marLeft w:val="0"/>
      <w:marRight w:val="0"/>
      <w:marTop w:val="0"/>
      <w:marBottom w:val="0"/>
      <w:divBdr>
        <w:top w:val="none" w:sz="0" w:space="0" w:color="auto"/>
        <w:left w:val="none" w:sz="0" w:space="0" w:color="auto"/>
        <w:bottom w:val="none" w:sz="0" w:space="0" w:color="auto"/>
        <w:right w:val="none" w:sz="0" w:space="0" w:color="auto"/>
      </w:divBdr>
      <w:divsChild>
        <w:div w:id="1229074072">
          <w:marLeft w:val="0"/>
          <w:marRight w:val="0"/>
          <w:marTop w:val="0"/>
          <w:marBottom w:val="0"/>
          <w:divBdr>
            <w:top w:val="none" w:sz="0" w:space="0" w:color="auto"/>
            <w:left w:val="none" w:sz="0" w:space="0" w:color="auto"/>
            <w:bottom w:val="none" w:sz="0" w:space="0" w:color="auto"/>
            <w:right w:val="none" w:sz="0" w:space="0" w:color="auto"/>
          </w:divBdr>
          <w:divsChild>
            <w:div w:id="732123974">
              <w:marLeft w:val="0"/>
              <w:marRight w:val="0"/>
              <w:marTop w:val="0"/>
              <w:marBottom w:val="0"/>
              <w:divBdr>
                <w:top w:val="none" w:sz="0" w:space="0" w:color="auto"/>
                <w:left w:val="none" w:sz="0" w:space="0" w:color="auto"/>
                <w:bottom w:val="none" w:sz="0" w:space="0" w:color="auto"/>
                <w:right w:val="none" w:sz="0" w:space="0" w:color="auto"/>
              </w:divBdr>
              <w:divsChild>
                <w:div w:id="7628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6575">
      <w:bodyDiv w:val="1"/>
      <w:marLeft w:val="0"/>
      <w:marRight w:val="0"/>
      <w:marTop w:val="0"/>
      <w:marBottom w:val="0"/>
      <w:divBdr>
        <w:top w:val="none" w:sz="0" w:space="0" w:color="auto"/>
        <w:left w:val="none" w:sz="0" w:space="0" w:color="auto"/>
        <w:bottom w:val="none" w:sz="0" w:space="0" w:color="auto"/>
        <w:right w:val="none" w:sz="0" w:space="0" w:color="auto"/>
      </w:divBdr>
    </w:div>
    <w:div w:id="752166619">
      <w:bodyDiv w:val="1"/>
      <w:marLeft w:val="0"/>
      <w:marRight w:val="0"/>
      <w:marTop w:val="0"/>
      <w:marBottom w:val="0"/>
      <w:divBdr>
        <w:top w:val="none" w:sz="0" w:space="0" w:color="auto"/>
        <w:left w:val="none" w:sz="0" w:space="0" w:color="auto"/>
        <w:bottom w:val="none" w:sz="0" w:space="0" w:color="auto"/>
        <w:right w:val="none" w:sz="0" w:space="0" w:color="auto"/>
      </w:divBdr>
    </w:div>
    <w:div w:id="770853315">
      <w:bodyDiv w:val="1"/>
      <w:marLeft w:val="0"/>
      <w:marRight w:val="0"/>
      <w:marTop w:val="0"/>
      <w:marBottom w:val="0"/>
      <w:divBdr>
        <w:top w:val="none" w:sz="0" w:space="0" w:color="auto"/>
        <w:left w:val="none" w:sz="0" w:space="0" w:color="auto"/>
        <w:bottom w:val="none" w:sz="0" w:space="0" w:color="auto"/>
        <w:right w:val="none" w:sz="0" w:space="0" w:color="auto"/>
      </w:divBdr>
      <w:divsChild>
        <w:div w:id="1647465926">
          <w:marLeft w:val="0"/>
          <w:marRight w:val="0"/>
          <w:marTop w:val="0"/>
          <w:marBottom w:val="0"/>
          <w:divBdr>
            <w:top w:val="none" w:sz="0" w:space="0" w:color="auto"/>
            <w:left w:val="none" w:sz="0" w:space="0" w:color="auto"/>
            <w:bottom w:val="none" w:sz="0" w:space="0" w:color="auto"/>
            <w:right w:val="none" w:sz="0" w:space="0" w:color="auto"/>
          </w:divBdr>
          <w:divsChild>
            <w:div w:id="123156950">
              <w:marLeft w:val="0"/>
              <w:marRight w:val="0"/>
              <w:marTop w:val="0"/>
              <w:marBottom w:val="0"/>
              <w:divBdr>
                <w:top w:val="none" w:sz="0" w:space="0" w:color="auto"/>
                <w:left w:val="none" w:sz="0" w:space="0" w:color="auto"/>
                <w:bottom w:val="none" w:sz="0" w:space="0" w:color="auto"/>
                <w:right w:val="none" w:sz="0" w:space="0" w:color="auto"/>
              </w:divBdr>
              <w:divsChild>
                <w:div w:id="402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5721">
      <w:bodyDiv w:val="1"/>
      <w:marLeft w:val="0"/>
      <w:marRight w:val="0"/>
      <w:marTop w:val="0"/>
      <w:marBottom w:val="0"/>
      <w:divBdr>
        <w:top w:val="none" w:sz="0" w:space="0" w:color="auto"/>
        <w:left w:val="none" w:sz="0" w:space="0" w:color="auto"/>
        <w:bottom w:val="none" w:sz="0" w:space="0" w:color="auto"/>
        <w:right w:val="none" w:sz="0" w:space="0" w:color="auto"/>
      </w:divBdr>
      <w:divsChild>
        <w:div w:id="520826314">
          <w:marLeft w:val="0"/>
          <w:marRight w:val="0"/>
          <w:marTop w:val="0"/>
          <w:marBottom w:val="0"/>
          <w:divBdr>
            <w:top w:val="none" w:sz="0" w:space="0" w:color="auto"/>
            <w:left w:val="none" w:sz="0" w:space="0" w:color="auto"/>
            <w:bottom w:val="none" w:sz="0" w:space="0" w:color="auto"/>
            <w:right w:val="none" w:sz="0" w:space="0" w:color="auto"/>
          </w:divBdr>
          <w:divsChild>
            <w:div w:id="610668696">
              <w:marLeft w:val="0"/>
              <w:marRight w:val="0"/>
              <w:marTop w:val="0"/>
              <w:marBottom w:val="0"/>
              <w:divBdr>
                <w:top w:val="none" w:sz="0" w:space="0" w:color="auto"/>
                <w:left w:val="none" w:sz="0" w:space="0" w:color="auto"/>
                <w:bottom w:val="none" w:sz="0" w:space="0" w:color="auto"/>
                <w:right w:val="none" w:sz="0" w:space="0" w:color="auto"/>
              </w:divBdr>
              <w:divsChild>
                <w:div w:id="6053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3427">
      <w:bodyDiv w:val="1"/>
      <w:marLeft w:val="0"/>
      <w:marRight w:val="0"/>
      <w:marTop w:val="0"/>
      <w:marBottom w:val="0"/>
      <w:divBdr>
        <w:top w:val="none" w:sz="0" w:space="0" w:color="auto"/>
        <w:left w:val="none" w:sz="0" w:space="0" w:color="auto"/>
        <w:bottom w:val="none" w:sz="0" w:space="0" w:color="auto"/>
        <w:right w:val="none" w:sz="0" w:space="0" w:color="auto"/>
      </w:divBdr>
    </w:div>
    <w:div w:id="1230072068">
      <w:bodyDiv w:val="1"/>
      <w:marLeft w:val="0"/>
      <w:marRight w:val="0"/>
      <w:marTop w:val="0"/>
      <w:marBottom w:val="0"/>
      <w:divBdr>
        <w:top w:val="none" w:sz="0" w:space="0" w:color="auto"/>
        <w:left w:val="none" w:sz="0" w:space="0" w:color="auto"/>
        <w:bottom w:val="none" w:sz="0" w:space="0" w:color="auto"/>
        <w:right w:val="none" w:sz="0" w:space="0" w:color="auto"/>
      </w:divBdr>
      <w:divsChild>
        <w:div w:id="1752313851">
          <w:marLeft w:val="0"/>
          <w:marRight w:val="0"/>
          <w:marTop w:val="0"/>
          <w:marBottom w:val="0"/>
          <w:divBdr>
            <w:top w:val="none" w:sz="0" w:space="0" w:color="auto"/>
            <w:left w:val="none" w:sz="0" w:space="0" w:color="auto"/>
            <w:bottom w:val="none" w:sz="0" w:space="0" w:color="auto"/>
            <w:right w:val="none" w:sz="0" w:space="0" w:color="auto"/>
          </w:divBdr>
          <w:divsChild>
            <w:div w:id="2144421041">
              <w:marLeft w:val="0"/>
              <w:marRight w:val="0"/>
              <w:marTop w:val="0"/>
              <w:marBottom w:val="0"/>
              <w:divBdr>
                <w:top w:val="none" w:sz="0" w:space="0" w:color="auto"/>
                <w:left w:val="none" w:sz="0" w:space="0" w:color="auto"/>
                <w:bottom w:val="none" w:sz="0" w:space="0" w:color="auto"/>
                <w:right w:val="none" w:sz="0" w:space="0" w:color="auto"/>
              </w:divBdr>
              <w:divsChild>
                <w:div w:id="9564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0590">
      <w:bodyDiv w:val="1"/>
      <w:marLeft w:val="0"/>
      <w:marRight w:val="0"/>
      <w:marTop w:val="0"/>
      <w:marBottom w:val="0"/>
      <w:divBdr>
        <w:top w:val="none" w:sz="0" w:space="0" w:color="auto"/>
        <w:left w:val="none" w:sz="0" w:space="0" w:color="auto"/>
        <w:bottom w:val="none" w:sz="0" w:space="0" w:color="auto"/>
        <w:right w:val="none" w:sz="0" w:space="0" w:color="auto"/>
      </w:divBdr>
      <w:divsChild>
        <w:div w:id="1525972300">
          <w:marLeft w:val="547"/>
          <w:marRight w:val="0"/>
          <w:marTop w:val="72"/>
          <w:marBottom w:val="120"/>
          <w:divBdr>
            <w:top w:val="none" w:sz="0" w:space="0" w:color="auto"/>
            <w:left w:val="none" w:sz="0" w:space="0" w:color="auto"/>
            <w:bottom w:val="none" w:sz="0" w:space="0" w:color="auto"/>
            <w:right w:val="none" w:sz="0" w:space="0" w:color="auto"/>
          </w:divBdr>
        </w:div>
        <w:div w:id="832598358">
          <w:marLeft w:val="547"/>
          <w:marRight w:val="0"/>
          <w:marTop w:val="72"/>
          <w:marBottom w:val="120"/>
          <w:divBdr>
            <w:top w:val="none" w:sz="0" w:space="0" w:color="auto"/>
            <w:left w:val="none" w:sz="0" w:space="0" w:color="auto"/>
            <w:bottom w:val="none" w:sz="0" w:space="0" w:color="auto"/>
            <w:right w:val="none" w:sz="0" w:space="0" w:color="auto"/>
          </w:divBdr>
        </w:div>
        <w:div w:id="705330883">
          <w:marLeft w:val="547"/>
          <w:marRight w:val="0"/>
          <w:marTop w:val="72"/>
          <w:marBottom w:val="120"/>
          <w:divBdr>
            <w:top w:val="none" w:sz="0" w:space="0" w:color="auto"/>
            <w:left w:val="none" w:sz="0" w:space="0" w:color="auto"/>
            <w:bottom w:val="none" w:sz="0" w:space="0" w:color="auto"/>
            <w:right w:val="none" w:sz="0" w:space="0" w:color="auto"/>
          </w:divBdr>
        </w:div>
        <w:div w:id="677123513">
          <w:marLeft w:val="547"/>
          <w:marRight w:val="0"/>
          <w:marTop w:val="72"/>
          <w:marBottom w:val="120"/>
          <w:divBdr>
            <w:top w:val="none" w:sz="0" w:space="0" w:color="auto"/>
            <w:left w:val="none" w:sz="0" w:space="0" w:color="auto"/>
            <w:bottom w:val="none" w:sz="0" w:space="0" w:color="auto"/>
            <w:right w:val="none" w:sz="0" w:space="0" w:color="auto"/>
          </w:divBdr>
        </w:div>
        <w:div w:id="350567072">
          <w:marLeft w:val="547"/>
          <w:marRight w:val="0"/>
          <w:marTop w:val="72"/>
          <w:marBottom w:val="120"/>
          <w:divBdr>
            <w:top w:val="none" w:sz="0" w:space="0" w:color="auto"/>
            <w:left w:val="none" w:sz="0" w:space="0" w:color="auto"/>
            <w:bottom w:val="none" w:sz="0" w:space="0" w:color="auto"/>
            <w:right w:val="none" w:sz="0" w:space="0" w:color="auto"/>
          </w:divBdr>
        </w:div>
        <w:div w:id="1455099197">
          <w:marLeft w:val="547"/>
          <w:marRight w:val="0"/>
          <w:marTop w:val="72"/>
          <w:marBottom w:val="120"/>
          <w:divBdr>
            <w:top w:val="none" w:sz="0" w:space="0" w:color="auto"/>
            <w:left w:val="none" w:sz="0" w:space="0" w:color="auto"/>
            <w:bottom w:val="none" w:sz="0" w:space="0" w:color="auto"/>
            <w:right w:val="none" w:sz="0" w:space="0" w:color="auto"/>
          </w:divBdr>
        </w:div>
        <w:div w:id="1847279356">
          <w:marLeft w:val="547"/>
          <w:marRight w:val="0"/>
          <w:marTop w:val="72"/>
          <w:marBottom w:val="120"/>
          <w:divBdr>
            <w:top w:val="none" w:sz="0" w:space="0" w:color="auto"/>
            <w:left w:val="none" w:sz="0" w:space="0" w:color="auto"/>
            <w:bottom w:val="none" w:sz="0" w:space="0" w:color="auto"/>
            <w:right w:val="none" w:sz="0" w:space="0" w:color="auto"/>
          </w:divBdr>
        </w:div>
      </w:divsChild>
    </w:div>
    <w:div w:id="1542127709">
      <w:bodyDiv w:val="1"/>
      <w:marLeft w:val="0"/>
      <w:marRight w:val="0"/>
      <w:marTop w:val="0"/>
      <w:marBottom w:val="0"/>
      <w:divBdr>
        <w:top w:val="none" w:sz="0" w:space="0" w:color="auto"/>
        <w:left w:val="none" w:sz="0" w:space="0" w:color="auto"/>
        <w:bottom w:val="none" w:sz="0" w:space="0" w:color="auto"/>
        <w:right w:val="none" w:sz="0" w:space="0" w:color="auto"/>
      </w:divBdr>
      <w:divsChild>
        <w:div w:id="994645169">
          <w:marLeft w:val="0"/>
          <w:marRight w:val="0"/>
          <w:marTop w:val="0"/>
          <w:marBottom w:val="0"/>
          <w:divBdr>
            <w:top w:val="none" w:sz="0" w:space="0" w:color="auto"/>
            <w:left w:val="none" w:sz="0" w:space="0" w:color="auto"/>
            <w:bottom w:val="none" w:sz="0" w:space="0" w:color="auto"/>
            <w:right w:val="none" w:sz="0" w:space="0" w:color="auto"/>
          </w:divBdr>
          <w:divsChild>
            <w:div w:id="1061834252">
              <w:marLeft w:val="0"/>
              <w:marRight w:val="0"/>
              <w:marTop w:val="0"/>
              <w:marBottom w:val="0"/>
              <w:divBdr>
                <w:top w:val="none" w:sz="0" w:space="0" w:color="auto"/>
                <w:left w:val="none" w:sz="0" w:space="0" w:color="auto"/>
                <w:bottom w:val="none" w:sz="0" w:space="0" w:color="auto"/>
                <w:right w:val="none" w:sz="0" w:space="0" w:color="auto"/>
              </w:divBdr>
              <w:divsChild>
                <w:div w:id="826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2106">
      <w:bodyDiv w:val="1"/>
      <w:marLeft w:val="0"/>
      <w:marRight w:val="0"/>
      <w:marTop w:val="0"/>
      <w:marBottom w:val="0"/>
      <w:divBdr>
        <w:top w:val="none" w:sz="0" w:space="0" w:color="auto"/>
        <w:left w:val="none" w:sz="0" w:space="0" w:color="auto"/>
        <w:bottom w:val="none" w:sz="0" w:space="0" w:color="auto"/>
        <w:right w:val="none" w:sz="0" w:space="0" w:color="auto"/>
      </w:divBdr>
    </w:div>
    <w:div w:id="1807775650">
      <w:bodyDiv w:val="1"/>
      <w:marLeft w:val="0"/>
      <w:marRight w:val="0"/>
      <w:marTop w:val="0"/>
      <w:marBottom w:val="0"/>
      <w:divBdr>
        <w:top w:val="none" w:sz="0" w:space="0" w:color="auto"/>
        <w:left w:val="none" w:sz="0" w:space="0" w:color="auto"/>
        <w:bottom w:val="none" w:sz="0" w:space="0" w:color="auto"/>
        <w:right w:val="none" w:sz="0" w:space="0" w:color="auto"/>
      </w:divBdr>
    </w:div>
    <w:div w:id="1871527236">
      <w:bodyDiv w:val="1"/>
      <w:marLeft w:val="0"/>
      <w:marRight w:val="0"/>
      <w:marTop w:val="0"/>
      <w:marBottom w:val="0"/>
      <w:divBdr>
        <w:top w:val="none" w:sz="0" w:space="0" w:color="auto"/>
        <w:left w:val="none" w:sz="0" w:space="0" w:color="auto"/>
        <w:bottom w:val="none" w:sz="0" w:space="0" w:color="auto"/>
        <w:right w:val="none" w:sz="0" w:space="0" w:color="auto"/>
      </w:divBdr>
    </w:div>
    <w:div w:id="1936477779">
      <w:bodyDiv w:val="1"/>
      <w:marLeft w:val="0"/>
      <w:marRight w:val="0"/>
      <w:marTop w:val="0"/>
      <w:marBottom w:val="0"/>
      <w:divBdr>
        <w:top w:val="none" w:sz="0" w:space="0" w:color="auto"/>
        <w:left w:val="none" w:sz="0" w:space="0" w:color="auto"/>
        <w:bottom w:val="none" w:sz="0" w:space="0" w:color="auto"/>
        <w:right w:val="none" w:sz="0" w:space="0" w:color="auto"/>
      </w:divBdr>
    </w:div>
    <w:div w:id="20306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tipharma.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vuepharma.fr/2025/05/vente-en-ligne-de-medicaments-la-profession-contre-attaque-et-lancera-ma-pharmacie-en-france-en-octob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0B69D-8E7D-8E4E-B18E-0719B86D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5303</Words>
  <Characters>29171</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Arcelin</dc:creator>
  <cp:keywords/>
  <dc:description/>
  <cp:lastModifiedBy>Jean-Louis Fourgoux</cp:lastModifiedBy>
  <cp:revision>2</cp:revision>
  <cp:lastPrinted>2025-07-07T12:29:00Z</cp:lastPrinted>
  <dcterms:created xsi:type="dcterms:W3CDTF">2025-07-11T15:35:00Z</dcterms:created>
  <dcterms:modified xsi:type="dcterms:W3CDTF">2025-07-11T15:35:00Z</dcterms:modified>
</cp:coreProperties>
</file>