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32EF2" w14:textId="0A65850E" w:rsidR="00A657A0" w:rsidRPr="00CD5B0E" w:rsidRDefault="00A657A0" w:rsidP="009F062D">
      <w:pPr>
        <w:spacing w:before="157" w:after="157" w:line="270" w:lineRule="auto"/>
        <w:jc w:val="both"/>
        <w:rPr>
          <w:rFonts w:ascii="Times New Roman" w:hAnsi="Times New Roman" w:cs="Times New Roman"/>
          <w:color w:val="000000"/>
          <w:sz w:val="20"/>
          <w:szCs w:val="20"/>
        </w:rPr>
      </w:pPr>
      <w:r w:rsidRPr="00CD5B0E">
        <w:rPr>
          <w:rFonts w:ascii="Times New Roman" w:hAnsi="Times New Roman" w:cs="Times New Roman"/>
          <w:color w:val="000000"/>
          <w:sz w:val="20"/>
          <w:szCs w:val="20"/>
        </w:rPr>
        <w:t>Catrina Lam SC, Joshua Yeung</w:t>
      </w:r>
    </w:p>
    <w:p w14:paraId="7B297E0A" w14:textId="5F478ED6" w:rsidR="00A657A0" w:rsidRPr="00CD5B0E" w:rsidRDefault="00A657A0" w:rsidP="009F062D">
      <w:pPr>
        <w:spacing w:before="157" w:after="157" w:line="270" w:lineRule="auto"/>
        <w:jc w:val="both"/>
        <w:rPr>
          <w:rFonts w:ascii="Times New Roman" w:hAnsi="Times New Roman" w:cs="Times New Roman"/>
          <w:color w:val="000000"/>
          <w:sz w:val="20"/>
          <w:szCs w:val="20"/>
        </w:rPr>
      </w:pPr>
      <w:r w:rsidRPr="00CD5B0E">
        <w:rPr>
          <w:rFonts w:ascii="Times New Roman" w:hAnsi="Times New Roman" w:cs="Times New Roman"/>
          <w:color w:val="000000"/>
          <w:sz w:val="20"/>
          <w:szCs w:val="20"/>
        </w:rPr>
        <w:t>Des Voeux Chambers, Hong Kong</w:t>
      </w:r>
    </w:p>
    <w:p w14:paraId="3A5DE2AC" w14:textId="75E42301" w:rsidR="00A657A0" w:rsidRPr="00CD5B0E" w:rsidRDefault="00A657A0" w:rsidP="009F062D">
      <w:pPr>
        <w:spacing w:before="157" w:after="157" w:line="270" w:lineRule="auto"/>
        <w:jc w:val="both"/>
        <w:rPr>
          <w:rFonts w:ascii="Times New Roman" w:hAnsi="Times New Roman" w:cs="Times New Roman"/>
          <w:color w:val="000000"/>
          <w:sz w:val="20"/>
          <w:szCs w:val="20"/>
        </w:rPr>
      </w:pPr>
      <w:r w:rsidRPr="00CD5B0E">
        <w:rPr>
          <w:rFonts w:ascii="Times New Roman" w:hAnsi="Times New Roman" w:cs="Times New Roman"/>
          <w:color w:val="000000"/>
          <w:sz w:val="20"/>
          <w:szCs w:val="20"/>
        </w:rPr>
        <w:t>Email: catrinalam@dvc.hk | joshua.yeung@dvc.hk</w:t>
      </w:r>
    </w:p>
    <w:p w14:paraId="5C8A89DE" w14:textId="77777777" w:rsidR="007A1C59" w:rsidRPr="00CD5B0E" w:rsidRDefault="007A1C59" w:rsidP="009F062D">
      <w:pPr>
        <w:spacing w:before="157" w:after="157" w:line="270" w:lineRule="auto"/>
        <w:jc w:val="both"/>
        <w:rPr>
          <w:rFonts w:ascii="Times New Roman" w:hAnsi="Times New Roman" w:cs="Times New Roman"/>
          <w:b/>
          <w:color w:val="000000"/>
          <w:sz w:val="20"/>
          <w:szCs w:val="20"/>
        </w:rPr>
      </w:pPr>
    </w:p>
    <w:p w14:paraId="24F66797" w14:textId="7BA324C3" w:rsidR="00CA6AAC" w:rsidRPr="00CD5B0E" w:rsidRDefault="00000000" w:rsidP="0094775B">
      <w:pPr>
        <w:spacing w:before="157" w:after="157" w:line="270" w:lineRule="auto"/>
        <w:jc w:val="center"/>
        <w:rPr>
          <w:rFonts w:ascii="Times New Roman" w:hAnsi="Times New Roman" w:cs="Times New Roman"/>
          <w:sz w:val="20"/>
          <w:szCs w:val="20"/>
          <w:lang w:eastAsia="zh-TW"/>
        </w:rPr>
      </w:pPr>
      <w:r w:rsidRPr="00CD5B0E">
        <w:rPr>
          <w:rFonts w:ascii="Times New Roman" w:hAnsi="Times New Roman" w:cs="Times New Roman"/>
          <w:b/>
          <w:color w:val="000000"/>
          <w:sz w:val="20"/>
          <w:szCs w:val="20"/>
        </w:rPr>
        <w:t xml:space="preserve">Online Platform Liability for Intellectual Property Rights Infringement in Hong Kong: A Critical Analysis of </w:t>
      </w:r>
      <w:r w:rsidR="00A657A0" w:rsidRPr="00CD5B0E">
        <w:rPr>
          <w:rFonts w:ascii="Times New Roman" w:eastAsia="inter" w:hAnsi="Times New Roman" w:cs="Times New Roman"/>
          <w:b/>
          <w:color w:val="000000"/>
          <w:sz w:val="20"/>
          <w:szCs w:val="20"/>
        </w:rPr>
        <w:t xml:space="preserve">the </w:t>
      </w:r>
      <w:r w:rsidRPr="00CD5B0E">
        <w:rPr>
          <w:rFonts w:ascii="Times New Roman" w:hAnsi="Times New Roman" w:cs="Times New Roman"/>
          <w:b/>
          <w:color w:val="000000"/>
          <w:sz w:val="20"/>
          <w:szCs w:val="20"/>
        </w:rPr>
        <w:t>Legal Framework and Future Challenges</w:t>
      </w:r>
    </w:p>
    <w:p w14:paraId="1BF0C5A1" w14:textId="6107F265" w:rsidR="00CA6AAC" w:rsidRPr="00CD5B0E" w:rsidRDefault="00000000" w:rsidP="009F062D">
      <w:pPr>
        <w:pStyle w:val="ListParagraph"/>
        <w:numPr>
          <w:ilvl w:val="0"/>
          <w:numId w:val="3"/>
        </w:numPr>
        <w:spacing w:before="315" w:after="105" w:line="360" w:lineRule="auto"/>
        <w:ind w:leftChars="0"/>
        <w:jc w:val="both"/>
        <w:rPr>
          <w:rFonts w:ascii="Times New Roman" w:hAnsi="Times New Roman" w:cs="Times New Roman"/>
          <w:sz w:val="20"/>
          <w:szCs w:val="20"/>
        </w:rPr>
      </w:pPr>
      <w:r w:rsidRPr="00CD5B0E">
        <w:rPr>
          <w:rFonts w:ascii="Times New Roman" w:hAnsi="Times New Roman" w:cs="Times New Roman"/>
          <w:b/>
          <w:color w:val="000000"/>
          <w:sz w:val="20"/>
          <w:szCs w:val="20"/>
        </w:rPr>
        <w:t>Introduction</w:t>
      </w:r>
    </w:p>
    <w:p w14:paraId="1BA2466E" w14:textId="7DC4B49A"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 xml:space="preserve">The regulation of online platforms has grown increasingly intricate, especially as their influence over commerce and information </w:t>
      </w:r>
      <w:r w:rsidR="00A657A0" w:rsidRPr="00CD5B0E">
        <w:rPr>
          <w:rFonts w:ascii="Times New Roman" w:eastAsia="inter" w:hAnsi="Times New Roman" w:cs="Times New Roman"/>
          <w:color w:val="000000"/>
          <w:sz w:val="20"/>
          <w:szCs w:val="20"/>
        </w:rPr>
        <w:t>increases</w:t>
      </w:r>
      <w:r w:rsidRPr="00CD5B0E">
        <w:rPr>
          <w:rFonts w:ascii="Times New Roman" w:hAnsi="Times New Roman" w:cs="Times New Roman"/>
          <w:color w:val="000000"/>
          <w:sz w:val="20"/>
          <w:szCs w:val="20"/>
        </w:rPr>
        <w:t>. In Hong Kong, the legal framework governing platform liability for intellectual property (IP) rights infringements and unfair competition has evolved significantly, reflecting both international trends and local particularities. This article critically examines Hong Kong</w:t>
      </w:r>
      <w:r w:rsidR="00AB2EB8"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 xml:space="preserve">s approach to platform responsibility, analyzing the delicate balance between safe </w:t>
      </w:r>
      <w:proofErr w:type="spellStart"/>
      <w:r w:rsidRPr="00CD5B0E">
        <w:rPr>
          <w:rFonts w:ascii="Times New Roman" w:hAnsi="Times New Roman" w:cs="Times New Roman"/>
          <w:color w:val="000000"/>
          <w:sz w:val="20"/>
          <w:szCs w:val="20"/>
        </w:rPr>
        <w:t>harbour</w:t>
      </w:r>
      <w:proofErr w:type="spellEnd"/>
      <w:r w:rsidRPr="00CD5B0E">
        <w:rPr>
          <w:rFonts w:ascii="Times New Roman" w:hAnsi="Times New Roman" w:cs="Times New Roman"/>
          <w:color w:val="000000"/>
          <w:sz w:val="20"/>
          <w:szCs w:val="20"/>
        </w:rPr>
        <w:t xml:space="preserve"> protections, proactive obligations, and the imperative to uphold fundamental rights. </w:t>
      </w:r>
      <w:bookmarkStart w:id="0" w:name="fnref1"/>
      <w:bookmarkStart w:id="1" w:name="fnref2"/>
      <w:bookmarkStart w:id="2" w:name="fnref3"/>
      <w:bookmarkEnd w:id="0"/>
      <w:bookmarkEnd w:id="1"/>
      <w:bookmarkEnd w:id="2"/>
      <w:r w:rsidR="00A657A0" w:rsidRPr="00CD5B0E">
        <w:rPr>
          <w:rFonts w:ascii="Times New Roman" w:eastAsia="inter" w:hAnsi="Times New Roman" w:cs="Times New Roman"/>
          <w:color w:val="000000"/>
          <w:sz w:val="20"/>
          <w:szCs w:val="20"/>
        </w:rPr>
        <w:t xml:space="preserve"> </w:t>
      </w:r>
      <w:bookmarkStart w:id="3" w:name="fnref4"/>
      <w:bookmarkStart w:id="4" w:name="fnref5"/>
      <w:bookmarkEnd w:id="3"/>
      <w:bookmarkEnd w:id="4"/>
      <w:r w:rsidR="008374B6" w:rsidRPr="00CD5B0E">
        <w:rPr>
          <w:rFonts w:ascii="Times New Roman" w:hAnsi="Times New Roman" w:cs="Times New Roman"/>
          <w:sz w:val="20"/>
          <w:szCs w:val="20"/>
        </w:rPr>
        <w:t xml:space="preserve"> </w:t>
      </w:r>
    </w:p>
    <w:p w14:paraId="3B74B15E" w14:textId="327A117C" w:rsidR="00CA6AAC" w:rsidRPr="00CD5B0E" w:rsidRDefault="00000000" w:rsidP="009F062D">
      <w:pPr>
        <w:pStyle w:val="ListParagraph"/>
        <w:numPr>
          <w:ilvl w:val="0"/>
          <w:numId w:val="3"/>
        </w:numPr>
        <w:spacing w:before="315" w:after="105" w:line="360" w:lineRule="auto"/>
        <w:ind w:leftChars="0"/>
        <w:jc w:val="both"/>
        <w:rPr>
          <w:rFonts w:ascii="Times New Roman" w:hAnsi="Times New Roman" w:cs="Times New Roman"/>
          <w:sz w:val="20"/>
          <w:szCs w:val="20"/>
        </w:rPr>
      </w:pPr>
      <w:r w:rsidRPr="00CD5B0E">
        <w:rPr>
          <w:rFonts w:ascii="Times New Roman" w:hAnsi="Times New Roman" w:cs="Times New Roman"/>
          <w:b/>
          <w:color w:val="000000"/>
          <w:sz w:val="20"/>
          <w:szCs w:val="20"/>
        </w:rPr>
        <w:t>Historical Perspective and Definitions</w:t>
      </w:r>
    </w:p>
    <w:p w14:paraId="06C540F6" w14:textId="61DEFF17" w:rsidR="00CA6AAC" w:rsidRPr="00CD5B0E" w:rsidRDefault="00000000" w:rsidP="009F062D">
      <w:pPr>
        <w:pStyle w:val="ListParagraph"/>
        <w:numPr>
          <w:ilvl w:val="1"/>
          <w:numId w:val="3"/>
        </w:numPr>
        <w:spacing w:before="315" w:after="105" w:line="360" w:lineRule="auto"/>
        <w:ind w:leftChars="0" w:left="709"/>
        <w:jc w:val="both"/>
        <w:rPr>
          <w:rFonts w:ascii="Times New Roman" w:hAnsi="Times New Roman" w:cs="Times New Roman"/>
          <w:sz w:val="20"/>
          <w:szCs w:val="20"/>
        </w:rPr>
      </w:pPr>
      <w:r w:rsidRPr="00CD5B0E">
        <w:rPr>
          <w:rFonts w:ascii="Times New Roman" w:hAnsi="Times New Roman" w:cs="Times New Roman"/>
          <w:b/>
          <w:color w:val="000000"/>
          <w:sz w:val="20"/>
          <w:szCs w:val="20"/>
        </w:rPr>
        <w:t>Defining Platforms in Hong Kong</w:t>
      </w:r>
    </w:p>
    <w:p w14:paraId="5859E0BA" w14:textId="7E51626A"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 xml:space="preserve">In Hong Kong, the term </w:t>
      </w:r>
      <w:r w:rsidR="00FB11D4"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online service provider</w:t>
      </w:r>
      <w:r w:rsidR="00FB11D4"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 xml:space="preserve"> (OSP) is broadly </w:t>
      </w:r>
      <w:r w:rsidR="00A33436" w:rsidRPr="00CD5B0E">
        <w:rPr>
          <w:rFonts w:ascii="Times New Roman" w:eastAsia="inter" w:hAnsi="Times New Roman" w:cs="Times New Roman"/>
          <w:color w:val="000000"/>
          <w:sz w:val="20"/>
          <w:szCs w:val="20"/>
        </w:rPr>
        <w:t>defined</w:t>
      </w:r>
      <w:r w:rsidRPr="00CD5B0E">
        <w:rPr>
          <w:rFonts w:ascii="Times New Roman" w:hAnsi="Times New Roman" w:cs="Times New Roman"/>
          <w:color w:val="000000"/>
          <w:sz w:val="20"/>
          <w:szCs w:val="20"/>
        </w:rPr>
        <w:t xml:space="preserve"> under the statutory regime introduced by Division IIIA of the Copyright Ordinance (Cap. 528, sections 88A to 88J). The definition of</w:t>
      </w:r>
      <w:r w:rsidRPr="00CD5B0E">
        <w:rPr>
          <w:rFonts w:ascii="Times New Roman" w:eastAsia="inter" w:hAnsi="Times New Roman" w:cs="Times New Roman"/>
          <w:color w:val="000000"/>
          <w:sz w:val="20"/>
          <w:szCs w:val="20"/>
        </w:rPr>
        <w:t xml:space="preserve"> </w:t>
      </w:r>
      <w:r w:rsidR="00A33436" w:rsidRPr="00CD5B0E">
        <w:rPr>
          <w:rFonts w:ascii="Times New Roman" w:eastAsia="inter" w:hAnsi="Times New Roman" w:cs="Times New Roman"/>
          <w:color w:val="000000"/>
          <w:sz w:val="20"/>
          <w:szCs w:val="20"/>
        </w:rPr>
        <w:t>an</w:t>
      </w:r>
      <w:r w:rsidR="00A33436" w:rsidRPr="00CD5B0E">
        <w:rPr>
          <w:rFonts w:ascii="Times New Roman" w:hAnsi="Times New Roman" w:cs="Times New Roman"/>
          <w:color w:val="000000"/>
          <w:sz w:val="20"/>
          <w:szCs w:val="20"/>
        </w:rPr>
        <w:t xml:space="preserve"> </w:t>
      </w:r>
      <w:r w:rsidR="00FB11D4" w:rsidRPr="00CD5B0E">
        <w:rPr>
          <w:rFonts w:ascii="Times New Roman" w:hAnsi="Times New Roman" w:cs="Times New Roman"/>
          <w:color w:val="000000"/>
          <w:sz w:val="20"/>
          <w:szCs w:val="20"/>
        </w:rPr>
        <w:t>“</w:t>
      </w:r>
      <w:r w:rsidR="0098134F" w:rsidRPr="00CD5B0E">
        <w:rPr>
          <w:rFonts w:ascii="Times New Roman" w:hAnsi="Times New Roman" w:cs="Times New Roman"/>
          <w:color w:val="000000"/>
          <w:sz w:val="20"/>
          <w:szCs w:val="20"/>
        </w:rPr>
        <w:t xml:space="preserve">online </w:t>
      </w:r>
      <w:r w:rsidRPr="00CD5B0E">
        <w:rPr>
          <w:rFonts w:ascii="Times New Roman" w:hAnsi="Times New Roman" w:cs="Times New Roman"/>
          <w:color w:val="000000"/>
          <w:sz w:val="20"/>
          <w:szCs w:val="20"/>
        </w:rPr>
        <w:t>service provider</w:t>
      </w:r>
      <w:r w:rsidR="00FB11D4" w:rsidRPr="00CD5B0E">
        <w:rPr>
          <w:rFonts w:ascii="Times New Roman" w:hAnsi="Times New Roman" w:cs="Times New Roman"/>
          <w:color w:val="000000"/>
          <w:sz w:val="20"/>
          <w:szCs w:val="20"/>
        </w:rPr>
        <w:t>”</w:t>
      </w:r>
      <w:r w:rsidR="0098134F" w:rsidRPr="00CD5B0E">
        <w:rPr>
          <w:rFonts w:ascii="Times New Roman" w:hAnsi="Times New Roman" w:cs="Times New Roman"/>
          <w:color w:val="000000"/>
          <w:sz w:val="20"/>
          <w:szCs w:val="20"/>
        </w:rPr>
        <w:t xml:space="preserve"> </w:t>
      </w:r>
      <w:r w:rsidRPr="00CD5B0E">
        <w:rPr>
          <w:rFonts w:ascii="Times New Roman" w:hAnsi="Times New Roman" w:cs="Times New Roman"/>
          <w:color w:val="000000"/>
          <w:sz w:val="20"/>
          <w:szCs w:val="20"/>
        </w:rPr>
        <w:t xml:space="preserve">encompasses entities offering internet access, information location tools, and online storage, capturing both traditional e-commerce platforms and newer entities such as NFT and digital content platforms. This expansive definition ensures broad applicability of the safe </w:t>
      </w:r>
      <w:proofErr w:type="spellStart"/>
      <w:r w:rsidRPr="00CD5B0E">
        <w:rPr>
          <w:rFonts w:ascii="Times New Roman" w:hAnsi="Times New Roman" w:cs="Times New Roman"/>
          <w:color w:val="000000"/>
          <w:sz w:val="20"/>
          <w:szCs w:val="20"/>
        </w:rPr>
        <w:t>harbour</w:t>
      </w:r>
      <w:proofErr w:type="spellEnd"/>
      <w:r w:rsidRPr="00CD5B0E">
        <w:rPr>
          <w:rFonts w:ascii="Times New Roman" w:hAnsi="Times New Roman" w:cs="Times New Roman"/>
          <w:color w:val="000000"/>
          <w:sz w:val="20"/>
          <w:szCs w:val="20"/>
        </w:rPr>
        <w:t xml:space="preserve"> provisions while excluding services limited to intranet delivery.</w:t>
      </w:r>
      <w:bookmarkStart w:id="5" w:name="fnref6"/>
      <w:bookmarkStart w:id="6" w:name="fnref7"/>
      <w:bookmarkStart w:id="7" w:name="fnref8"/>
      <w:bookmarkStart w:id="8" w:name="fnref9"/>
      <w:bookmarkEnd w:id="5"/>
      <w:bookmarkEnd w:id="6"/>
      <w:bookmarkEnd w:id="7"/>
      <w:bookmarkEnd w:id="8"/>
      <w:r w:rsidR="00AA6107" w:rsidRPr="00CD5B0E">
        <w:rPr>
          <w:rFonts w:ascii="Times New Roman" w:hAnsi="Times New Roman" w:cs="Times New Roman"/>
          <w:sz w:val="20"/>
          <w:szCs w:val="20"/>
        </w:rPr>
        <w:t xml:space="preserve"> </w:t>
      </w:r>
    </w:p>
    <w:p w14:paraId="0B0F24BA" w14:textId="74CAB34C"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The legislative approach reflects Hong Kong</w:t>
      </w:r>
      <w:r w:rsidR="00AB2EB8"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 xml:space="preserve">s commitment to </w:t>
      </w:r>
      <w:r w:rsidR="00005AF9" w:rsidRPr="00CD5B0E">
        <w:rPr>
          <w:rFonts w:ascii="Times New Roman" w:eastAsia="inter" w:hAnsi="Times New Roman" w:cs="Times New Roman"/>
          <w:color w:val="000000"/>
          <w:sz w:val="20"/>
          <w:szCs w:val="20"/>
        </w:rPr>
        <w:t>the advancement of technology</w:t>
      </w:r>
      <w:r w:rsidRPr="00CD5B0E">
        <w:rPr>
          <w:rFonts w:ascii="Times New Roman" w:hAnsi="Times New Roman" w:cs="Times New Roman"/>
          <w:color w:val="000000"/>
          <w:sz w:val="20"/>
          <w:szCs w:val="20"/>
        </w:rPr>
        <w:t>, ensuring that the legal framework can adapt to emerging technologies without requiring constant legislative updates. This broad definitional scope has proven particularly valuable as platform business models have diversified and evolved</w:t>
      </w:r>
      <w:bookmarkStart w:id="9" w:name="fnref10"/>
      <w:bookmarkStart w:id="10" w:name="fnref11"/>
      <w:bookmarkEnd w:id="9"/>
      <w:bookmarkEnd w:id="10"/>
      <w:r w:rsidR="00B0358F" w:rsidRPr="00CD5B0E">
        <w:rPr>
          <w:rFonts w:ascii="Times New Roman" w:eastAsia="inter" w:hAnsi="Times New Roman" w:cs="Times New Roman"/>
          <w:color w:val="000000"/>
          <w:sz w:val="20"/>
          <w:szCs w:val="20"/>
        </w:rPr>
        <w:t>, a</w:t>
      </w:r>
      <w:r w:rsidR="005C21FF" w:rsidRPr="00CD5B0E">
        <w:rPr>
          <w:rFonts w:ascii="Times New Roman" w:eastAsia="inter" w:hAnsi="Times New Roman" w:cs="Times New Roman"/>
          <w:color w:val="000000"/>
          <w:sz w:val="20"/>
          <w:szCs w:val="20"/>
        </w:rPr>
        <w:t>s</w:t>
      </w:r>
      <w:r w:rsidR="005C21FF" w:rsidRPr="00CD5B0E">
        <w:rPr>
          <w:rFonts w:ascii="Times New Roman" w:hAnsi="Times New Roman" w:cs="Times New Roman"/>
          <w:color w:val="000000"/>
          <w:sz w:val="20"/>
          <w:szCs w:val="20"/>
        </w:rPr>
        <w:t xml:space="preserve"> Hong Kong moves toward integrating exceptions for legitimate technologies such as text and data mining (TDM) and AI training within the safe </w:t>
      </w:r>
      <w:proofErr w:type="spellStart"/>
      <w:r w:rsidR="005C21FF" w:rsidRPr="00CD5B0E">
        <w:rPr>
          <w:rFonts w:ascii="Times New Roman" w:hAnsi="Times New Roman" w:cs="Times New Roman"/>
          <w:color w:val="000000"/>
          <w:sz w:val="20"/>
          <w:szCs w:val="20"/>
        </w:rPr>
        <w:t>harbour</w:t>
      </w:r>
      <w:proofErr w:type="spellEnd"/>
      <w:r w:rsidR="005C21FF" w:rsidRPr="00CD5B0E">
        <w:rPr>
          <w:rFonts w:ascii="Times New Roman" w:hAnsi="Times New Roman" w:cs="Times New Roman"/>
          <w:color w:val="000000"/>
          <w:sz w:val="20"/>
          <w:szCs w:val="20"/>
        </w:rPr>
        <w:t xml:space="preserve"> structure, aiming to not only maintain legal certainty but also foster technological growth</w:t>
      </w:r>
      <w:r w:rsidR="0066298B" w:rsidRPr="00CD5B0E">
        <w:rPr>
          <w:rStyle w:val="FootnoteReference"/>
          <w:rFonts w:ascii="Times New Roman" w:hAnsi="Times New Roman" w:cs="Times New Roman"/>
          <w:color w:val="000000"/>
          <w:sz w:val="20"/>
          <w:szCs w:val="20"/>
        </w:rPr>
        <w:footnoteReference w:id="1"/>
      </w:r>
      <w:r w:rsidR="005C21FF" w:rsidRPr="00CD5B0E">
        <w:rPr>
          <w:rFonts w:ascii="Times New Roman" w:hAnsi="Times New Roman" w:cs="Times New Roman"/>
          <w:color w:val="000000"/>
          <w:sz w:val="20"/>
          <w:szCs w:val="20"/>
        </w:rPr>
        <w:t>.</w:t>
      </w:r>
    </w:p>
    <w:p w14:paraId="5F00AF49" w14:textId="36114A0C" w:rsidR="00CA6AAC" w:rsidRPr="00CD5B0E" w:rsidRDefault="00000000" w:rsidP="00A67A2F">
      <w:pPr>
        <w:pStyle w:val="ListParagraph"/>
        <w:numPr>
          <w:ilvl w:val="1"/>
          <w:numId w:val="3"/>
        </w:numPr>
        <w:spacing w:before="315" w:after="105" w:line="360" w:lineRule="auto"/>
        <w:ind w:leftChars="0" w:left="709"/>
        <w:jc w:val="both"/>
        <w:rPr>
          <w:rFonts w:ascii="Times New Roman" w:hAnsi="Times New Roman" w:cs="Times New Roman"/>
          <w:sz w:val="20"/>
          <w:szCs w:val="20"/>
        </w:rPr>
      </w:pPr>
      <w:r w:rsidRPr="00CD5B0E">
        <w:rPr>
          <w:rFonts w:ascii="Times New Roman" w:hAnsi="Times New Roman" w:cs="Times New Roman"/>
          <w:b/>
          <w:color w:val="000000"/>
          <w:sz w:val="20"/>
          <w:szCs w:val="20"/>
        </w:rPr>
        <w:t xml:space="preserve">Safe </w:t>
      </w:r>
      <w:proofErr w:type="spellStart"/>
      <w:r w:rsidRPr="00CD5B0E">
        <w:rPr>
          <w:rFonts w:ascii="Times New Roman" w:hAnsi="Times New Roman" w:cs="Times New Roman"/>
          <w:b/>
          <w:color w:val="000000"/>
          <w:sz w:val="20"/>
          <w:szCs w:val="20"/>
        </w:rPr>
        <w:t>Harbour</w:t>
      </w:r>
      <w:proofErr w:type="spellEnd"/>
      <w:r w:rsidRPr="00CD5B0E">
        <w:rPr>
          <w:rFonts w:ascii="Times New Roman" w:hAnsi="Times New Roman" w:cs="Times New Roman"/>
          <w:b/>
          <w:color w:val="000000"/>
          <w:sz w:val="20"/>
          <w:szCs w:val="20"/>
        </w:rPr>
        <w:t xml:space="preserve"> Framework and Conditions</w:t>
      </w:r>
    </w:p>
    <w:p w14:paraId="38517ACE" w14:textId="736EE5A9"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 xml:space="preserve">Eligibility for safe </w:t>
      </w:r>
      <w:proofErr w:type="spellStart"/>
      <w:r w:rsidRPr="00CD5B0E">
        <w:rPr>
          <w:rFonts w:ascii="Times New Roman" w:hAnsi="Times New Roman" w:cs="Times New Roman"/>
          <w:color w:val="000000"/>
          <w:sz w:val="20"/>
          <w:szCs w:val="20"/>
        </w:rPr>
        <w:t>harbour</w:t>
      </w:r>
      <w:proofErr w:type="spellEnd"/>
      <w:r w:rsidRPr="00CD5B0E">
        <w:rPr>
          <w:rFonts w:ascii="Times New Roman" w:hAnsi="Times New Roman" w:cs="Times New Roman"/>
          <w:color w:val="000000"/>
          <w:sz w:val="20"/>
          <w:szCs w:val="20"/>
        </w:rPr>
        <w:t xml:space="preserve"> protection depends on compliance with four statutory conditions under section 88B of the Copyright Ordinance. The OSP must have: (</w:t>
      </w:r>
      <w:proofErr w:type="spellStart"/>
      <w:r w:rsidR="00FC0E1F">
        <w:rPr>
          <w:rFonts w:ascii="Times New Roman" w:hAnsi="Times New Roman" w:cs="Times New Roman"/>
          <w:color w:val="000000"/>
          <w:sz w:val="20"/>
          <w:szCs w:val="20"/>
        </w:rPr>
        <w:t>i</w:t>
      </w:r>
      <w:proofErr w:type="spellEnd"/>
      <w:r w:rsidR="00FC0E1F">
        <w:rPr>
          <w:rFonts w:ascii="Times New Roman" w:hAnsi="Times New Roman" w:cs="Times New Roman"/>
          <w:color w:val="000000"/>
          <w:sz w:val="20"/>
          <w:szCs w:val="20"/>
        </w:rPr>
        <w:t>)</w:t>
      </w:r>
      <w:r w:rsidRPr="00CD5B0E">
        <w:rPr>
          <w:rFonts w:ascii="Times New Roman" w:hAnsi="Times New Roman" w:cs="Times New Roman"/>
          <w:color w:val="000000"/>
          <w:sz w:val="20"/>
          <w:szCs w:val="20"/>
        </w:rPr>
        <w:t xml:space="preserve"> taken reasonable steps to limit or stop infringement as soon as practicable after receiving notice, becoming aware of infringement, or becoming aware of circumstances leading inevitably to the conclusion that infringement occurred; (</w:t>
      </w:r>
      <w:r w:rsidR="006E331B">
        <w:rPr>
          <w:rFonts w:ascii="Times New Roman" w:hAnsi="Times New Roman" w:cs="Times New Roman"/>
          <w:color w:val="000000"/>
          <w:sz w:val="20"/>
          <w:szCs w:val="20"/>
        </w:rPr>
        <w:t>ii</w:t>
      </w:r>
      <w:r w:rsidRPr="00CD5B0E">
        <w:rPr>
          <w:rFonts w:ascii="Times New Roman" w:hAnsi="Times New Roman" w:cs="Times New Roman"/>
          <w:color w:val="000000"/>
          <w:sz w:val="20"/>
          <w:szCs w:val="20"/>
        </w:rPr>
        <w:t xml:space="preserve">) not received any financial benefit directly attributable to the infringement; </w:t>
      </w:r>
      <w:r w:rsidRPr="00CD5B0E">
        <w:rPr>
          <w:rFonts w:ascii="Times New Roman" w:hAnsi="Times New Roman" w:cs="Times New Roman"/>
          <w:color w:val="000000"/>
          <w:sz w:val="20"/>
          <w:szCs w:val="20"/>
        </w:rPr>
        <w:lastRenderedPageBreak/>
        <w:t>(</w:t>
      </w:r>
      <w:r w:rsidR="00954A3F">
        <w:rPr>
          <w:rFonts w:ascii="Times New Roman" w:hAnsi="Times New Roman" w:cs="Times New Roman"/>
          <w:color w:val="000000"/>
          <w:sz w:val="20"/>
          <w:szCs w:val="20"/>
        </w:rPr>
        <w:t xml:space="preserve">iii) </w:t>
      </w:r>
      <w:r w:rsidRPr="00CD5B0E">
        <w:rPr>
          <w:rFonts w:ascii="Times New Roman" w:hAnsi="Times New Roman" w:cs="Times New Roman"/>
          <w:color w:val="000000"/>
          <w:sz w:val="20"/>
          <w:szCs w:val="20"/>
        </w:rPr>
        <w:t>accommodated and not interfered with standard technical measures used by copyright owners; and (d) designated an agent to receive infringement notices with publicly accessible contact details.</w:t>
      </w:r>
      <w:bookmarkStart w:id="11" w:name="fnref7:1"/>
      <w:bookmarkStart w:id="12" w:name="fnref8:1"/>
      <w:bookmarkStart w:id="13" w:name="fnref9:1"/>
      <w:bookmarkEnd w:id="11"/>
      <w:bookmarkEnd w:id="12"/>
      <w:bookmarkEnd w:id="13"/>
      <w:r w:rsidR="00E74140" w:rsidRPr="00CD5B0E">
        <w:rPr>
          <w:rFonts w:ascii="Times New Roman" w:hAnsi="Times New Roman" w:cs="Times New Roman"/>
          <w:sz w:val="20"/>
          <w:szCs w:val="20"/>
        </w:rPr>
        <w:t xml:space="preserve"> </w:t>
      </w:r>
    </w:p>
    <w:p w14:paraId="28E11145" w14:textId="4E74129F"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 xml:space="preserve">Significantly, the law expressly clarifies that failure to meet safe </w:t>
      </w:r>
      <w:proofErr w:type="spellStart"/>
      <w:r w:rsidRPr="00CD5B0E">
        <w:rPr>
          <w:rFonts w:ascii="Times New Roman" w:hAnsi="Times New Roman" w:cs="Times New Roman"/>
          <w:color w:val="000000"/>
          <w:sz w:val="20"/>
          <w:szCs w:val="20"/>
        </w:rPr>
        <w:t>harbour</w:t>
      </w:r>
      <w:proofErr w:type="spellEnd"/>
      <w:r w:rsidRPr="00CD5B0E">
        <w:rPr>
          <w:rFonts w:ascii="Times New Roman" w:hAnsi="Times New Roman" w:cs="Times New Roman"/>
          <w:color w:val="000000"/>
          <w:sz w:val="20"/>
          <w:szCs w:val="20"/>
        </w:rPr>
        <w:t xml:space="preserve"> requirements does not preclude the OSP from asserting other legal </w:t>
      </w:r>
      <w:proofErr w:type="spellStart"/>
      <w:r w:rsidRPr="00CD5B0E">
        <w:rPr>
          <w:rFonts w:ascii="Times New Roman" w:hAnsi="Times New Roman" w:cs="Times New Roman"/>
          <w:color w:val="000000"/>
          <w:sz w:val="20"/>
          <w:szCs w:val="20"/>
        </w:rPr>
        <w:t>defences</w:t>
      </w:r>
      <w:proofErr w:type="spellEnd"/>
      <w:r w:rsidRPr="00CD5B0E">
        <w:rPr>
          <w:rFonts w:ascii="Times New Roman" w:hAnsi="Times New Roman" w:cs="Times New Roman"/>
          <w:color w:val="000000"/>
          <w:sz w:val="20"/>
          <w:szCs w:val="20"/>
        </w:rPr>
        <w:t xml:space="preserve"> in infringement proceedings. This reflects a measured approach that balances protection for OSPs with remedies for rights holders, while maintaining the availability of common law </w:t>
      </w:r>
      <w:proofErr w:type="spellStart"/>
      <w:r w:rsidRPr="00CD5B0E">
        <w:rPr>
          <w:rFonts w:ascii="Times New Roman" w:hAnsi="Times New Roman" w:cs="Times New Roman"/>
          <w:color w:val="000000"/>
          <w:sz w:val="20"/>
          <w:szCs w:val="20"/>
        </w:rPr>
        <w:t>defences</w:t>
      </w:r>
      <w:proofErr w:type="spellEnd"/>
      <w:r w:rsidRPr="00CD5B0E">
        <w:rPr>
          <w:rFonts w:ascii="Times New Roman" w:hAnsi="Times New Roman" w:cs="Times New Roman"/>
          <w:color w:val="000000"/>
          <w:sz w:val="20"/>
          <w:szCs w:val="20"/>
        </w:rPr>
        <w:t>.</w:t>
      </w:r>
      <w:bookmarkStart w:id="14" w:name="fnref6:1"/>
      <w:bookmarkEnd w:id="14"/>
      <w:r w:rsidR="00983F89" w:rsidRPr="00CD5B0E">
        <w:rPr>
          <w:rFonts w:ascii="Times New Roman" w:hAnsi="Times New Roman" w:cs="Times New Roman"/>
          <w:sz w:val="20"/>
          <w:szCs w:val="20"/>
        </w:rPr>
        <w:t xml:space="preserve"> </w:t>
      </w:r>
    </w:p>
    <w:p w14:paraId="5D605523" w14:textId="7F3943E7" w:rsidR="00CA6AAC" w:rsidRPr="00CD5B0E" w:rsidRDefault="00000000" w:rsidP="00FA6D9D">
      <w:pPr>
        <w:pStyle w:val="ListParagraph"/>
        <w:numPr>
          <w:ilvl w:val="0"/>
          <w:numId w:val="3"/>
        </w:numPr>
        <w:spacing w:before="315" w:after="105" w:line="360" w:lineRule="auto"/>
        <w:ind w:leftChars="0"/>
        <w:jc w:val="both"/>
        <w:rPr>
          <w:rFonts w:ascii="Times New Roman" w:hAnsi="Times New Roman" w:cs="Times New Roman"/>
          <w:sz w:val="20"/>
          <w:szCs w:val="20"/>
        </w:rPr>
      </w:pPr>
      <w:r w:rsidRPr="00CD5B0E">
        <w:rPr>
          <w:rFonts w:ascii="Times New Roman" w:hAnsi="Times New Roman" w:cs="Times New Roman"/>
          <w:b/>
          <w:color w:val="000000"/>
          <w:sz w:val="20"/>
          <w:szCs w:val="20"/>
        </w:rPr>
        <w:t>International Context and Comparative Analysis</w:t>
      </w:r>
    </w:p>
    <w:p w14:paraId="53AF0E15" w14:textId="2A41EDFD"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Hong Kong</w:t>
      </w:r>
      <w:r w:rsidR="00AB2EB8"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 xml:space="preserve">s legislative </w:t>
      </w:r>
      <w:r w:rsidR="00BE6C6D" w:rsidRPr="00CD5B0E">
        <w:rPr>
          <w:rFonts w:ascii="Times New Roman" w:eastAsia="inter" w:hAnsi="Times New Roman" w:cs="Times New Roman"/>
          <w:color w:val="000000"/>
          <w:sz w:val="20"/>
          <w:szCs w:val="20"/>
        </w:rPr>
        <w:t>framework</w:t>
      </w:r>
      <w:r w:rsidRPr="00CD5B0E">
        <w:rPr>
          <w:rFonts w:ascii="Times New Roman" w:hAnsi="Times New Roman" w:cs="Times New Roman"/>
          <w:color w:val="000000"/>
          <w:sz w:val="20"/>
          <w:szCs w:val="20"/>
        </w:rPr>
        <w:t xml:space="preserve"> draws substantially on developments in overseas jurisdictions, embedding comparable safe </w:t>
      </w:r>
      <w:proofErr w:type="spellStart"/>
      <w:r w:rsidRPr="00CD5B0E">
        <w:rPr>
          <w:rFonts w:ascii="Times New Roman" w:hAnsi="Times New Roman" w:cs="Times New Roman"/>
          <w:color w:val="000000"/>
          <w:sz w:val="20"/>
          <w:szCs w:val="20"/>
        </w:rPr>
        <w:t>harbour</w:t>
      </w:r>
      <w:proofErr w:type="spellEnd"/>
      <w:r w:rsidRPr="00CD5B0E">
        <w:rPr>
          <w:rFonts w:ascii="Times New Roman" w:hAnsi="Times New Roman" w:cs="Times New Roman"/>
          <w:color w:val="000000"/>
          <w:sz w:val="20"/>
          <w:szCs w:val="20"/>
        </w:rPr>
        <w:t xml:space="preserve"> principles found in Australia, Singapore, the United Kingdom, and the United States</w:t>
      </w:r>
      <w:r w:rsidR="00A75E95" w:rsidRPr="00CD5B0E">
        <w:rPr>
          <w:rStyle w:val="FootnoteReference"/>
          <w:rFonts w:ascii="Times New Roman" w:hAnsi="Times New Roman" w:cs="Times New Roman"/>
          <w:color w:val="000000"/>
          <w:sz w:val="20"/>
          <w:szCs w:val="20"/>
        </w:rPr>
        <w:footnoteReference w:id="2"/>
      </w:r>
      <w:r w:rsidRPr="00CD5B0E">
        <w:rPr>
          <w:rFonts w:ascii="Times New Roman" w:hAnsi="Times New Roman" w:cs="Times New Roman"/>
          <w:color w:val="000000"/>
          <w:sz w:val="20"/>
          <w:szCs w:val="20"/>
        </w:rPr>
        <w:t>. The framework incorporates detailed notice-and-takedown and counter-notice procedures, along with penalties for false statements, designed to encourage responsible conduct by both rights holders and users.</w:t>
      </w:r>
      <w:bookmarkStart w:id="15" w:name="fnref8:2"/>
      <w:bookmarkStart w:id="16" w:name="fnref7:2"/>
      <w:bookmarkStart w:id="17" w:name="fnref10:1"/>
      <w:bookmarkStart w:id="18" w:name="fnref6:2"/>
      <w:bookmarkEnd w:id="15"/>
      <w:bookmarkEnd w:id="16"/>
      <w:bookmarkEnd w:id="17"/>
      <w:bookmarkEnd w:id="18"/>
      <w:r w:rsidR="00345702" w:rsidRPr="00CD5B0E">
        <w:rPr>
          <w:rFonts w:ascii="Times New Roman" w:hAnsi="Times New Roman" w:cs="Times New Roman"/>
          <w:sz w:val="20"/>
          <w:szCs w:val="20"/>
        </w:rPr>
        <w:t xml:space="preserve"> </w:t>
      </w:r>
    </w:p>
    <w:p w14:paraId="7DBC2AD2" w14:textId="3355FD27"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The Code of Practice, while voluntary and lacking subsidiary legislative force, provides practical guidance for OSPs in implementing the statutory requirements</w:t>
      </w:r>
      <w:r w:rsidR="006E06C7" w:rsidRPr="00CD5B0E">
        <w:rPr>
          <w:rStyle w:val="FootnoteReference"/>
          <w:rFonts w:ascii="Times New Roman" w:hAnsi="Times New Roman" w:cs="Times New Roman"/>
          <w:color w:val="000000"/>
          <w:sz w:val="20"/>
          <w:szCs w:val="20"/>
        </w:rPr>
        <w:footnoteReference w:id="3"/>
      </w:r>
      <w:r w:rsidRPr="00CD5B0E">
        <w:rPr>
          <w:rFonts w:ascii="Times New Roman" w:hAnsi="Times New Roman" w:cs="Times New Roman"/>
          <w:color w:val="000000"/>
          <w:sz w:val="20"/>
          <w:szCs w:val="20"/>
        </w:rPr>
        <w:t xml:space="preserve">. This two-tier approach—combining binding statutory obligations with flexible practical guidance—allows for adaptive implementation </w:t>
      </w:r>
      <w:r w:rsidR="002E5264" w:rsidRPr="00CD5B0E">
        <w:rPr>
          <w:rFonts w:ascii="Times New Roman" w:eastAsia="inter" w:hAnsi="Times New Roman" w:cs="Times New Roman"/>
          <w:color w:val="000000"/>
          <w:sz w:val="20"/>
          <w:szCs w:val="20"/>
        </w:rPr>
        <w:t xml:space="preserve">of the relevant statutory requirements </w:t>
      </w:r>
      <w:r w:rsidRPr="00CD5B0E">
        <w:rPr>
          <w:rFonts w:ascii="Times New Roman" w:hAnsi="Times New Roman" w:cs="Times New Roman"/>
          <w:color w:val="000000"/>
          <w:sz w:val="20"/>
          <w:szCs w:val="20"/>
        </w:rPr>
        <w:t>while maintaining legal certainty.</w:t>
      </w:r>
      <w:bookmarkStart w:id="19" w:name="fnref11:1"/>
      <w:bookmarkStart w:id="20" w:name="fnref10:2"/>
      <w:bookmarkEnd w:id="19"/>
      <w:bookmarkEnd w:id="20"/>
      <w:r w:rsidR="00A97AEE" w:rsidRPr="00CD5B0E">
        <w:rPr>
          <w:rFonts w:ascii="Times New Roman" w:hAnsi="Times New Roman" w:cs="Times New Roman"/>
          <w:sz w:val="20"/>
          <w:szCs w:val="20"/>
        </w:rPr>
        <w:t xml:space="preserve"> </w:t>
      </w:r>
    </w:p>
    <w:p w14:paraId="4074967F" w14:textId="7E9EF8B3" w:rsidR="00CA6AAC" w:rsidRPr="00CD5B0E" w:rsidRDefault="00000000" w:rsidP="00E3261F">
      <w:pPr>
        <w:pStyle w:val="ListParagraph"/>
        <w:numPr>
          <w:ilvl w:val="0"/>
          <w:numId w:val="3"/>
        </w:numPr>
        <w:spacing w:before="315" w:after="105" w:line="360" w:lineRule="auto"/>
        <w:ind w:leftChars="0"/>
        <w:jc w:val="both"/>
        <w:rPr>
          <w:rFonts w:ascii="Times New Roman" w:hAnsi="Times New Roman" w:cs="Times New Roman"/>
          <w:sz w:val="20"/>
          <w:szCs w:val="20"/>
        </w:rPr>
      </w:pPr>
      <w:r w:rsidRPr="00CD5B0E">
        <w:rPr>
          <w:rFonts w:ascii="Times New Roman" w:hAnsi="Times New Roman" w:cs="Times New Roman"/>
          <w:b/>
          <w:color w:val="000000"/>
          <w:sz w:val="20"/>
          <w:szCs w:val="20"/>
        </w:rPr>
        <w:t>Legal Basis for Liability and Responsibility</w:t>
      </w:r>
    </w:p>
    <w:p w14:paraId="53BE5EB3" w14:textId="472A7C58" w:rsidR="00CA6AAC" w:rsidRPr="00CD5B0E" w:rsidRDefault="00000000" w:rsidP="00E3261F">
      <w:pPr>
        <w:pStyle w:val="ListParagraph"/>
        <w:numPr>
          <w:ilvl w:val="1"/>
          <w:numId w:val="3"/>
        </w:numPr>
        <w:spacing w:before="315" w:after="105" w:line="360" w:lineRule="auto"/>
        <w:ind w:leftChars="0" w:left="709"/>
        <w:jc w:val="both"/>
        <w:rPr>
          <w:rFonts w:ascii="Times New Roman" w:hAnsi="Times New Roman" w:cs="Times New Roman"/>
          <w:sz w:val="20"/>
          <w:szCs w:val="20"/>
        </w:rPr>
      </w:pPr>
      <w:r w:rsidRPr="00CD5B0E">
        <w:rPr>
          <w:rFonts w:ascii="Times New Roman" w:hAnsi="Times New Roman" w:cs="Times New Roman"/>
          <w:b/>
          <w:color w:val="000000"/>
          <w:sz w:val="20"/>
          <w:szCs w:val="20"/>
        </w:rPr>
        <w:t>Types of Platforms and Coverage</w:t>
      </w:r>
    </w:p>
    <w:p w14:paraId="4943EDB1" w14:textId="2F2F271E"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 xml:space="preserve">The statutory framework applies to all entities </w:t>
      </w:r>
      <w:r w:rsidR="005222A8" w:rsidRPr="00CD5B0E">
        <w:rPr>
          <w:rFonts w:ascii="Times New Roman" w:eastAsia="inter" w:hAnsi="Times New Roman" w:cs="Times New Roman"/>
          <w:color w:val="000000"/>
          <w:sz w:val="20"/>
          <w:szCs w:val="20"/>
        </w:rPr>
        <w:t>that fall within</w:t>
      </w:r>
      <w:r w:rsidRPr="00CD5B0E">
        <w:rPr>
          <w:rFonts w:ascii="Times New Roman" w:hAnsi="Times New Roman" w:cs="Times New Roman"/>
          <w:color w:val="000000"/>
          <w:sz w:val="20"/>
          <w:szCs w:val="20"/>
        </w:rPr>
        <w:t xml:space="preserve"> the </w:t>
      </w:r>
      <w:r w:rsidR="005222A8" w:rsidRPr="00CD5B0E">
        <w:rPr>
          <w:rFonts w:ascii="Times New Roman" w:eastAsia="inter" w:hAnsi="Times New Roman" w:cs="Times New Roman"/>
          <w:color w:val="000000"/>
          <w:sz w:val="20"/>
          <w:szCs w:val="20"/>
        </w:rPr>
        <w:t>statutory</w:t>
      </w:r>
      <w:r w:rsidR="005222A8" w:rsidRPr="00CD5B0E">
        <w:rPr>
          <w:rFonts w:ascii="Times New Roman" w:hAnsi="Times New Roman" w:cs="Times New Roman"/>
          <w:color w:val="000000"/>
          <w:sz w:val="20"/>
          <w:szCs w:val="20"/>
        </w:rPr>
        <w:t xml:space="preserve"> definition</w:t>
      </w:r>
      <w:r w:rsidR="005222A8" w:rsidRPr="00CD5B0E">
        <w:rPr>
          <w:rFonts w:ascii="Times New Roman" w:eastAsia="inter" w:hAnsi="Times New Roman" w:cs="Times New Roman"/>
          <w:color w:val="000000"/>
          <w:sz w:val="20"/>
          <w:szCs w:val="20"/>
        </w:rPr>
        <w:t xml:space="preserve"> of an </w:t>
      </w:r>
      <w:r w:rsidRPr="00CD5B0E">
        <w:rPr>
          <w:rFonts w:ascii="Times New Roman" w:eastAsia="inter" w:hAnsi="Times New Roman" w:cs="Times New Roman"/>
          <w:color w:val="000000"/>
          <w:sz w:val="20"/>
          <w:szCs w:val="20"/>
        </w:rPr>
        <w:t>OSP</w:t>
      </w:r>
      <w:r w:rsidRPr="00CD5B0E">
        <w:rPr>
          <w:rFonts w:ascii="Times New Roman" w:hAnsi="Times New Roman" w:cs="Times New Roman"/>
          <w:color w:val="000000"/>
          <w:sz w:val="20"/>
          <w:szCs w:val="20"/>
        </w:rPr>
        <w:t>, from major e-commerce platforms to cloud storage providers, subject to compliance with the prescribed conditions. This inclusive approach ensures comprehensive coverage while maintaining proportionate obligations based on the platform</w:t>
      </w:r>
      <w:r w:rsidR="00AB2EB8"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s role and capabilities.</w:t>
      </w:r>
      <w:bookmarkStart w:id="21" w:name="fnref9:2"/>
      <w:bookmarkEnd w:id="21"/>
      <w:r w:rsidR="00BD1762" w:rsidRPr="00CD5B0E">
        <w:rPr>
          <w:rFonts w:ascii="Times New Roman" w:hAnsi="Times New Roman" w:cs="Times New Roman"/>
          <w:sz w:val="20"/>
          <w:szCs w:val="20"/>
        </w:rPr>
        <w:t xml:space="preserve"> </w:t>
      </w:r>
    </w:p>
    <w:p w14:paraId="4E027205" w14:textId="7E362C12" w:rsidR="00CA6AAC" w:rsidRPr="00CD5B0E" w:rsidRDefault="00000000" w:rsidP="00495F69">
      <w:pPr>
        <w:pStyle w:val="ListParagraph"/>
        <w:numPr>
          <w:ilvl w:val="1"/>
          <w:numId w:val="4"/>
        </w:numPr>
        <w:spacing w:before="315" w:after="105" w:line="360" w:lineRule="auto"/>
        <w:ind w:leftChars="0" w:left="709"/>
        <w:jc w:val="both"/>
        <w:rPr>
          <w:rFonts w:ascii="Times New Roman" w:hAnsi="Times New Roman" w:cs="Times New Roman"/>
          <w:sz w:val="20"/>
          <w:szCs w:val="20"/>
        </w:rPr>
      </w:pPr>
      <w:r w:rsidRPr="00CD5B0E">
        <w:rPr>
          <w:rFonts w:ascii="Times New Roman" w:hAnsi="Times New Roman" w:cs="Times New Roman"/>
          <w:b/>
          <w:color w:val="000000"/>
          <w:sz w:val="20"/>
          <w:szCs w:val="20"/>
        </w:rPr>
        <w:t>Civil and Criminal Liability Framework</w:t>
      </w:r>
    </w:p>
    <w:p w14:paraId="4EDD1809" w14:textId="3EFC75CD"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While the law provides for compensatory damages in cases where OSPs fail statutory requirements, there are no criminal sanctions specifically targeting OSPs for user acts. Criminal liability is limited to making false statements in statutory notices under section</w:t>
      </w:r>
      <w:r w:rsidR="00007339" w:rsidRPr="00CD5B0E">
        <w:rPr>
          <w:rFonts w:ascii="Times New Roman" w:hAnsi="Times New Roman" w:cs="Times New Roman"/>
          <w:color w:val="000000"/>
          <w:sz w:val="20"/>
          <w:szCs w:val="20"/>
        </w:rPr>
        <w:t xml:space="preserve"> </w:t>
      </w:r>
      <w:r w:rsidRPr="00CD5B0E">
        <w:rPr>
          <w:rFonts w:ascii="Times New Roman" w:hAnsi="Times New Roman" w:cs="Times New Roman"/>
          <w:color w:val="000000"/>
          <w:sz w:val="20"/>
          <w:szCs w:val="20"/>
        </w:rPr>
        <w:t>88F</w:t>
      </w:r>
      <w:r w:rsidR="0001224D" w:rsidRPr="00CD5B0E">
        <w:rPr>
          <w:rFonts w:ascii="Times New Roman" w:eastAsia="inter" w:hAnsi="Times New Roman" w:cs="Times New Roman"/>
          <w:color w:val="000000"/>
          <w:sz w:val="20"/>
          <w:szCs w:val="20"/>
        </w:rPr>
        <w:t xml:space="preserve"> of the Copyright Ordinance</w:t>
      </w:r>
      <w:r w:rsidRPr="00CD5B0E">
        <w:rPr>
          <w:rFonts w:ascii="Times New Roman" w:eastAsia="inter" w:hAnsi="Times New Roman" w:cs="Times New Roman"/>
          <w:color w:val="000000"/>
          <w:sz w:val="20"/>
          <w:szCs w:val="20"/>
        </w:rPr>
        <w:t>.</w:t>
      </w:r>
      <w:r w:rsidRPr="00CD5B0E">
        <w:rPr>
          <w:rFonts w:ascii="Times New Roman" w:hAnsi="Times New Roman" w:cs="Times New Roman"/>
          <w:color w:val="000000"/>
          <w:sz w:val="20"/>
          <w:szCs w:val="20"/>
        </w:rPr>
        <w:t xml:space="preserve"> This approach </w:t>
      </w:r>
      <w:r w:rsidR="0001224D" w:rsidRPr="00CD5B0E">
        <w:rPr>
          <w:rFonts w:ascii="Times New Roman" w:eastAsia="inter" w:hAnsi="Times New Roman" w:cs="Times New Roman"/>
          <w:color w:val="000000"/>
          <w:sz w:val="20"/>
          <w:szCs w:val="20"/>
        </w:rPr>
        <w:t xml:space="preserve">to criminal liability </w:t>
      </w:r>
      <w:r w:rsidRPr="00CD5B0E">
        <w:rPr>
          <w:rFonts w:ascii="Times New Roman" w:hAnsi="Times New Roman" w:cs="Times New Roman"/>
          <w:color w:val="000000"/>
          <w:sz w:val="20"/>
          <w:szCs w:val="20"/>
        </w:rPr>
        <w:t>recognizes the intermediary nature of platform services</w:t>
      </w:r>
      <w:r w:rsidR="0001224D" w:rsidRPr="00CD5B0E">
        <w:rPr>
          <w:rFonts w:ascii="Times New Roman" w:eastAsia="inter" w:hAnsi="Times New Roman" w:cs="Times New Roman"/>
          <w:color w:val="000000"/>
          <w:sz w:val="20"/>
          <w:szCs w:val="20"/>
        </w:rPr>
        <w:t>,</w:t>
      </w:r>
      <w:r w:rsidRPr="00CD5B0E">
        <w:rPr>
          <w:rFonts w:ascii="Times New Roman" w:hAnsi="Times New Roman" w:cs="Times New Roman"/>
          <w:color w:val="000000"/>
          <w:sz w:val="20"/>
          <w:szCs w:val="20"/>
        </w:rPr>
        <w:t xml:space="preserve"> while maintaining accountability for deliberate</w:t>
      </w:r>
      <w:r w:rsidRPr="00CD5B0E">
        <w:rPr>
          <w:rFonts w:ascii="Times New Roman" w:eastAsia="inter" w:hAnsi="Times New Roman" w:cs="Times New Roman"/>
          <w:color w:val="000000"/>
          <w:sz w:val="20"/>
          <w:szCs w:val="20"/>
        </w:rPr>
        <w:t xml:space="preserve"> </w:t>
      </w:r>
      <w:r w:rsidR="002A5CBF" w:rsidRPr="00CD5B0E">
        <w:rPr>
          <w:rFonts w:ascii="Times New Roman" w:eastAsia="inter" w:hAnsi="Times New Roman" w:cs="Times New Roman"/>
          <w:color w:val="000000"/>
          <w:sz w:val="20"/>
          <w:szCs w:val="20"/>
        </w:rPr>
        <w:t>and direct</w:t>
      </w:r>
      <w:r w:rsidR="002A5CBF" w:rsidRPr="00CD5B0E">
        <w:rPr>
          <w:rFonts w:ascii="Times New Roman" w:hAnsi="Times New Roman" w:cs="Times New Roman"/>
          <w:color w:val="000000"/>
          <w:sz w:val="20"/>
          <w:szCs w:val="20"/>
        </w:rPr>
        <w:t xml:space="preserve"> </w:t>
      </w:r>
      <w:r w:rsidRPr="00CD5B0E">
        <w:rPr>
          <w:rFonts w:ascii="Times New Roman" w:hAnsi="Times New Roman" w:cs="Times New Roman"/>
          <w:color w:val="000000"/>
          <w:sz w:val="20"/>
          <w:szCs w:val="20"/>
        </w:rPr>
        <w:t>misconduct.</w:t>
      </w:r>
      <w:bookmarkStart w:id="22" w:name="fnref15"/>
      <w:bookmarkStart w:id="23" w:name="fnref8:3"/>
      <w:bookmarkEnd w:id="22"/>
      <w:bookmarkEnd w:id="23"/>
      <w:r w:rsidR="003C2577" w:rsidRPr="00CD5B0E">
        <w:rPr>
          <w:rFonts w:ascii="Times New Roman" w:hAnsi="Times New Roman" w:cs="Times New Roman"/>
          <w:sz w:val="20"/>
          <w:szCs w:val="20"/>
        </w:rPr>
        <w:t xml:space="preserve"> </w:t>
      </w:r>
    </w:p>
    <w:p w14:paraId="12EFF288" w14:textId="399E1CC9" w:rsidR="00CA6AAC" w:rsidRPr="00CD5B0E" w:rsidRDefault="003702BA" w:rsidP="003702BA">
      <w:pPr>
        <w:spacing w:before="315" w:after="105" w:line="360" w:lineRule="auto"/>
        <w:ind w:leftChars="337" w:left="708" w:firstLine="30"/>
        <w:jc w:val="both"/>
        <w:rPr>
          <w:rFonts w:ascii="Times New Roman" w:hAnsi="Times New Roman" w:cs="Times New Roman"/>
          <w:sz w:val="20"/>
          <w:szCs w:val="20"/>
        </w:rPr>
      </w:pPr>
      <w:r w:rsidRPr="00CD5B0E">
        <w:rPr>
          <w:rFonts w:ascii="Times New Roman" w:hAnsi="Times New Roman" w:cs="Times New Roman"/>
          <w:b/>
          <w:color w:val="000000"/>
          <w:sz w:val="20"/>
          <w:szCs w:val="20"/>
        </w:rPr>
        <w:t>4.2.1. Direct and Accessorial Liability Principles</w:t>
      </w:r>
    </w:p>
    <w:p w14:paraId="1A37F60B" w14:textId="1334959C"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lastRenderedPageBreak/>
        <w:t>Direct liability</w:t>
      </w:r>
      <w:r w:rsidR="0055474D" w:rsidRPr="00CD5B0E">
        <w:rPr>
          <w:rFonts w:ascii="Times New Roman" w:hAnsi="Times New Roman" w:cs="Times New Roman"/>
          <w:color w:val="000000"/>
          <w:sz w:val="20"/>
          <w:szCs w:val="20"/>
        </w:rPr>
        <w:t>, or primary liability</w:t>
      </w:r>
      <w:r w:rsidR="006F4BCA" w:rsidRPr="00CD5B0E">
        <w:rPr>
          <w:rFonts w:ascii="Times New Roman" w:eastAsia="inter" w:hAnsi="Times New Roman" w:cs="Times New Roman"/>
          <w:color w:val="000000"/>
          <w:sz w:val="20"/>
          <w:szCs w:val="20"/>
        </w:rPr>
        <w:t>, arises</w:t>
      </w:r>
      <w:r w:rsidR="006F4BCA" w:rsidRPr="00CD5B0E">
        <w:rPr>
          <w:rFonts w:ascii="Times New Roman" w:hAnsi="Times New Roman" w:cs="Times New Roman"/>
          <w:color w:val="000000"/>
          <w:sz w:val="20"/>
          <w:szCs w:val="20"/>
        </w:rPr>
        <w:t xml:space="preserve"> </w:t>
      </w:r>
      <w:r w:rsidRPr="00CD5B0E">
        <w:rPr>
          <w:rFonts w:ascii="Times New Roman" w:hAnsi="Times New Roman" w:cs="Times New Roman"/>
          <w:color w:val="000000"/>
          <w:sz w:val="20"/>
          <w:szCs w:val="20"/>
        </w:rPr>
        <w:t>when the OSP itself infringes IP rights</w:t>
      </w:r>
      <w:r w:rsidR="00C213BC" w:rsidRPr="00CD5B0E">
        <w:rPr>
          <w:rFonts w:ascii="Times New Roman" w:eastAsia="inter" w:hAnsi="Times New Roman" w:cs="Times New Roman"/>
          <w:color w:val="000000"/>
          <w:sz w:val="20"/>
          <w:szCs w:val="20"/>
        </w:rPr>
        <w:t>. By contrast,</w:t>
      </w:r>
      <w:r w:rsidR="00C213BC" w:rsidRPr="00CD5B0E">
        <w:rPr>
          <w:rFonts w:ascii="Times New Roman" w:hAnsi="Times New Roman" w:cs="Times New Roman"/>
          <w:color w:val="000000"/>
          <w:sz w:val="20"/>
          <w:szCs w:val="20"/>
        </w:rPr>
        <w:t xml:space="preserve"> </w:t>
      </w:r>
      <w:r w:rsidRPr="00CD5B0E">
        <w:rPr>
          <w:rFonts w:ascii="Times New Roman" w:hAnsi="Times New Roman" w:cs="Times New Roman"/>
          <w:color w:val="000000"/>
          <w:sz w:val="20"/>
          <w:szCs w:val="20"/>
        </w:rPr>
        <w:t>accessorial liability requires</w:t>
      </w:r>
      <w:r w:rsidRPr="00CD5B0E">
        <w:rPr>
          <w:rFonts w:ascii="Times New Roman" w:eastAsia="inter" w:hAnsi="Times New Roman" w:cs="Times New Roman"/>
          <w:color w:val="000000"/>
          <w:sz w:val="20"/>
          <w:szCs w:val="20"/>
        </w:rPr>
        <w:t xml:space="preserve"> </w:t>
      </w:r>
      <w:r w:rsidR="00C213BC" w:rsidRPr="00CD5B0E">
        <w:rPr>
          <w:rFonts w:ascii="Times New Roman" w:eastAsia="inter" w:hAnsi="Times New Roman" w:cs="Times New Roman"/>
          <w:color w:val="000000"/>
          <w:sz w:val="20"/>
          <w:szCs w:val="20"/>
        </w:rPr>
        <w:t>the OSP’s</w:t>
      </w:r>
      <w:r w:rsidR="00C213BC" w:rsidRPr="00CD5B0E">
        <w:rPr>
          <w:rFonts w:ascii="Times New Roman" w:hAnsi="Times New Roman" w:cs="Times New Roman"/>
          <w:color w:val="000000"/>
          <w:sz w:val="20"/>
          <w:szCs w:val="20"/>
        </w:rPr>
        <w:t xml:space="preserve"> </w:t>
      </w:r>
      <w:r w:rsidRPr="00CD5B0E">
        <w:rPr>
          <w:rFonts w:ascii="Times New Roman" w:hAnsi="Times New Roman" w:cs="Times New Roman"/>
          <w:color w:val="000000"/>
          <w:sz w:val="20"/>
          <w:szCs w:val="20"/>
        </w:rPr>
        <w:t xml:space="preserve">substantial knowing participation in the infringing act. Hong Kong courts have consistently rejected broad imposition of platform liability absent intent or active collaboration in unlawful conduct, following established joint </w:t>
      </w:r>
      <w:proofErr w:type="spellStart"/>
      <w:r w:rsidRPr="00CD5B0E">
        <w:rPr>
          <w:rFonts w:ascii="Times New Roman" w:hAnsi="Times New Roman" w:cs="Times New Roman"/>
          <w:color w:val="000000"/>
          <w:sz w:val="20"/>
          <w:szCs w:val="20"/>
        </w:rPr>
        <w:t>tortfeasorship</w:t>
      </w:r>
      <w:proofErr w:type="spellEnd"/>
      <w:r w:rsidRPr="00CD5B0E">
        <w:rPr>
          <w:rFonts w:ascii="Times New Roman" w:hAnsi="Times New Roman" w:cs="Times New Roman"/>
          <w:color w:val="000000"/>
          <w:sz w:val="20"/>
          <w:szCs w:val="20"/>
        </w:rPr>
        <w:t xml:space="preserve"> principles.</w:t>
      </w:r>
      <w:bookmarkStart w:id="24" w:name="fnref16"/>
      <w:bookmarkStart w:id="25" w:name="fnref12:1"/>
      <w:bookmarkEnd w:id="24"/>
      <w:bookmarkEnd w:id="25"/>
      <w:r w:rsidR="00612BF3" w:rsidRPr="00CD5B0E">
        <w:rPr>
          <w:rFonts w:ascii="Times New Roman" w:hAnsi="Times New Roman" w:cs="Times New Roman"/>
          <w:sz w:val="20"/>
          <w:szCs w:val="20"/>
        </w:rPr>
        <w:t xml:space="preserve"> </w:t>
      </w:r>
    </w:p>
    <w:p w14:paraId="5C7A3359" w14:textId="20EF292E" w:rsidR="0055474D" w:rsidRPr="00CD5B0E" w:rsidRDefault="00A37BF0" w:rsidP="009F062D">
      <w:pPr>
        <w:spacing w:after="210" w:line="360" w:lineRule="auto"/>
        <w:jc w:val="both"/>
        <w:rPr>
          <w:rFonts w:ascii="Times New Roman" w:hAnsi="Times New Roman" w:cs="Times New Roman"/>
          <w:color w:val="000000"/>
          <w:sz w:val="20"/>
          <w:szCs w:val="20"/>
        </w:rPr>
      </w:pPr>
      <w:r w:rsidRPr="00CD5B0E">
        <w:rPr>
          <w:rFonts w:ascii="Times New Roman" w:eastAsia="inter" w:hAnsi="Times New Roman" w:cs="Times New Roman"/>
          <w:color w:val="000000"/>
          <w:sz w:val="20"/>
          <w:szCs w:val="20"/>
        </w:rPr>
        <w:t>To establish an OSP’s secondary</w:t>
      </w:r>
      <w:r w:rsidR="00B07DA3" w:rsidRPr="00CD5B0E">
        <w:rPr>
          <w:rFonts w:ascii="Times New Roman" w:hAnsi="Times New Roman" w:cs="Times New Roman"/>
          <w:color w:val="000000"/>
          <w:sz w:val="20"/>
          <w:szCs w:val="20"/>
        </w:rPr>
        <w:t xml:space="preserve"> liability </w:t>
      </w:r>
      <w:r w:rsidRPr="00CD5B0E">
        <w:rPr>
          <w:rFonts w:ascii="Times New Roman" w:eastAsia="inter" w:hAnsi="Times New Roman" w:cs="Times New Roman"/>
          <w:color w:val="000000"/>
          <w:sz w:val="20"/>
          <w:szCs w:val="20"/>
        </w:rPr>
        <w:t>under</w:t>
      </w:r>
      <w:r w:rsidRPr="00CD5B0E">
        <w:rPr>
          <w:rFonts w:ascii="Times New Roman" w:hAnsi="Times New Roman" w:cs="Times New Roman"/>
          <w:color w:val="000000"/>
          <w:sz w:val="20"/>
          <w:szCs w:val="20"/>
        </w:rPr>
        <w:t xml:space="preserve"> Hong Kong </w:t>
      </w:r>
      <w:r w:rsidRPr="00CD5B0E">
        <w:rPr>
          <w:rFonts w:ascii="Times New Roman" w:eastAsia="inter" w:hAnsi="Times New Roman" w:cs="Times New Roman"/>
          <w:color w:val="000000"/>
          <w:sz w:val="20"/>
          <w:szCs w:val="20"/>
        </w:rPr>
        <w:t>law, the following elements are required</w:t>
      </w:r>
      <w:r w:rsidR="00B07DA3" w:rsidRPr="00CD5B0E">
        <w:rPr>
          <w:rFonts w:ascii="Times New Roman" w:hAnsi="Times New Roman" w:cs="Times New Roman"/>
          <w:color w:val="000000"/>
          <w:sz w:val="20"/>
          <w:szCs w:val="20"/>
        </w:rPr>
        <w:t xml:space="preserve">: </w:t>
      </w:r>
      <w:r w:rsidR="00355887" w:rsidRPr="00CD5B0E">
        <w:rPr>
          <w:rFonts w:ascii="Times New Roman" w:hAnsi="Times New Roman" w:cs="Times New Roman"/>
          <w:color w:val="000000"/>
          <w:sz w:val="20"/>
          <w:szCs w:val="20"/>
        </w:rPr>
        <w:t>(1) proof of common design where the defendant acts to further commission of the tort; or (2) evidence of procurement, inducement, or incitement of the primary infringement. Even for strict liability torts like trademark infringement, accessory liability requires knowledge of the essential facts making the conduct wrongful.</w:t>
      </w:r>
      <w:bookmarkStart w:id="26" w:name="fnref17"/>
      <w:bookmarkStart w:id="27" w:name="fnref12:2"/>
      <w:bookmarkEnd w:id="26"/>
      <w:bookmarkEnd w:id="27"/>
      <w:r w:rsidR="00B07DA3" w:rsidRPr="00CD5B0E">
        <w:rPr>
          <w:rFonts w:ascii="Times New Roman" w:hAnsi="Times New Roman" w:cs="Times New Roman"/>
          <w:color w:val="000000"/>
          <w:sz w:val="20"/>
          <w:szCs w:val="20"/>
        </w:rPr>
        <w:t xml:space="preserve"> These principles are laid down in the landmark case </w:t>
      </w:r>
      <w:r w:rsidR="00671515" w:rsidRPr="00CD5B0E">
        <w:rPr>
          <w:rFonts w:ascii="Times New Roman" w:hAnsi="Times New Roman" w:cs="Times New Roman"/>
          <w:i/>
          <w:color w:val="000000"/>
          <w:sz w:val="20"/>
          <w:szCs w:val="20"/>
        </w:rPr>
        <w:t xml:space="preserve">Mary Kay Inc. and Others. v. Zhejiang Tmall Network Co., Ltd and Other </w:t>
      </w:r>
      <w:r w:rsidR="00671515" w:rsidRPr="00CD5B0E">
        <w:rPr>
          <w:rFonts w:ascii="Times New Roman" w:hAnsi="Times New Roman" w:cs="Times New Roman"/>
          <w:color w:val="000000"/>
          <w:sz w:val="20"/>
          <w:szCs w:val="20"/>
        </w:rPr>
        <w:t>[2021] HKCFI 1403</w:t>
      </w:r>
      <w:r w:rsidR="00B07DA3" w:rsidRPr="00CD5B0E">
        <w:rPr>
          <w:rFonts w:ascii="Times New Roman" w:hAnsi="Times New Roman" w:cs="Times New Roman"/>
          <w:color w:val="000000"/>
          <w:sz w:val="20"/>
          <w:szCs w:val="20"/>
        </w:rPr>
        <w:t>.</w:t>
      </w:r>
    </w:p>
    <w:p w14:paraId="150F420D" w14:textId="33BFE77E" w:rsidR="00742C81" w:rsidRPr="00CD5B0E" w:rsidRDefault="00742C81"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 xml:space="preserve">In essence, the dispute in </w:t>
      </w:r>
      <w:r w:rsidRPr="00CD5B0E">
        <w:rPr>
          <w:rFonts w:ascii="Times New Roman" w:hAnsi="Times New Roman" w:cs="Times New Roman"/>
          <w:i/>
          <w:color w:val="000000"/>
          <w:sz w:val="20"/>
          <w:szCs w:val="20"/>
        </w:rPr>
        <w:t>Mary Kay</w:t>
      </w:r>
      <w:r w:rsidRPr="00CD5B0E">
        <w:rPr>
          <w:rFonts w:ascii="Times New Roman" w:hAnsi="Times New Roman" w:cs="Times New Roman"/>
          <w:color w:val="000000"/>
          <w:sz w:val="20"/>
          <w:szCs w:val="20"/>
        </w:rPr>
        <w:t xml:space="preserve"> </w:t>
      </w:r>
      <w:r w:rsidR="00612BF3" w:rsidRPr="00CD5B0E">
        <w:rPr>
          <w:rFonts w:ascii="Times New Roman" w:hAnsi="Times New Roman" w:cs="Times New Roman"/>
          <w:color w:val="000000"/>
          <w:sz w:val="20"/>
          <w:szCs w:val="20"/>
        </w:rPr>
        <w:t xml:space="preserve">concerned </w:t>
      </w:r>
      <w:r w:rsidRPr="00CD5B0E">
        <w:rPr>
          <w:rFonts w:ascii="Times New Roman" w:hAnsi="Times New Roman" w:cs="Times New Roman"/>
          <w:color w:val="000000"/>
          <w:sz w:val="20"/>
          <w:szCs w:val="20"/>
        </w:rPr>
        <w:t>Mary Kay products being sold on Tmall by unauthorized sellers. Crucially, these products had their production lot codes obliterated through scratching to prevent tracing back to the original DSRs. Mary Kay placed trap orders to establish evidence of sales and initially presented the case as an ordinary IP infringement action without disclosing two critical facts: first, that the products were genuine goods originating from Mary Kay itself, raising acute issues regarding the exhaustion of rights defence; and second, that the platform operators were merely neutral marketplace operators rather than direct sellers.</w:t>
      </w:r>
    </w:p>
    <w:p w14:paraId="5A313583" w14:textId="120B8296" w:rsidR="0055474D" w:rsidRPr="00CD5B0E" w:rsidRDefault="0055474D"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The</w:t>
      </w:r>
      <w:r w:rsidR="00AF0172" w:rsidRPr="00CD5B0E">
        <w:rPr>
          <w:rFonts w:ascii="Times New Roman" w:hAnsi="Times New Roman" w:cs="Times New Roman"/>
          <w:color w:val="000000"/>
          <w:sz w:val="20"/>
          <w:szCs w:val="20"/>
        </w:rPr>
        <w:t xml:space="preserve"> </w:t>
      </w:r>
      <w:r w:rsidRPr="00CD5B0E">
        <w:rPr>
          <w:rFonts w:ascii="Times New Roman" w:hAnsi="Times New Roman" w:cs="Times New Roman"/>
          <w:color w:val="000000"/>
          <w:sz w:val="20"/>
          <w:szCs w:val="20"/>
        </w:rPr>
        <w:t>Court of First Instance</w:t>
      </w:r>
      <w:r w:rsidR="00742C81" w:rsidRPr="00CD5B0E">
        <w:rPr>
          <w:rFonts w:ascii="Times New Roman" w:hAnsi="Times New Roman" w:cs="Times New Roman"/>
          <w:color w:val="000000"/>
          <w:sz w:val="20"/>
          <w:szCs w:val="20"/>
        </w:rPr>
        <w:t xml:space="preserve"> </w:t>
      </w:r>
      <w:r w:rsidR="00AF0172" w:rsidRPr="00CD5B0E">
        <w:rPr>
          <w:rFonts w:ascii="Times New Roman" w:eastAsia="inter" w:hAnsi="Times New Roman" w:cs="Times New Roman"/>
          <w:color w:val="000000"/>
          <w:sz w:val="20"/>
          <w:szCs w:val="20"/>
        </w:rPr>
        <w:t xml:space="preserve">of the High Court of Hong Kong </w:t>
      </w:r>
      <w:r w:rsidR="00742C81" w:rsidRPr="00CD5B0E">
        <w:rPr>
          <w:rFonts w:ascii="Times New Roman" w:hAnsi="Times New Roman" w:cs="Times New Roman"/>
          <w:color w:val="000000"/>
          <w:sz w:val="20"/>
          <w:szCs w:val="20"/>
        </w:rPr>
        <w:t>took this opportunity and</w:t>
      </w:r>
      <w:r w:rsidRPr="00CD5B0E">
        <w:rPr>
          <w:rFonts w:ascii="Times New Roman" w:hAnsi="Times New Roman" w:cs="Times New Roman"/>
          <w:color w:val="000000"/>
          <w:sz w:val="20"/>
          <w:szCs w:val="20"/>
        </w:rPr>
        <w:t xml:space="preserve"> made several significant rulings that clarify Hong Kong law on platform liability. On the issue of joint </w:t>
      </w:r>
      <w:proofErr w:type="spellStart"/>
      <w:r w:rsidRPr="00CD5B0E">
        <w:rPr>
          <w:rFonts w:ascii="Times New Roman" w:hAnsi="Times New Roman" w:cs="Times New Roman"/>
          <w:color w:val="000000"/>
          <w:sz w:val="20"/>
          <w:szCs w:val="20"/>
        </w:rPr>
        <w:t>tortfeasorship</w:t>
      </w:r>
      <w:proofErr w:type="spellEnd"/>
      <w:r w:rsidRPr="00CD5B0E">
        <w:rPr>
          <w:rFonts w:ascii="Times New Roman" w:hAnsi="Times New Roman" w:cs="Times New Roman"/>
          <w:color w:val="000000"/>
          <w:sz w:val="20"/>
          <w:szCs w:val="20"/>
        </w:rPr>
        <w:t xml:space="preserve">, the court </w:t>
      </w:r>
      <w:r w:rsidR="001A3965" w:rsidRPr="00CD5B0E">
        <w:rPr>
          <w:rFonts w:ascii="Times New Roman" w:eastAsia="inter" w:hAnsi="Times New Roman" w:cs="Times New Roman"/>
          <w:color w:val="000000"/>
          <w:sz w:val="20"/>
          <w:szCs w:val="20"/>
        </w:rPr>
        <w:t>held</w:t>
      </w:r>
      <w:r w:rsidRPr="00CD5B0E">
        <w:rPr>
          <w:rFonts w:ascii="Times New Roman" w:hAnsi="Times New Roman" w:cs="Times New Roman"/>
          <w:color w:val="000000"/>
          <w:sz w:val="20"/>
          <w:szCs w:val="20"/>
        </w:rPr>
        <w:t xml:space="preserve"> that</w:t>
      </w:r>
      <w:r w:rsidRPr="00CD5B0E">
        <w:rPr>
          <w:rFonts w:ascii="Times New Roman" w:eastAsia="inter" w:hAnsi="Times New Roman" w:cs="Times New Roman"/>
          <w:color w:val="000000"/>
          <w:sz w:val="20"/>
          <w:szCs w:val="20"/>
        </w:rPr>
        <w:t xml:space="preserve"> </w:t>
      </w:r>
      <w:r w:rsidR="001A3965" w:rsidRPr="00CD5B0E">
        <w:rPr>
          <w:rFonts w:ascii="Times New Roman" w:eastAsia="inter" w:hAnsi="Times New Roman" w:cs="Times New Roman"/>
          <w:color w:val="000000"/>
          <w:sz w:val="20"/>
          <w:szCs w:val="20"/>
        </w:rPr>
        <w:t>the</w:t>
      </w:r>
      <w:r w:rsidR="001A3965" w:rsidRPr="00CD5B0E">
        <w:rPr>
          <w:rFonts w:ascii="Times New Roman" w:hAnsi="Times New Roman" w:cs="Times New Roman"/>
          <w:color w:val="000000"/>
          <w:sz w:val="20"/>
          <w:szCs w:val="20"/>
        </w:rPr>
        <w:t xml:space="preserve"> </w:t>
      </w:r>
      <w:r w:rsidRPr="00CD5B0E">
        <w:rPr>
          <w:rFonts w:ascii="Times New Roman" w:hAnsi="Times New Roman" w:cs="Times New Roman"/>
          <w:color w:val="000000"/>
          <w:sz w:val="20"/>
          <w:szCs w:val="20"/>
        </w:rPr>
        <w:t>mere provision of an online platform does not create joint tortfeasor liability. Joint liability requires proof of two distinct elements: (1) the defendant must have acted in a way that furthered the commission of the tort by the primary infringer; and (2) the defendant must have done so in pursuance of a common design to do or secure the doing of acts constituting the tort.</w:t>
      </w:r>
      <w:bookmarkStart w:id="28" w:name="fnref12"/>
      <w:bookmarkStart w:id="29" w:name="fnref5:1"/>
      <w:bookmarkStart w:id="30" w:name="fnref13"/>
      <w:bookmarkStart w:id="31" w:name="fnref1:2"/>
      <w:bookmarkStart w:id="32" w:name="fnref3:3"/>
      <w:bookmarkEnd w:id="28"/>
      <w:bookmarkEnd w:id="29"/>
      <w:bookmarkEnd w:id="30"/>
      <w:bookmarkEnd w:id="31"/>
      <w:bookmarkEnd w:id="32"/>
      <w:r w:rsidR="00BF0205" w:rsidRPr="00CD5B0E">
        <w:rPr>
          <w:rFonts w:ascii="Times New Roman" w:hAnsi="Times New Roman" w:cs="Times New Roman"/>
          <w:sz w:val="20"/>
          <w:szCs w:val="20"/>
        </w:rPr>
        <w:t xml:space="preserve"> </w:t>
      </w:r>
    </w:p>
    <w:p w14:paraId="6FE6C508" w14:textId="0BD08500" w:rsidR="00CA6AAC" w:rsidRPr="00CD5B0E" w:rsidRDefault="0055474D"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 xml:space="preserve">The court found no evidence that Alibaba authorized or encouraged infringement by individual sellers, nor that platform policies facilitated unlawful activity. Importantly, the court held that platform operators are under no legal duty to prevent infringement and that the mere fact of financial benefit from seller activities is insufficient to establish liability. The robust notice-and-takedown procedures implemented by the platforms counted significantly in their </w:t>
      </w:r>
      <w:proofErr w:type="spellStart"/>
      <w:r w:rsidRPr="00CD5B0E">
        <w:rPr>
          <w:rFonts w:ascii="Times New Roman" w:hAnsi="Times New Roman" w:cs="Times New Roman"/>
          <w:color w:val="000000"/>
          <w:sz w:val="20"/>
          <w:szCs w:val="20"/>
        </w:rPr>
        <w:t>favour</w:t>
      </w:r>
      <w:proofErr w:type="spellEnd"/>
      <w:r w:rsidRPr="00CD5B0E">
        <w:rPr>
          <w:rFonts w:ascii="Times New Roman" w:hAnsi="Times New Roman" w:cs="Times New Roman"/>
          <w:color w:val="000000"/>
          <w:sz w:val="20"/>
          <w:szCs w:val="20"/>
        </w:rPr>
        <w:t>.</w:t>
      </w:r>
      <w:bookmarkStart w:id="33" w:name="fnref5:2"/>
      <w:bookmarkStart w:id="34" w:name="fnref13:1"/>
      <w:bookmarkStart w:id="35" w:name="fnref1:3"/>
      <w:bookmarkEnd w:id="33"/>
      <w:bookmarkEnd w:id="34"/>
      <w:bookmarkEnd w:id="35"/>
      <w:r w:rsidR="00430DFC" w:rsidRPr="00CD5B0E">
        <w:rPr>
          <w:rFonts w:ascii="Times New Roman" w:hAnsi="Times New Roman" w:cs="Times New Roman"/>
          <w:sz w:val="20"/>
          <w:szCs w:val="20"/>
        </w:rPr>
        <w:t xml:space="preserve"> </w:t>
      </w:r>
    </w:p>
    <w:p w14:paraId="1219E93E" w14:textId="17008F22" w:rsidR="00836180" w:rsidRPr="00CD5B0E" w:rsidRDefault="00241B06"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sz w:val="20"/>
          <w:szCs w:val="20"/>
        </w:rPr>
        <w:t>Notably,</w:t>
      </w:r>
      <w:r w:rsidR="00836180" w:rsidRPr="00CD5B0E">
        <w:rPr>
          <w:rFonts w:ascii="Times New Roman" w:hAnsi="Times New Roman" w:cs="Times New Roman"/>
          <w:sz w:val="20"/>
          <w:szCs w:val="20"/>
        </w:rPr>
        <w:t xml:space="preserve"> the </w:t>
      </w:r>
      <w:r w:rsidR="00836180" w:rsidRPr="00CD5B0E">
        <w:rPr>
          <w:rFonts w:ascii="Times New Roman" w:hAnsi="Times New Roman" w:cs="Times New Roman"/>
          <w:i/>
          <w:sz w:val="20"/>
          <w:szCs w:val="20"/>
        </w:rPr>
        <w:t xml:space="preserve">Mary Kay </w:t>
      </w:r>
      <w:r w:rsidR="00836180" w:rsidRPr="00CD5B0E">
        <w:rPr>
          <w:rFonts w:ascii="Times New Roman" w:hAnsi="Times New Roman" w:cs="Times New Roman"/>
          <w:sz w:val="20"/>
          <w:szCs w:val="20"/>
        </w:rPr>
        <w:t xml:space="preserve">decision came out before the implementation of the safe </w:t>
      </w:r>
      <w:proofErr w:type="spellStart"/>
      <w:r w:rsidR="00836180" w:rsidRPr="00CD5B0E">
        <w:rPr>
          <w:rFonts w:ascii="Times New Roman" w:hAnsi="Times New Roman" w:cs="Times New Roman"/>
          <w:sz w:val="20"/>
          <w:szCs w:val="20"/>
        </w:rPr>
        <w:t>harbour</w:t>
      </w:r>
      <w:proofErr w:type="spellEnd"/>
      <w:r w:rsidR="00836180" w:rsidRPr="00CD5B0E">
        <w:rPr>
          <w:rFonts w:ascii="Times New Roman" w:hAnsi="Times New Roman" w:cs="Times New Roman"/>
          <w:sz w:val="20"/>
          <w:szCs w:val="20"/>
        </w:rPr>
        <w:t xml:space="preserve"> provisions in the Copyright Ordinance</w:t>
      </w:r>
      <w:r w:rsidRPr="00CD5B0E">
        <w:rPr>
          <w:rFonts w:ascii="Times New Roman" w:hAnsi="Times New Roman" w:cs="Times New Roman"/>
          <w:sz w:val="20"/>
          <w:szCs w:val="20"/>
        </w:rPr>
        <w:t>. T</w:t>
      </w:r>
      <w:r w:rsidR="00836180" w:rsidRPr="00CD5B0E">
        <w:rPr>
          <w:rFonts w:ascii="Times New Roman" w:hAnsi="Times New Roman" w:cs="Times New Roman"/>
          <w:sz w:val="20"/>
          <w:szCs w:val="20"/>
        </w:rPr>
        <w:t>he Ordinance in a sense codifies</w:t>
      </w:r>
      <w:r w:rsidR="002B4F42" w:rsidRPr="00CD5B0E">
        <w:rPr>
          <w:rFonts w:ascii="Times New Roman" w:hAnsi="Times New Roman" w:cs="Times New Roman"/>
          <w:sz w:val="20"/>
          <w:szCs w:val="20"/>
        </w:rPr>
        <w:t xml:space="preserve"> and clarifies the extent of OSPs liability in these </w:t>
      </w:r>
      <w:proofErr w:type="spellStart"/>
      <w:r w:rsidR="002B4F42" w:rsidRPr="00CD5B0E">
        <w:rPr>
          <w:rFonts w:ascii="Times New Roman" w:hAnsi="Times New Roman" w:cs="Times New Roman"/>
          <w:sz w:val="20"/>
          <w:szCs w:val="20"/>
        </w:rPr>
        <w:t>cirucmstances</w:t>
      </w:r>
      <w:proofErr w:type="spellEnd"/>
      <w:r w:rsidR="002B4F42" w:rsidRPr="00CD5B0E">
        <w:rPr>
          <w:rFonts w:ascii="Times New Roman" w:hAnsi="Times New Roman" w:cs="Times New Roman"/>
          <w:sz w:val="20"/>
          <w:szCs w:val="20"/>
        </w:rPr>
        <w:t>.</w:t>
      </w:r>
    </w:p>
    <w:p w14:paraId="692D2BE5" w14:textId="5EBC983C" w:rsidR="00FE00D6" w:rsidRPr="00CD5B0E" w:rsidRDefault="00B47DD5" w:rsidP="00FE00D6">
      <w:pPr>
        <w:spacing w:before="315" w:after="105" w:line="360" w:lineRule="auto"/>
        <w:ind w:left="-30" w:firstLine="750"/>
        <w:jc w:val="both"/>
        <w:rPr>
          <w:rFonts w:ascii="Times New Roman" w:hAnsi="Times New Roman" w:cs="Times New Roman"/>
          <w:sz w:val="20"/>
          <w:szCs w:val="20"/>
        </w:rPr>
      </w:pPr>
      <w:r w:rsidRPr="00CD5B0E">
        <w:rPr>
          <w:rFonts w:ascii="Times New Roman" w:hAnsi="Times New Roman" w:cs="Times New Roman"/>
          <w:b/>
          <w:color w:val="000000"/>
          <w:sz w:val="20"/>
          <w:szCs w:val="20"/>
        </w:rPr>
        <w:t>4.2.2. Content Monitoring and Privileges</w:t>
      </w:r>
    </w:p>
    <w:p w14:paraId="5713AF63" w14:textId="29C36FB4" w:rsidR="004D2CCE" w:rsidRDefault="00000000" w:rsidP="009F062D">
      <w:pPr>
        <w:spacing w:after="210" w:line="360" w:lineRule="auto"/>
        <w:jc w:val="both"/>
        <w:rPr>
          <w:rFonts w:ascii="Times New Roman" w:hAnsi="Times New Roman" w:cs="Times New Roman"/>
          <w:color w:val="000000"/>
          <w:sz w:val="20"/>
          <w:szCs w:val="20"/>
        </w:rPr>
      </w:pPr>
      <w:r w:rsidRPr="00CD5B0E">
        <w:rPr>
          <w:rFonts w:ascii="Times New Roman" w:hAnsi="Times New Roman" w:cs="Times New Roman"/>
          <w:color w:val="000000"/>
          <w:sz w:val="20"/>
          <w:szCs w:val="20"/>
        </w:rPr>
        <w:t xml:space="preserve">No mandatory obligation exists for platforms to actively monitor or pre-screen content for possible IP infringements. Section 56(5)(a) of the Copyright Ordinance specifically absolves service providers of such monitoring duties, except where consistent with standard technical measures. </w:t>
      </w:r>
      <w:r w:rsidR="004D2CCE" w:rsidRPr="004D2CCE">
        <w:rPr>
          <w:rFonts w:ascii="Times New Roman" w:hAnsi="Times New Roman" w:cs="Times New Roman"/>
          <w:color w:val="000000"/>
          <w:sz w:val="20"/>
          <w:szCs w:val="20"/>
        </w:rPr>
        <w:t xml:space="preserve">This reflects the “Good Samaritan” principle: platforms that voluntarily implement monitoring measures do not lose their safe </w:t>
      </w:r>
      <w:proofErr w:type="spellStart"/>
      <w:r w:rsidR="004D2CCE" w:rsidRPr="004D2CCE">
        <w:rPr>
          <w:rFonts w:ascii="Times New Roman" w:hAnsi="Times New Roman" w:cs="Times New Roman"/>
          <w:color w:val="000000"/>
          <w:sz w:val="20"/>
          <w:szCs w:val="20"/>
        </w:rPr>
        <w:t>harbour</w:t>
      </w:r>
      <w:proofErr w:type="spellEnd"/>
      <w:r w:rsidR="004D2CCE" w:rsidRPr="004D2CCE">
        <w:rPr>
          <w:rFonts w:ascii="Times New Roman" w:hAnsi="Times New Roman" w:cs="Times New Roman"/>
          <w:color w:val="000000"/>
          <w:sz w:val="20"/>
          <w:szCs w:val="20"/>
        </w:rPr>
        <w:t xml:space="preserve"> protection, since the law—in line with the </w:t>
      </w:r>
      <w:r w:rsidR="004D2CCE" w:rsidRPr="004D2CCE">
        <w:rPr>
          <w:rFonts w:ascii="Times New Roman" w:hAnsi="Times New Roman" w:cs="Times New Roman"/>
          <w:color w:val="000000"/>
          <w:sz w:val="20"/>
          <w:szCs w:val="20"/>
        </w:rPr>
        <w:lastRenderedPageBreak/>
        <w:t>Good Samaritan concept—offers exemption from liability for positive actions to assist, without imposing an affirmative obligation to intervene</w:t>
      </w:r>
      <w:r w:rsidR="00B705F8">
        <w:rPr>
          <w:rStyle w:val="FootnoteReference"/>
          <w:rFonts w:ascii="Times New Roman" w:hAnsi="Times New Roman" w:cs="Times New Roman"/>
          <w:color w:val="000000"/>
          <w:sz w:val="20"/>
          <w:szCs w:val="20"/>
        </w:rPr>
        <w:footnoteReference w:id="4"/>
      </w:r>
      <w:r w:rsidR="004D2CCE" w:rsidRPr="004D2CCE">
        <w:rPr>
          <w:rFonts w:ascii="Times New Roman" w:hAnsi="Times New Roman" w:cs="Times New Roman"/>
          <w:color w:val="000000"/>
          <w:sz w:val="20"/>
          <w:szCs w:val="20"/>
        </w:rPr>
        <w:t>.</w:t>
      </w:r>
    </w:p>
    <w:p w14:paraId="08FAC298" w14:textId="70BB28A8"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Currently, there are no statutory restrictions or specific requirements in Hong Kong regulating algorithmic content monitoring or automated measures that impact user experience. The law neither compels nor constrains automated measures, leaving platform practices to self-regulation, contractual terms, or industry technical standards. This regulatory restraint allows for innovation while avoiding prescriptive requirements that might quickly become obsolete.</w:t>
      </w:r>
      <w:bookmarkStart w:id="36" w:name="fnref11:3"/>
      <w:bookmarkEnd w:id="36"/>
      <w:r w:rsidRPr="00CD5B0E">
        <w:rPr>
          <w:rFonts w:ascii="Times New Roman" w:hAnsi="Times New Roman" w:cs="Times New Roman"/>
          <w:sz w:val="20"/>
          <w:szCs w:val="20"/>
        </w:rPr>
        <w:fldChar w:fldCharType="begin"/>
      </w:r>
      <w:r w:rsidRPr="00CD5B0E">
        <w:rPr>
          <w:rFonts w:ascii="Times New Roman" w:hAnsi="Times New Roman" w:cs="Times New Roman"/>
          <w:sz w:val="20"/>
          <w:szCs w:val="20"/>
        </w:rPr>
        <w:instrText>HYPERLINK \l "fn11" \h</w:instrText>
      </w:r>
      <w:r w:rsidRPr="00CD5B0E">
        <w:rPr>
          <w:rFonts w:ascii="Times New Roman" w:hAnsi="Times New Roman" w:cs="Times New Roman"/>
          <w:sz w:val="20"/>
          <w:szCs w:val="20"/>
        </w:rPr>
      </w:r>
      <w:r w:rsidRPr="00CD5B0E">
        <w:rPr>
          <w:rFonts w:ascii="Times New Roman" w:hAnsi="Times New Roman" w:cs="Times New Roman"/>
          <w:sz w:val="20"/>
          <w:szCs w:val="20"/>
        </w:rPr>
        <w:fldChar w:fldCharType="separate"/>
      </w:r>
      <w:r w:rsidRPr="00CD5B0E">
        <w:rPr>
          <w:rFonts w:ascii="Times New Roman" w:hAnsi="Times New Roman" w:cs="Times New Roman"/>
          <w:sz w:val="20"/>
          <w:szCs w:val="20"/>
          <w:u w:val="single"/>
          <w:vertAlign w:val="superscript"/>
        </w:rPr>
        <w:t>[11]</w:t>
      </w:r>
      <w:r w:rsidRPr="00CD5B0E">
        <w:rPr>
          <w:rFonts w:ascii="Times New Roman" w:hAnsi="Times New Roman" w:cs="Times New Roman"/>
          <w:sz w:val="20"/>
          <w:szCs w:val="20"/>
        </w:rPr>
        <w:fldChar w:fldCharType="end"/>
      </w:r>
    </w:p>
    <w:p w14:paraId="26FE2571" w14:textId="2D05AC37" w:rsidR="00CA6AAC" w:rsidRPr="00CD5B0E" w:rsidRDefault="00B47DD5" w:rsidP="00B47DD5">
      <w:pPr>
        <w:spacing w:before="315" w:after="105" w:line="360" w:lineRule="auto"/>
        <w:ind w:leftChars="337" w:left="708"/>
        <w:jc w:val="both"/>
        <w:rPr>
          <w:rFonts w:ascii="Times New Roman" w:hAnsi="Times New Roman" w:cs="Times New Roman"/>
          <w:sz w:val="20"/>
          <w:szCs w:val="20"/>
        </w:rPr>
      </w:pPr>
      <w:r w:rsidRPr="00CD5B0E">
        <w:rPr>
          <w:rFonts w:ascii="Times New Roman" w:hAnsi="Times New Roman" w:cs="Times New Roman"/>
          <w:b/>
          <w:color w:val="000000"/>
          <w:sz w:val="20"/>
          <w:szCs w:val="20"/>
        </w:rPr>
        <w:t>4.2.3. Reporting Mechanisms and Procedures</w:t>
      </w:r>
    </w:p>
    <w:p w14:paraId="7EEF2941" w14:textId="56E40FB0"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While platforms are not mandated to create reporting mechanisms for IP infringements beyond statutory requirements, the procedures detailed in the Code of Practice and section</w:t>
      </w:r>
      <w:r w:rsidR="00272453" w:rsidRPr="00CD5B0E">
        <w:rPr>
          <w:rFonts w:ascii="Times New Roman" w:hAnsi="Times New Roman" w:cs="Times New Roman"/>
          <w:color w:val="000000"/>
          <w:sz w:val="20"/>
          <w:szCs w:val="20"/>
        </w:rPr>
        <w:t>s</w:t>
      </w:r>
      <w:r w:rsidRPr="00CD5B0E">
        <w:rPr>
          <w:rFonts w:ascii="Times New Roman" w:hAnsi="Times New Roman" w:cs="Times New Roman"/>
          <w:color w:val="000000"/>
          <w:sz w:val="20"/>
          <w:szCs w:val="20"/>
        </w:rPr>
        <w:t xml:space="preserve"> 88</w:t>
      </w:r>
      <w:r w:rsidR="00272453" w:rsidRPr="00CD5B0E">
        <w:rPr>
          <w:rFonts w:ascii="Times New Roman" w:hAnsi="Times New Roman" w:cs="Times New Roman"/>
          <w:color w:val="000000"/>
          <w:sz w:val="20"/>
          <w:szCs w:val="20"/>
        </w:rPr>
        <w:t>C-E</w:t>
      </w:r>
      <w:r w:rsidRPr="00CD5B0E">
        <w:rPr>
          <w:rFonts w:ascii="Times New Roman" w:hAnsi="Times New Roman" w:cs="Times New Roman"/>
          <w:color w:val="000000"/>
          <w:sz w:val="20"/>
          <w:szCs w:val="20"/>
        </w:rPr>
        <w:t xml:space="preserve"> establish clear frameworks</w:t>
      </w:r>
      <w:r w:rsidR="00F97675" w:rsidRPr="00CD5B0E">
        <w:rPr>
          <w:rFonts w:ascii="Times New Roman" w:eastAsia="inter" w:hAnsi="Times New Roman" w:cs="Times New Roman"/>
          <w:color w:val="000000"/>
          <w:sz w:val="20"/>
          <w:szCs w:val="20"/>
        </w:rPr>
        <w:t xml:space="preserve"> for reporting</w:t>
      </w:r>
      <w:r w:rsidRPr="00CD5B0E">
        <w:rPr>
          <w:rFonts w:ascii="Times New Roman" w:eastAsia="inter" w:hAnsi="Times New Roman" w:cs="Times New Roman"/>
          <w:color w:val="000000"/>
          <w:sz w:val="20"/>
          <w:szCs w:val="20"/>
        </w:rPr>
        <w:t>.</w:t>
      </w:r>
      <w:r w:rsidRPr="00CD5B0E">
        <w:rPr>
          <w:rFonts w:ascii="Times New Roman" w:hAnsi="Times New Roman" w:cs="Times New Roman"/>
          <w:color w:val="000000"/>
          <w:sz w:val="20"/>
          <w:szCs w:val="20"/>
        </w:rPr>
        <w:t xml:space="preserve"> Notices of alleged infringement must be in prescribed form, authenticated by the complainant, and sent to the designated OSP agent. Notices </w:t>
      </w:r>
      <w:r w:rsidR="007161D0" w:rsidRPr="00CD5B0E">
        <w:rPr>
          <w:rFonts w:ascii="Times New Roman" w:eastAsia="inter" w:hAnsi="Times New Roman" w:cs="Times New Roman"/>
          <w:color w:val="000000"/>
          <w:sz w:val="20"/>
          <w:szCs w:val="20"/>
        </w:rPr>
        <w:t>that fail to meet</w:t>
      </w:r>
      <w:r w:rsidRPr="00CD5B0E">
        <w:rPr>
          <w:rFonts w:ascii="Times New Roman" w:hAnsi="Times New Roman" w:cs="Times New Roman"/>
          <w:color w:val="000000"/>
          <w:sz w:val="20"/>
          <w:szCs w:val="20"/>
        </w:rPr>
        <w:t xml:space="preserve"> these criteria are deemed defective and need not be processed.</w:t>
      </w:r>
      <w:bookmarkStart w:id="37" w:name="fnref8:4"/>
      <w:bookmarkStart w:id="38" w:name="fnref10:3"/>
      <w:bookmarkEnd w:id="37"/>
      <w:bookmarkEnd w:id="38"/>
      <w:r w:rsidR="00CF4638" w:rsidRPr="00CD5B0E">
        <w:rPr>
          <w:rFonts w:ascii="Times New Roman" w:hAnsi="Times New Roman" w:cs="Times New Roman"/>
          <w:sz w:val="20"/>
          <w:szCs w:val="20"/>
        </w:rPr>
        <w:t xml:space="preserve"> </w:t>
      </w:r>
    </w:p>
    <w:p w14:paraId="380E8E36" w14:textId="063ABC24"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 xml:space="preserve">The statutory framework provides that defective notices cannot be used to establish </w:t>
      </w:r>
      <w:r w:rsidR="00D158AC" w:rsidRPr="00CD5B0E">
        <w:rPr>
          <w:rFonts w:ascii="Times New Roman" w:eastAsia="inter" w:hAnsi="Times New Roman" w:cs="Times New Roman"/>
          <w:color w:val="000000"/>
          <w:sz w:val="20"/>
          <w:szCs w:val="20"/>
        </w:rPr>
        <w:t xml:space="preserve">the </w:t>
      </w:r>
      <w:r w:rsidRPr="00CD5B0E">
        <w:rPr>
          <w:rFonts w:ascii="Times New Roman" w:eastAsia="inter" w:hAnsi="Times New Roman" w:cs="Times New Roman"/>
          <w:color w:val="000000"/>
          <w:sz w:val="20"/>
          <w:szCs w:val="20"/>
        </w:rPr>
        <w:t>OSP</w:t>
      </w:r>
      <w:r w:rsidR="00D158AC" w:rsidRPr="00CD5B0E">
        <w:rPr>
          <w:rFonts w:ascii="Times New Roman" w:eastAsia="inter" w:hAnsi="Times New Roman" w:cs="Times New Roman"/>
          <w:color w:val="000000"/>
          <w:sz w:val="20"/>
          <w:szCs w:val="20"/>
        </w:rPr>
        <w:t>’s</w:t>
      </w:r>
      <w:r w:rsidRPr="00CD5B0E">
        <w:rPr>
          <w:rFonts w:ascii="Times New Roman" w:hAnsi="Times New Roman" w:cs="Times New Roman"/>
          <w:color w:val="000000"/>
          <w:sz w:val="20"/>
          <w:szCs w:val="20"/>
        </w:rPr>
        <w:t xml:space="preserve"> awareness of infringement, and persons providing false information in notices face both criminal and civil liability. This creates strong incentives for accurate reporting while protecting platforms from frivolous or defective takedown requests.</w:t>
      </w:r>
      <w:bookmarkStart w:id="39" w:name="fnref8:5"/>
      <w:bookmarkEnd w:id="39"/>
      <w:r w:rsidR="00FB460C" w:rsidRPr="00CD5B0E">
        <w:rPr>
          <w:rFonts w:ascii="Times New Roman" w:hAnsi="Times New Roman" w:cs="Times New Roman"/>
          <w:sz w:val="20"/>
          <w:szCs w:val="20"/>
        </w:rPr>
        <w:t xml:space="preserve"> </w:t>
      </w:r>
    </w:p>
    <w:p w14:paraId="54A8F88B" w14:textId="16506575" w:rsidR="00216B82" w:rsidRPr="00CD5B0E" w:rsidRDefault="00216B82"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sz w:val="20"/>
          <w:szCs w:val="20"/>
        </w:rPr>
        <w:t xml:space="preserve">However, the Code is silent on the timeframe in which OSPs under the </w:t>
      </w:r>
      <w:r w:rsidR="00FB11D4" w:rsidRPr="00CD5B0E">
        <w:rPr>
          <w:rFonts w:ascii="Times New Roman" w:hAnsi="Times New Roman" w:cs="Times New Roman"/>
          <w:sz w:val="20"/>
          <w:szCs w:val="20"/>
        </w:rPr>
        <w:t>“</w:t>
      </w:r>
      <w:r w:rsidRPr="00CD5B0E">
        <w:rPr>
          <w:rFonts w:ascii="Times New Roman" w:hAnsi="Times New Roman" w:cs="Times New Roman"/>
          <w:sz w:val="20"/>
          <w:szCs w:val="20"/>
        </w:rPr>
        <w:t>notice and takedown</w:t>
      </w:r>
      <w:r w:rsidR="00FB11D4" w:rsidRPr="00CD5B0E">
        <w:rPr>
          <w:rFonts w:ascii="Times New Roman" w:hAnsi="Times New Roman" w:cs="Times New Roman"/>
          <w:sz w:val="20"/>
          <w:szCs w:val="20"/>
        </w:rPr>
        <w:t>”</w:t>
      </w:r>
      <w:r w:rsidRPr="00CD5B0E">
        <w:rPr>
          <w:rFonts w:ascii="Times New Roman" w:hAnsi="Times New Roman" w:cs="Times New Roman"/>
          <w:sz w:val="20"/>
          <w:szCs w:val="20"/>
        </w:rPr>
        <w:t xml:space="preserve"> system must remove or disable access to the allegedly infringing material or activity. Instead, they are asked to do so </w:t>
      </w:r>
      <w:r w:rsidR="00FB11D4" w:rsidRPr="00CD5B0E">
        <w:rPr>
          <w:rFonts w:ascii="Times New Roman" w:hAnsi="Times New Roman" w:cs="Times New Roman"/>
          <w:sz w:val="20"/>
          <w:szCs w:val="20"/>
        </w:rPr>
        <w:t>“</w:t>
      </w:r>
      <w:r w:rsidRPr="00CD5B0E">
        <w:rPr>
          <w:rFonts w:ascii="Times New Roman" w:hAnsi="Times New Roman" w:cs="Times New Roman"/>
          <w:sz w:val="20"/>
          <w:szCs w:val="20"/>
        </w:rPr>
        <w:t>as soon as practicable</w:t>
      </w:r>
      <w:r w:rsidR="00FB11D4" w:rsidRPr="00CD5B0E">
        <w:rPr>
          <w:rFonts w:ascii="Times New Roman" w:hAnsi="Times New Roman" w:cs="Times New Roman"/>
          <w:sz w:val="20"/>
          <w:szCs w:val="20"/>
        </w:rPr>
        <w:t>”</w:t>
      </w:r>
      <w:r w:rsidRPr="00CD5B0E">
        <w:rPr>
          <w:rFonts w:ascii="Times New Roman" w:hAnsi="Times New Roman" w:cs="Times New Roman"/>
          <w:sz w:val="20"/>
          <w:szCs w:val="20"/>
        </w:rPr>
        <w:t xml:space="preserve"> upon receiving a valid Notice. Such flexibility is in line with the </w:t>
      </w:r>
      <w:r w:rsidR="00FB11D4" w:rsidRPr="00CD5B0E">
        <w:rPr>
          <w:rFonts w:ascii="Times New Roman" w:hAnsi="Times New Roman" w:cs="Times New Roman"/>
          <w:sz w:val="20"/>
          <w:szCs w:val="20"/>
        </w:rPr>
        <w:t>“</w:t>
      </w:r>
      <w:r w:rsidRPr="00CD5B0E">
        <w:rPr>
          <w:rFonts w:ascii="Times New Roman" w:hAnsi="Times New Roman" w:cs="Times New Roman"/>
          <w:sz w:val="20"/>
          <w:szCs w:val="20"/>
        </w:rPr>
        <w:t>notice and takedown</w:t>
      </w:r>
      <w:r w:rsidR="00FB11D4" w:rsidRPr="00CD5B0E">
        <w:rPr>
          <w:rFonts w:ascii="Times New Roman" w:hAnsi="Times New Roman" w:cs="Times New Roman"/>
          <w:sz w:val="20"/>
          <w:szCs w:val="20"/>
        </w:rPr>
        <w:t>”</w:t>
      </w:r>
      <w:r w:rsidRPr="00CD5B0E">
        <w:rPr>
          <w:rFonts w:ascii="Times New Roman" w:hAnsi="Times New Roman" w:cs="Times New Roman"/>
          <w:sz w:val="20"/>
          <w:szCs w:val="20"/>
        </w:rPr>
        <w:t xml:space="preserve"> systems in other jurisdictions, such as the United States and the European Union.</w:t>
      </w:r>
      <w:r w:rsidR="005D60DE" w:rsidRPr="00CD5B0E">
        <w:rPr>
          <w:rFonts w:ascii="Times New Roman" w:hAnsi="Times New Roman" w:cs="Times New Roman"/>
          <w:sz w:val="20"/>
          <w:szCs w:val="20"/>
        </w:rPr>
        <w:t xml:space="preserve"> </w:t>
      </w:r>
      <w:r w:rsidR="002B4F42" w:rsidRPr="00CD5B0E">
        <w:rPr>
          <w:rFonts w:ascii="Times New Roman" w:hAnsi="Times New Roman" w:cs="Times New Roman"/>
          <w:sz w:val="20"/>
          <w:szCs w:val="20"/>
        </w:rPr>
        <w:t>While there is no jurisprudence pertaining to this issue</w:t>
      </w:r>
      <w:r w:rsidR="000F3BF5" w:rsidRPr="00CD5B0E">
        <w:rPr>
          <w:rFonts w:ascii="Times New Roman" w:hAnsi="Times New Roman" w:cs="Times New Roman"/>
          <w:sz w:val="20"/>
          <w:szCs w:val="20"/>
        </w:rPr>
        <w:t xml:space="preserve"> directly in Hong Kong</w:t>
      </w:r>
      <w:r w:rsidR="002B4F42" w:rsidRPr="00CD5B0E">
        <w:rPr>
          <w:rFonts w:ascii="Times New Roman" w:hAnsi="Times New Roman" w:cs="Times New Roman"/>
          <w:sz w:val="20"/>
          <w:szCs w:val="20"/>
        </w:rPr>
        <w:t>,</w:t>
      </w:r>
      <w:r w:rsidRPr="00CD5B0E">
        <w:rPr>
          <w:rFonts w:ascii="Times New Roman" w:hAnsi="Times New Roman" w:cs="Times New Roman"/>
          <w:i/>
          <w:sz w:val="20"/>
          <w:szCs w:val="20"/>
        </w:rPr>
        <w:t xml:space="preserve"> </w:t>
      </w:r>
      <w:r w:rsidR="00CD5B0E" w:rsidRPr="00A92CA7">
        <w:rPr>
          <w:rFonts w:ascii="Times New Roman" w:hAnsi="Times New Roman" w:cs="Times New Roman"/>
          <w:i/>
          <w:iCs/>
          <w:sz w:val="20"/>
          <w:szCs w:val="20"/>
        </w:rPr>
        <w:t xml:space="preserve">Oriental Press Group Ltd v </w:t>
      </w:r>
      <w:proofErr w:type="spellStart"/>
      <w:r w:rsidR="00CD5B0E" w:rsidRPr="00A92CA7">
        <w:rPr>
          <w:rFonts w:ascii="Times New Roman" w:hAnsi="Times New Roman" w:cs="Times New Roman"/>
          <w:i/>
          <w:iCs/>
          <w:sz w:val="20"/>
          <w:szCs w:val="20"/>
        </w:rPr>
        <w:t>Fevaworks</w:t>
      </w:r>
      <w:proofErr w:type="spellEnd"/>
      <w:r w:rsidR="00CD5B0E" w:rsidRPr="00A92CA7">
        <w:rPr>
          <w:rFonts w:ascii="Times New Roman" w:hAnsi="Times New Roman" w:cs="Times New Roman"/>
          <w:i/>
          <w:iCs/>
          <w:sz w:val="20"/>
          <w:szCs w:val="20"/>
        </w:rPr>
        <w:t xml:space="preserve"> Solutions Ltd</w:t>
      </w:r>
      <w:r w:rsidR="00CD5B0E" w:rsidRPr="00546BE2">
        <w:rPr>
          <w:rFonts w:ascii="Times New Roman" w:hAnsi="Times New Roman" w:cs="Times New Roman"/>
          <w:i/>
          <w:iCs/>
          <w:sz w:val="20"/>
          <w:szCs w:val="20"/>
        </w:rPr>
        <w:t xml:space="preserve"> </w:t>
      </w:r>
      <w:r w:rsidR="00CD5B0E" w:rsidRPr="00A92CA7">
        <w:rPr>
          <w:rFonts w:ascii="Times New Roman" w:hAnsi="Times New Roman" w:cs="Times New Roman"/>
          <w:sz w:val="20"/>
          <w:szCs w:val="20"/>
        </w:rPr>
        <w:t>(2013) 16 HKCFAR 366</w:t>
      </w:r>
      <w:r w:rsidR="002B4F42" w:rsidRPr="00CD5B0E">
        <w:rPr>
          <w:rFonts w:ascii="Times New Roman" w:hAnsi="Times New Roman" w:cs="Times New Roman"/>
          <w:sz w:val="20"/>
          <w:szCs w:val="20"/>
        </w:rPr>
        <w:t xml:space="preserve"> might provide useful insight on what should be a reasonable time for the OSPs to take actions. </w:t>
      </w:r>
      <w:r w:rsidRPr="00CD5B0E">
        <w:rPr>
          <w:rFonts w:ascii="Times New Roman" w:hAnsi="Times New Roman" w:cs="Times New Roman"/>
          <w:sz w:val="20"/>
          <w:szCs w:val="20"/>
        </w:rPr>
        <w:t xml:space="preserve">In that case, the Hong Kong </w:t>
      </w:r>
      <w:r w:rsidR="000F3BF5" w:rsidRPr="00CD5B0E">
        <w:rPr>
          <w:rFonts w:ascii="Times New Roman" w:hAnsi="Times New Roman" w:cs="Times New Roman"/>
          <w:sz w:val="20"/>
          <w:szCs w:val="20"/>
        </w:rPr>
        <w:t>Court</w:t>
      </w:r>
      <w:r w:rsidRPr="00CD5B0E">
        <w:rPr>
          <w:rFonts w:ascii="Times New Roman" w:hAnsi="Times New Roman" w:cs="Times New Roman"/>
          <w:sz w:val="20"/>
          <w:szCs w:val="20"/>
        </w:rPr>
        <w:t xml:space="preserve"> held that the provider of an online discussion forum was not liable for defamatory statements which were removed around 3.5 hours after being notified by the claimant. </w:t>
      </w:r>
      <w:r w:rsidR="00FF71BA" w:rsidRPr="00CD5B0E">
        <w:rPr>
          <w:rFonts w:ascii="Times New Roman" w:hAnsi="Times New Roman" w:cs="Times New Roman"/>
          <w:sz w:val="20"/>
          <w:szCs w:val="20"/>
        </w:rPr>
        <w:t>On the other hand</w:t>
      </w:r>
      <w:r w:rsidRPr="00CD5B0E">
        <w:rPr>
          <w:rFonts w:ascii="Times New Roman" w:hAnsi="Times New Roman" w:cs="Times New Roman"/>
          <w:sz w:val="20"/>
          <w:szCs w:val="20"/>
        </w:rPr>
        <w:t>, the provider was held liable for other statements which were removed more than 8 months after being notified by the claimant.</w:t>
      </w:r>
      <w:r w:rsidR="00FF71BA" w:rsidRPr="00CD5B0E">
        <w:rPr>
          <w:rFonts w:ascii="Times New Roman" w:hAnsi="Times New Roman" w:cs="Times New Roman"/>
          <w:sz w:val="20"/>
          <w:szCs w:val="20"/>
        </w:rPr>
        <w:t xml:space="preserve"> </w:t>
      </w:r>
    </w:p>
    <w:p w14:paraId="2172812A" w14:textId="3F7A7A18" w:rsidR="00CA6AAC" w:rsidRPr="00CD5B0E" w:rsidRDefault="00CF4638" w:rsidP="00CF4638">
      <w:pPr>
        <w:spacing w:before="315" w:after="105" w:line="360" w:lineRule="auto"/>
        <w:ind w:left="-30" w:firstLine="750"/>
        <w:jc w:val="both"/>
        <w:rPr>
          <w:rFonts w:ascii="Times New Roman" w:hAnsi="Times New Roman" w:cs="Times New Roman"/>
          <w:sz w:val="20"/>
          <w:szCs w:val="20"/>
        </w:rPr>
      </w:pPr>
      <w:r w:rsidRPr="00CD5B0E">
        <w:rPr>
          <w:rFonts w:ascii="Times New Roman" w:hAnsi="Times New Roman" w:cs="Times New Roman"/>
          <w:b/>
          <w:color w:val="000000"/>
          <w:sz w:val="20"/>
          <w:szCs w:val="20"/>
        </w:rPr>
        <w:t>4.2.4. Remedies and Consequences</w:t>
      </w:r>
    </w:p>
    <w:p w14:paraId="40D1F00A" w14:textId="49DDD238"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 xml:space="preserve">Where an OSP fails to comply with safe </w:t>
      </w:r>
      <w:proofErr w:type="spellStart"/>
      <w:r w:rsidRPr="00CD5B0E">
        <w:rPr>
          <w:rFonts w:ascii="Times New Roman" w:hAnsi="Times New Roman" w:cs="Times New Roman"/>
          <w:color w:val="000000"/>
          <w:sz w:val="20"/>
          <w:szCs w:val="20"/>
        </w:rPr>
        <w:t>harbour</w:t>
      </w:r>
      <w:proofErr w:type="spellEnd"/>
      <w:r w:rsidRPr="00CD5B0E">
        <w:rPr>
          <w:rFonts w:ascii="Times New Roman" w:hAnsi="Times New Roman" w:cs="Times New Roman"/>
          <w:color w:val="000000"/>
          <w:sz w:val="20"/>
          <w:szCs w:val="20"/>
        </w:rPr>
        <w:t xml:space="preserve"> requirements, it may face liability for damages or other remedies commensurate with the loss caused by continued infringement. However</w:t>
      </w:r>
      <w:r w:rsidRPr="00CD5B0E">
        <w:rPr>
          <w:rFonts w:ascii="Times New Roman" w:eastAsia="inter" w:hAnsi="Times New Roman" w:cs="Times New Roman"/>
          <w:color w:val="000000"/>
          <w:sz w:val="20"/>
          <w:szCs w:val="20"/>
        </w:rPr>
        <w:t xml:space="preserve">, </w:t>
      </w:r>
      <w:r w:rsidR="007A664B" w:rsidRPr="00CD5B0E">
        <w:rPr>
          <w:rFonts w:ascii="Times New Roman" w:eastAsia="inter" w:hAnsi="Times New Roman" w:cs="Times New Roman"/>
          <w:color w:val="000000"/>
          <w:sz w:val="20"/>
          <w:szCs w:val="20"/>
        </w:rPr>
        <w:t>as a matter of practice</w:t>
      </w:r>
      <w:r w:rsidR="007A664B" w:rsidRPr="00CD5B0E">
        <w:rPr>
          <w:rFonts w:ascii="Times New Roman" w:hAnsi="Times New Roman" w:cs="Times New Roman"/>
          <w:color w:val="000000"/>
          <w:sz w:val="20"/>
          <w:szCs w:val="20"/>
        </w:rPr>
        <w:t xml:space="preserve">, </w:t>
      </w:r>
      <w:r w:rsidRPr="00CD5B0E">
        <w:rPr>
          <w:rFonts w:ascii="Times New Roman" w:hAnsi="Times New Roman" w:cs="Times New Roman"/>
          <w:color w:val="000000"/>
          <w:sz w:val="20"/>
          <w:szCs w:val="20"/>
        </w:rPr>
        <w:t>platforms typically protect themselves through indemnification clauses with customers, seeking reimbursement for losses related to user infringing activities.</w:t>
      </w:r>
      <w:bookmarkStart w:id="40" w:name="fnref8:6"/>
      <w:bookmarkEnd w:id="40"/>
      <w:r w:rsidR="005F0FD2" w:rsidRPr="00CD5B0E">
        <w:rPr>
          <w:rFonts w:ascii="Times New Roman" w:hAnsi="Times New Roman" w:cs="Times New Roman"/>
          <w:sz w:val="20"/>
          <w:szCs w:val="20"/>
        </w:rPr>
        <w:t xml:space="preserve"> </w:t>
      </w:r>
    </w:p>
    <w:p w14:paraId="50F289EC" w14:textId="6AD353F7" w:rsidR="00CA6AAC" w:rsidRPr="00CD5B0E" w:rsidRDefault="00CF4638" w:rsidP="00CF4638">
      <w:pPr>
        <w:spacing w:before="315" w:after="105" w:line="360" w:lineRule="auto"/>
        <w:ind w:left="-30" w:firstLine="750"/>
        <w:jc w:val="both"/>
        <w:rPr>
          <w:rFonts w:ascii="Times New Roman" w:hAnsi="Times New Roman" w:cs="Times New Roman"/>
          <w:sz w:val="20"/>
          <w:szCs w:val="20"/>
        </w:rPr>
      </w:pPr>
      <w:r w:rsidRPr="00CD5B0E">
        <w:rPr>
          <w:rFonts w:ascii="Times New Roman" w:hAnsi="Times New Roman" w:cs="Times New Roman"/>
          <w:b/>
          <w:color w:val="000000"/>
          <w:sz w:val="20"/>
          <w:szCs w:val="20"/>
        </w:rPr>
        <w:t>4.2.5. Pre-Removal Requirements and Appeal Mechanisms</w:t>
      </w:r>
    </w:p>
    <w:p w14:paraId="03A1F7DB" w14:textId="2C6F4D0E"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lastRenderedPageBreak/>
        <w:t>There is no requirement for court orders prior to content remova</w:t>
      </w:r>
      <w:r w:rsidR="007A664B" w:rsidRPr="00CD5B0E">
        <w:rPr>
          <w:rFonts w:ascii="Times New Roman" w:hAnsi="Times New Roman" w:cs="Times New Roman"/>
          <w:color w:val="000000"/>
          <w:sz w:val="20"/>
          <w:szCs w:val="20"/>
        </w:rPr>
        <w:t xml:space="preserve">l. </w:t>
      </w:r>
      <w:r w:rsidRPr="00CD5B0E">
        <w:rPr>
          <w:rFonts w:ascii="Times New Roman" w:hAnsi="Times New Roman" w:cs="Times New Roman"/>
          <w:color w:val="000000"/>
          <w:sz w:val="20"/>
          <w:szCs w:val="20"/>
        </w:rPr>
        <w:t>However, the established counter-notice system allows users to challenge content removal and seek reinstatement, embedding procedural fairness into the framework. This balance recognizes the need for swift action against infringement while protecting legitimate user interests.</w:t>
      </w:r>
      <w:bookmarkStart w:id="41" w:name="fnref7:4"/>
      <w:bookmarkStart w:id="42" w:name="fnref10:4"/>
      <w:bookmarkStart w:id="43" w:name="fnref8:7"/>
      <w:bookmarkEnd w:id="41"/>
      <w:bookmarkEnd w:id="42"/>
      <w:bookmarkEnd w:id="43"/>
      <w:r w:rsidR="00272453" w:rsidRPr="00CD5B0E">
        <w:rPr>
          <w:rFonts w:ascii="Times New Roman" w:hAnsi="Times New Roman" w:cs="Times New Roman"/>
          <w:sz w:val="20"/>
          <w:szCs w:val="20"/>
        </w:rPr>
        <w:t xml:space="preserve"> </w:t>
      </w:r>
    </w:p>
    <w:p w14:paraId="77AE4D38" w14:textId="7101AB5B" w:rsidR="00CA6AAC" w:rsidRPr="00CD5B0E" w:rsidRDefault="00000000" w:rsidP="001C3F5F">
      <w:pPr>
        <w:pStyle w:val="ListParagraph"/>
        <w:numPr>
          <w:ilvl w:val="0"/>
          <w:numId w:val="3"/>
        </w:numPr>
        <w:spacing w:before="315" w:after="105" w:line="360" w:lineRule="auto"/>
        <w:ind w:leftChars="0"/>
        <w:jc w:val="both"/>
        <w:rPr>
          <w:rFonts w:ascii="Times New Roman" w:hAnsi="Times New Roman" w:cs="Times New Roman"/>
          <w:sz w:val="20"/>
          <w:szCs w:val="20"/>
        </w:rPr>
      </w:pPr>
      <w:r w:rsidRPr="00CD5B0E">
        <w:rPr>
          <w:rFonts w:ascii="Times New Roman" w:hAnsi="Times New Roman" w:cs="Times New Roman"/>
          <w:b/>
          <w:color w:val="000000"/>
          <w:sz w:val="20"/>
          <w:szCs w:val="20"/>
        </w:rPr>
        <w:t>Fundamental Rights and Balancing Interests</w:t>
      </w:r>
    </w:p>
    <w:p w14:paraId="74D5542D" w14:textId="1740CA33" w:rsidR="00CA6AAC" w:rsidRPr="00CD5B0E" w:rsidRDefault="00000000" w:rsidP="006F777D">
      <w:pPr>
        <w:pStyle w:val="ListParagraph"/>
        <w:numPr>
          <w:ilvl w:val="1"/>
          <w:numId w:val="3"/>
        </w:numPr>
        <w:spacing w:before="315" w:after="105" w:line="360" w:lineRule="auto"/>
        <w:ind w:leftChars="0" w:left="709"/>
        <w:jc w:val="both"/>
        <w:rPr>
          <w:rFonts w:ascii="Times New Roman" w:hAnsi="Times New Roman" w:cs="Times New Roman"/>
          <w:sz w:val="20"/>
          <w:szCs w:val="20"/>
        </w:rPr>
      </w:pPr>
      <w:r w:rsidRPr="00CD5B0E">
        <w:rPr>
          <w:rFonts w:ascii="Times New Roman" w:hAnsi="Times New Roman" w:cs="Times New Roman"/>
          <w:b/>
          <w:color w:val="000000"/>
          <w:sz w:val="20"/>
          <w:szCs w:val="20"/>
        </w:rPr>
        <w:t>Constitutional Framework for Rights Protection</w:t>
      </w:r>
    </w:p>
    <w:p w14:paraId="370B45B3" w14:textId="139AAED5"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Hong Kong</w:t>
      </w:r>
      <w:r w:rsidR="00AB2EB8"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s fundamental rights framework operates through a complex interaction between the Basic Law and the Hong Kong Bill of Rights Ordinance (BORO). Article 39 of the Basic Law provides that the International Covenant on Civil and Political Rights (ICCPR) as applied to Hong Kong shall remain in force, creating an entrenched constitutional safeguard. The BORO incorporates the ICCPR into domestic law, providing enforceable rights and freedoms for Hong Kong residents</w:t>
      </w:r>
      <w:bookmarkStart w:id="44" w:name="fnref18"/>
      <w:bookmarkStart w:id="45" w:name="fnref19"/>
      <w:bookmarkStart w:id="46" w:name="fnref20"/>
      <w:bookmarkEnd w:id="44"/>
      <w:bookmarkEnd w:id="45"/>
      <w:bookmarkEnd w:id="46"/>
      <w:r w:rsidR="005D19FE" w:rsidRPr="00CD5B0E">
        <w:rPr>
          <w:rFonts w:ascii="Times New Roman" w:hAnsi="Times New Roman" w:cs="Times New Roman"/>
          <w:color w:val="000000"/>
          <w:sz w:val="20"/>
          <w:szCs w:val="20"/>
        </w:rPr>
        <w:t>.</w:t>
      </w:r>
      <w:r w:rsidR="005D19FE" w:rsidRPr="00CD5B0E">
        <w:rPr>
          <w:rFonts w:ascii="Times New Roman" w:hAnsi="Times New Roman" w:cs="Times New Roman"/>
          <w:sz w:val="20"/>
          <w:szCs w:val="20"/>
        </w:rPr>
        <w:t xml:space="preserve"> </w:t>
      </w:r>
    </w:p>
    <w:p w14:paraId="467DA78A" w14:textId="2FE6BAB7" w:rsidR="00CA6AAC" w:rsidRPr="00CD5B0E" w:rsidRDefault="00000000" w:rsidP="006F777D">
      <w:pPr>
        <w:pStyle w:val="ListParagraph"/>
        <w:numPr>
          <w:ilvl w:val="1"/>
          <w:numId w:val="3"/>
        </w:numPr>
        <w:spacing w:before="315" w:after="105" w:line="360" w:lineRule="auto"/>
        <w:ind w:leftChars="0" w:left="709"/>
        <w:jc w:val="both"/>
        <w:rPr>
          <w:rFonts w:ascii="Times New Roman" w:hAnsi="Times New Roman" w:cs="Times New Roman"/>
          <w:sz w:val="20"/>
          <w:szCs w:val="20"/>
        </w:rPr>
      </w:pPr>
      <w:r w:rsidRPr="00CD5B0E">
        <w:rPr>
          <w:rFonts w:ascii="Times New Roman" w:hAnsi="Times New Roman" w:cs="Times New Roman"/>
          <w:b/>
          <w:color w:val="000000"/>
          <w:sz w:val="20"/>
          <w:szCs w:val="20"/>
        </w:rPr>
        <w:t>The Double Proportionality Test</w:t>
      </w:r>
    </w:p>
    <w:p w14:paraId="5D9125DC" w14:textId="5AF07757"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Hong Kong</w:t>
      </w:r>
      <w:r w:rsidR="00AB2EB8"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 xml:space="preserve">s approach to balancing competing fundamental rights </w:t>
      </w:r>
      <w:r w:rsidR="00C248AD" w:rsidRPr="00CD5B0E">
        <w:rPr>
          <w:rFonts w:ascii="Times New Roman" w:eastAsia="inter" w:hAnsi="Times New Roman" w:cs="Times New Roman"/>
          <w:color w:val="000000"/>
          <w:sz w:val="20"/>
          <w:szCs w:val="20"/>
        </w:rPr>
        <w:t>applies</w:t>
      </w:r>
      <w:r w:rsidR="00C248AD" w:rsidRPr="00CD5B0E">
        <w:rPr>
          <w:rFonts w:ascii="Times New Roman" w:hAnsi="Times New Roman" w:cs="Times New Roman"/>
          <w:color w:val="000000"/>
          <w:sz w:val="20"/>
          <w:szCs w:val="20"/>
        </w:rPr>
        <w:t xml:space="preserve"> what </w:t>
      </w:r>
      <w:r w:rsidR="00C248AD" w:rsidRPr="00CD5B0E">
        <w:rPr>
          <w:rFonts w:ascii="Times New Roman" w:eastAsia="inter" w:hAnsi="Times New Roman" w:cs="Times New Roman"/>
          <w:color w:val="000000"/>
          <w:sz w:val="20"/>
          <w:szCs w:val="20"/>
        </w:rPr>
        <w:t>is known as</w:t>
      </w:r>
      <w:r w:rsidRPr="00CD5B0E">
        <w:rPr>
          <w:rFonts w:ascii="Times New Roman" w:hAnsi="Times New Roman" w:cs="Times New Roman"/>
          <w:color w:val="000000"/>
          <w:sz w:val="20"/>
          <w:szCs w:val="20"/>
        </w:rPr>
        <w:t xml:space="preserve"> the </w:t>
      </w:r>
      <w:r w:rsidR="00FB11D4"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double proportionality test</w:t>
      </w:r>
      <w:r w:rsidR="00FB11D4" w:rsidRPr="00CD5B0E">
        <w:rPr>
          <w:rFonts w:ascii="Times New Roman" w:hAnsi="Times New Roman" w:cs="Times New Roman"/>
          <w:color w:val="000000"/>
          <w:sz w:val="20"/>
          <w:szCs w:val="20"/>
        </w:rPr>
        <w:t>”</w:t>
      </w:r>
      <w:r w:rsidR="00FB11D4" w:rsidRPr="00CD5B0E">
        <w:rPr>
          <w:rStyle w:val="FootnoteReference"/>
          <w:rFonts w:ascii="Times New Roman" w:hAnsi="Times New Roman" w:cs="Times New Roman"/>
          <w:color w:val="000000"/>
          <w:sz w:val="20"/>
          <w:szCs w:val="20"/>
        </w:rPr>
        <w:footnoteReference w:id="5"/>
      </w:r>
      <w:r w:rsidRPr="00CD5B0E">
        <w:rPr>
          <w:rFonts w:ascii="Times New Roman" w:hAnsi="Times New Roman" w:cs="Times New Roman"/>
          <w:color w:val="000000"/>
          <w:sz w:val="20"/>
          <w:szCs w:val="20"/>
        </w:rPr>
        <w:t>. This four-stage analysis requires that any restriction on non-absolute rights: (1) serve a legitimate aim; (2) have a rational connection between the aim and restriction; (3) be no more than necessary to achieve the legitimate aim; and (4) ensure that benefits of achieving the aim are not disproportionate to the encroachment on the fundamental right.</w:t>
      </w:r>
      <w:bookmarkStart w:id="47" w:name="fnref21"/>
      <w:bookmarkStart w:id="48" w:name="fnref22"/>
      <w:bookmarkEnd w:id="47"/>
      <w:bookmarkEnd w:id="48"/>
      <w:r w:rsidR="001E5364" w:rsidRPr="00CD5B0E">
        <w:rPr>
          <w:rFonts w:ascii="Times New Roman" w:hAnsi="Times New Roman" w:cs="Times New Roman"/>
          <w:sz w:val="20"/>
          <w:szCs w:val="20"/>
        </w:rPr>
        <w:t xml:space="preserve"> </w:t>
      </w:r>
    </w:p>
    <w:p w14:paraId="246642C3" w14:textId="571AB624"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This test provides a structured framework for courts to balance competing interests, including intellectual property rights, freedom of expression, and procedural fairness. In the platform liability context, this framework would likely apply to assess whether takedown procedures or monitoring requirements appropriately balance IP protection against freedom of expression.</w:t>
      </w:r>
      <w:bookmarkStart w:id="49" w:name="fnref23"/>
      <w:bookmarkStart w:id="50" w:name="fnref24"/>
      <w:bookmarkEnd w:id="49"/>
      <w:bookmarkEnd w:id="50"/>
      <w:r w:rsidR="001E5364" w:rsidRPr="00CD5B0E">
        <w:rPr>
          <w:rFonts w:ascii="Times New Roman" w:hAnsi="Times New Roman" w:cs="Times New Roman"/>
          <w:sz w:val="20"/>
          <w:szCs w:val="20"/>
        </w:rPr>
        <w:t xml:space="preserve"> </w:t>
      </w:r>
    </w:p>
    <w:p w14:paraId="07E5EEFC" w14:textId="48AB7E15"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Although no explicit statutory balancing mechanism exists specifically for platform cases, the system</w:t>
      </w:r>
      <w:r w:rsidR="00AB2EB8"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s reliance on notice-and-counter-notice procedures indirectly upholds rights to freedom of expression and procedural justice. The absence of general monitoring duties and the requirement for specific, authenticated notices help protect against over-broad content removal that might chill legitimate speech.</w:t>
      </w:r>
      <w:bookmarkStart w:id="51" w:name="fnref22:1"/>
      <w:bookmarkEnd w:id="51"/>
      <w:r w:rsidR="001E5364" w:rsidRPr="00CD5B0E">
        <w:rPr>
          <w:rFonts w:ascii="Times New Roman" w:hAnsi="Times New Roman" w:cs="Times New Roman"/>
          <w:sz w:val="20"/>
          <w:szCs w:val="20"/>
        </w:rPr>
        <w:t xml:space="preserve"> </w:t>
      </w:r>
    </w:p>
    <w:p w14:paraId="1B0DE16A" w14:textId="561F3BF7"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 xml:space="preserve">Hong Kong courts have not yet developed extensive jurisprudence on conflicts between IP enforcement and fundamental rights in platform contexts. However, the general constitutional principles governing </w:t>
      </w:r>
      <w:r w:rsidR="006A688B" w:rsidRPr="00CD5B0E">
        <w:rPr>
          <w:rFonts w:ascii="Times New Roman" w:hAnsi="Times New Roman" w:cs="Times New Roman"/>
          <w:color w:val="000000"/>
          <w:sz w:val="20"/>
          <w:szCs w:val="20"/>
        </w:rPr>
        <w:t>balancing</w:t>
      </w:r>
      <w:r w:rsidR="006A688B" w:rsidRPr="00CD5B0E">
        <w:rPr>
          <w:rFonts w:ascii="Times New Roman" w:eastAsia="inter" w:hAnsi="Times New Roman" w:cs="Times New Roman"/>
          <w:color w:val="000000"/>
          <w:sz w:val="20"/>
          <w:szCs w:val="20"/>
        </w:rPr>
        <w:t xml:space="preserve"> of rights</w:t>
      </w:r>
      <w:r w:rsidRPr="00CD5B0E">
        <w:rPr>
          <w:rFonts w:ascii="Times New Roman" w:hAnsi="Times New Roman" w:cs="Times New Roman"/>
          <w:color w:val="000000"/>
          <w:sz w:val="20"/>
          <w:szCs w:val="20"/>
        </w:rPr>
        <w:t xml:space="preserve"> would likely apply, requiring any platform regulation to meet proportionality standards while respecting both IP rights and expressive freedoms.</w:t>
      </w:r>
      <w:bookmarkStart w:id="52" w:name="fnref18:1"/>
      <w:bookmarkStart w:id="53" w:name="fnref22:2"/>
      <w:bookmarkEnd w:id="52"/>
      <w:bookmarkEnd w:id="53"/>
      <w:r w:rsidR="00362F6B" w:rsidRPr="00CD5B0E">
        <w:rPr>
          <w:rFonts w:ascii="Times New Roman" w:hAnsi="Times New Roman" w:cs="Times New Roman"/>
          <w:sz w:val="20"/>
          <w:szCs w:val="20"/>
        </w:rPr>
        <w:t xml:space="preserve"> </w:t>
      </w:r>
    </w:p>
    <w:p w14:paraId="7E8D5BE3" w14:textId="6CCD24C1" w:rsidR="00CA6AAC" w:rsidRPr="00CD5B0E" w:rsidRDefault="00000000" w:rsidP="001E5364">
      <w:pPr>
        <w:pStyle w:val="ListParagraph"/>
        <w:numPr>
          <w:ilvl w:val="0"/>
          <w:numId w:val="3"/>
        </w:numPr>
        <w:spacing w:before="315" w:after="105" w:line="360" w:lineRule="auto"/>
        <w:ind w:leftChars="0"/>
        <w:jc w:val="both"/>
        <w:rPr>
          <w:rFonts w:ascii="Times New Roman" w:hAnsi="Times New Roman" w:cs="Times New Roman"/>
          <w:sz w:val="20"/>
          <w:szCs w:val="20"/>
        </w:rPr>
      </w:pPr>
      <w:r w:rsidRPr="00CD5B0E">
        <w:rPr>
          <w:rFonts w:ascii="Times New Roman" w:hAnsi="Times New Roman" w:cs="Times New Roman"/>
          <w:b/>
          <w:color w:val="000000"/>
          <w:sz w:val="20"/>
          <w:szCs w:val="20"/>
        </w:rPr>
        <w:t>Recent Developments and Future Directions</w:t>
      </w:r>
    </w:p>
    <w:p w14:paraId="100B13DC" w14:textId="7AA5D2E1" w:rsidR="00CA6AAC" w:rsidRPr="00CD5B0E" w:rsidRDefault="00000000" w:rsidP="001E5364">
      <w:pPr>
        <w:pStyle w:val="ListParagraph"/>
        <w:numPr>
          <w:ilvl w:val="1"/>
          <w:numId w:val="3"/>
        </w:numPr>
        <w:spacing w:before="315" w:after="105" w:line="360" w:lineRule="auto"/>
        <w:ind w:leftChars="0" w:left="709"/>
        <w:jc w:val="both"/>
        <w:rPr>
          <w:rFonts w:ascii="Times New Roman" w:hAnsi="Times New Roman" w:cs="Times New Roman"/>
          <w:sz w:val="20"/>
          <w:szCs w:val="20"/>
        </w:rPr>
      </w:pPr>
      <w:r w:rsidRPr="00CD5B0E">
        <w:rPr>
          <w:rFonts w:ascii="Times New Roman" w:hAnsi="Times New Roman" w:cs="Times New Roman"/>
          <w:b/>
          <w:color w:val="000000"/>
          <w:sz w:val="20"/>
          <w:szCs w:val="20"/>
        </w:rPr>
        <w:lastRenderedPageBreak/>
        <w:t>Artificial Intelligence and Copyright Reform</w:t>
      </w:r>
    </w:p>
    <w:p w14:paraId="3F4E6D04" w14:textId="51F70FF8" w:rsidR="00EA2879" w:rsidRPr="00CD5B0E" w:rsidRDefault="00EA2879" w:rsidP="009F062D">
      <w:pPr>
        <w:spacing w:after="210" w:line="360" w:lineRule="auto"/>
        <w:jc w:val="both"/>
        <w:rPr>
          <w:rFonts w:ascii="Times New Roman" w:hAnsi="Times New Roman" w:cs="Times New Roman"/>
          <w:color w:val="000000"/>
          <w:sz w:val="20"/>
          <w:szCs w:val="20"/>
        </w:rPr>
      </w:pPr>
      <w:r w:rsidRPr="00CD5B0E">
        <w:rPr>
          <w:rFonts w:ascii="Times New Roman" w:hAnsi="Times New Roman" w:cs="Times New Roman"/>
          <w:color w:val="000000"/>
          <w:sz w:val="20"/>
          <w:szCs w:val="20"/>
        </w:rPr>
        <w:t xml:space="preserve">Hong Kong is actively addressing emerging challenges posed by artificial intelligence to copyright law. Following a two-month public consultation from July to September 2024, the government is developing comprehensive reforms to the Copyright Ordinance. The proposed amendments include a new </w:t>
      </w:r>
      <w:r w:rsidR="00FB11D4"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text and data mining</w:t>
      </w:r>
      <w:r w:rsidR="00FB11D4"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 xml:space="preserve"> (TDM) exception covering both conventional data mining and AI model training for commercial and non-commercial purposes</w:t>
      </w:r>
      <w:r w:rsidR="00EE6311" w:rsidRPr="00CD5B0E">
        <w:rPr>
          <w:rStyle w:val="FootnoteReference"/>
          <w:rFonts w:ascii="Times New Roman" w:hAnsi="Times New Roman" w:cs="Times New Roman"/>
          <w:color w:val="000000"/>
          <w:sz w:val="20"/>
          <w:szCs w:val="20"/>
        </w:rPr>
        <w:footnoteReference w:id="6"/>
      </w:r>
      <w:r w:rsidRPr="00CD5B0E">
        <w:rPr>
          <w:rFonts w:ascii="Times New Roman" w:hAnsi="Times New Roman" w:cs="Times New Roman"/>
          <w:color w:val="000000"/>
          <w:sz w:val="20"/>
          <w:szCs w:val="20"/>
        </w:rPr>
        <w:t>.</w:t>
      </w:r>
    </w:p>
    <w:p w14:paraId="4410A555" w14:textId="2DEAF983" w:rsidR="00EA2879" w:rsidRPr="00CD5B0E" w:rsidRDefault="00EA2879" w:rsidP="009F062D">
      <w:pPr>
        <w:spacing w:after="210" w:line="360" w:lineRule="auto"/>
        <w:jc w:val="both"/>
        <w:rPr>
          <w:rFonts w:ascii="Times New Roman" w:hAnsi="Times New Roman" w:cs="Times New Roman"/>
          <w:color w:val="000000"/>
          <w:sz w:val="20"/>
          <w:szCs w:val="20"/>
        </w:rPr>
      </w:pPr>
      <w:r w:rsidRPr="00CD5B0E">
        <w:rPr>
          <w:rFonts w:ascii="Times New Roman" w:hAnsi="Times New Roman" w:cs="Times New Roman"/>
          <w:color w:val="000000"/>
          <w:sz w:val="20"/>
          <w:szCs w:val="20"/>
        </w:rPr>
        <w:t xml:space="preserve">The consultation revealed significant stakeholder divisions, with creative industries generally opposing the TDM exception </w:t>
      </w:r>
      <w:r w:rsidR="00DD08B9">
        <w:rPr>
          <w:rFonts w:ascii="Times New Roman" w:hAnsi="Times New Roman" w:cs="Times New Roman"/>
          <w:color w:val="000000"/>
          <w:sz w:val="20"/>
          <w:szCs w:val="20"/>
        </w:rPr>
        <w:t>and</w:t>
      </w:r>
      <w:r w:rsidRPr="00CD5B0E">
        <w:rPr>
          <w:rFonts w:ascii="Times New Roman" w:hAnsi="Times New Roman" w:cs="Times New Roman"/>
          <w:color w:val="000000"/>
          <w:sz w:val="20"/>
          <w:szCs w:val="20"/>
        </w:rPr>
        <w:t xml:space="preserve"> the software industry </w:t>
      </w:r>
      <w:r w:rsidR="00717518">
        <w:rPr>
          <w:rFonts w:ascii="Times New Roman" w:hAnsi="Times New Roman" w:cs="Times New Roman"/>
          <w:color w:val="000000"/>
          <w:sz w:val="20"/>
          <w:szCs w:val="20"/>
        </w:rPr>
        <w:t>supporting</w:t>
      </w:r>
      <w:r w:rsidRPr="00CD5B0E">
        <w:rPr>
          <w:rFonts w:ascii="Times New Roman" w:hAnsi="Times New Roman" w:cs="Times New Roman"/>
          <w:color w:val="000000"/>
          <w:sz w:val="20"/>
          <w:szCs w:val="20"/>
        </w:rPr>
        <w:t xml:space="preserve"> it. Key concerns include protecting copyright holders</w:t>
      </w:r>
      <w:r w:rsidR="00AB2EB8"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 xml:space="preserve"> ability to exploit their works while fostering AI development. The proposed framework includes safeguards such as requiring lawful access and allowing copyright owners to </w:t>
      </w:r>
      <w:r w:rsidR="00FB11D4"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opt out</w:t>
      </w:r>
      <w:r w:rsidR="00FB11D4"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 xml:space="preserve"> of the exception</w:t>
      </w:r>
    </w:p>
    <w:p w14:paraId="0C8F1555" w14:textId="35B9280D" w:rsidR="00467064" w:rsidRPr="00CD5B0E" w:rsidRDefault="00EA2879" w:rsidP="009F062D">
      <w:pPr>
        <w:spacing w:after="210" w:line="360" w:lineRule="auto"/>
        <w:jc w:val="both"/>
        <w:rPr>
          <w:rFonts w:ascii="Times New Roman" w:hAnsi="Times New Roman" w:cs="Times New Roman"/>
          <w:color w:val="000000"/>
          <w:sz w:val="20"/>
          <w:szCs w:val="20"/>
        </w:rPr>
      </w:pPr>
      <w:r w:rsidRPr="00CD5B0E">
        <w:rPr>
          <w:rFonts w:ascii="Times New Roman" w:hAnsi="Times New Roman" w:cs="Times New Roman"/>
          <w:color w:val="000000"/>
          <w:sz w:val="20"/>
          <w:szCs w:val="20"/>
        </w:rPr>
        <w:t>As such, t</w:t>
      </w:r>
      <w:r w:rsidR="00467064" w:rsidRPr="00CD5B0E">
        <w:rPr>
          <w:rFonts w:ascii="Times New Roman" w:hAnsi="Times New Roman" w:cs="Times New Roman"/>
          <w:color w:val="000000"/>
          <w:sz w:val="20"/>
          <w:szCs w:val="20"/>
        </w:rPr>
        <w:t>he government</w:t>
      </w:r>
      <w:r w:rsidR="00AB2EB8" w:rsidRPr="00CD5B0E">
        <w:rPr>
          <w:rFonts w:ascii="Times New Roman" w:hAnsi="Times New Roman" w:cs="Times New Roman"/>
          <w:color w:val="000000"/>
          <w:sz w:val="20"/>
          <w:szCs w:val="20"/>
        </w:rPr>
        <w:t>’</w:t>
      </w:r>
      <w:r w:rsidR="00467064" w:rsidRPr="00CD5B0E">
        <w:rPr>
          <w:rFonts w:ascii="Times New Roman" w:hAnsi="Times New Roman" w:cs="Times New Roman"/>
          <w:color w:val="000000"/>
          <w:sz w:val="20"/>
          <w:szCs w:val="20"/>
        </w:rPr>
        <w:t>s proposed text and data mining (TDM) exception raises fundamental questions: should AI developers be permitted to use copyrighted works for training generative models, and if so, under what parameters?</w:t>
      </w:r>
    </w:p>
    <w:p w14:paraId="3E03F833" w14:textId="172A974E" w:rsidR="00467064" w:rsidRPr="00CD5B0E" w:rsidRDefault="00467064" w:rsidP="009F062D">
      <w:pPr>
        <w:spacing w:after="210" w:line="360" w:lineRule="auto"/>
        <w:jc w:val="both"/>
        <w:rPr>
          <w:rFonts w:ascii="Times New Roman" w:hAnsi="Times New Roman" w:cs="Times New Roman"/>
          <w:color w:val="000000"/>
          <w:sz w:val="20"/>
          <w:szCs w:val="20"/>
        </w:rPr>
      </w:pPr>
      <w:r w:rsidRPr="00CD5B0E">
        <w:rPr>
          <w:rFonts w:ascii="Times New Roman" w:hAnsi="Times New Roman" w:cs="Times New Roman"/>
          <w:color w:val="000000"/>
          <w:sz w:val="20"/>
          <w:szCs w:val="20"/>
        </w:rPr>
        <w:t xml:space="preserve">Safe </w:t>
      </w:r>
      <w:proofErr w:type="spellStart"/>
      <w:r w:rsidRPr="00CD5B0E">
        <w:rPr>
          <w:rFonts w:ascii="Times New Roman" w:hAnsi="Times New Roman" w:cs="Times New Roman"/>
          <w:color w:val="000000"/>
          <w:sz w:val="20"/>
          <w:szCs w:val="20"/>
        </w:rPr>
        <w:t>harbour</w:t>
      </w:r>
      <w:proofErr w:type="spellEnd"/>
      <w:r w:rsidRPr="00CD5B0E">
        <w:rPr>
          <w:rFonts w:ascii="Times New Roman" w:hAnsi="Times New Roman" w:cs="Times New Roman"/>
          <w:color w:val="000000"/>
          <w:sz w:val="20"/>
          <w:szCs w:val="20"/>
        </w:rPr>
        <w:t xml:space="preserve"> provisions are central to this debate. If platforms hosting training datasets are recognised as service providers, they may invoke safe </w:t>
      </w:r>
      <w:proofErr w:type="spellStart"/>
      <w:r w:rsidRPr="00CD5B0E">
        <w:rPr>
          <w:rFonts w:ascii="Times New Roman" w:hAnsi="Times New Roman" w:cs="Times New Roman"/>
          <w:color w:val="000000"/>
          <w:sz w:val="20"/>
          <w:szCs w:val="20"/>
        </w:rPr>
        <w:t>harbour</w:t>
      </w:r>
      <w:proofErr w:type="spellEnd"/>
      <w:r w:rsidRPr="00CD5B0E">
        <w:rPr>
          <w:rFonts w:ascii="Times New Roman" w:hAnsi="Times New Roman" w:cs="Times New Roman"/>
          <w:color w:val="000000"/>
          <w:sz w:val="20"/>
          <w:szCs w:val="20"/>
        </w:rPr>
        <w:t xml:space="preserve"> protection when transmitting or storing works used in TDM, provided that lawful access and takedown compliance are preserved. Yet rights holders caution that such use could undermine copyright incentives. The balancing, once again, is best </w:t>
      </w:r>
      <w:proofErr w:type="spellStart"/>
      <w:r w:rsidRPr="00CD5B0E">
        <w:rPr>
          <w:rFonts w:ascii="Times New Roman" w:hAnsi="Times New Roman" w:cs="Times New Roman"/>
          <w:color w:val="000000"/>
          <w:sz w:val="20"/>
          <w:szCs w:val="20"/>
        </w:rPr>
        <w:t>analysed</w:t>
      </w:r>
      <w:proofErr w:type="spellEnd"/>
      <w:r w:rsidRPr="00CD5B0E">
        <w:rPr>
          <w:rFonts w:ascii="Times New Roman" w:hAnsi="Times New Roman" w:cs="Times New Roman"/>
          <w:color w:val="000000"/>
          <w:sz w:val="20"/>
          <w:szCs w:val="20"/>
        </w:rPr>
        <w:t xml:space="preserve"> through double proportionality: (1) the legitimate aim is AI innovation and maintaining Hong Kong</w:t>
      </w:r>
      <w:r w:rsidR="00AB2EB8"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s competitiveness as a technology hub; (2) the rational connection lies in permitting limited, lawful access to large datasets</w:t>
      </w:r>
      <w:r w:rsidR="006A688B" w:rsidRPr="00CD5B0E">
        <w:rPr>
          <w:rFonts w:ascii="Times New Roman" w:eastAsia="inter" w:hAnsi="Times New Roman" w:cs="Times New Roman"/>
          <w:color w:val="000000"/>
          <w:sz w:val="20"/>
          <w:szCs w:val="20"/>
        </w:rPr>
        <w:t>;</w:t>
      </w:r>
      <w:r w:rsidRPr="00CD5B0E">
        <w:rPr>
          <w:rFonts w:ascii="Times New Roman" w:hAnsi="Times New Roman" w:cs="Times New Roman"/>
          <w:color w:val="000000"/>
          <w:sz w:val="20"/>
          <w:szCs w:val="20"/>
        </w:rPr>
        <w:t xml:space="preserve"> (3) Necessity is satisfied if less restrictive alternatives (e.g., compulsory licensing schemes) are unavailable or impracticable</w:t>
      </w:r>
      <w:r w:rsidR="006A688B" w:rsidRPr="00CD5B0E">
        <w:rPr>
          <w:rFonts w:ascii="Times New Roman" w:eastAsia="inter" w:hAnsi="Times New Roman" w:cs="Times New Roman"/>
          <w:color w:val="000000"/>
          <w:sz w:val="20"/>
          <w:szCs w:val="20"/>
        </w:rPr>
        <w:t>;</w:t>
      </w:r>
      <w:r w:rsidRPr="00CD5B0E">
        <w:rPr>
          <w:rFonts w:ascii="Times New Roman" w:hAnsi="Times New Roman" w:cs="Times New Roman"/>
          <w:color w:val="000000"/>
          <w:sz w:val="20"/>
          <w:szCs w:val="20"/>
        </w:rPr>
        <w:t xml:space="preserve"> (4) Proportionality in the strict sense requires that the societal benefits of AI innovation outweigh the incremental loss to copyright holders, mitigated by opt‑out mechanisms.</w:t>
      </w:r>
    </w:p>
    <w:p w14:paraId="5B98D143" w14:textId="57FB53B7" w:rsidR="00CA6AAC" w:rsidRPr="00CD5B0E" w:rsidRDefault="00467064"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 xml:space="preserve">This reasoning framework ensures that safe </w:t>
      </w:r>
      <w:proofErr w:type="spellStart"/>
      <w:r w:rsidRPr="00CD5B0E">
        <w:rPr>
          <w:rFonts w:ascii="Times New Roman" w:hAnsi="Times New Roman" w:cs="Times New Roman"/>
          <w:color w:val="000000"/>
          <w:sz w:val="20"/>
          <w:szCs w:val="20"/>
        </w:rPr>
        <w:t>harbour</w:t>
      </w:r>
      <w:proofErr w:type="spellEnd"/>
      <w:r w:rsidRPr="00CD5B0E">
        <w:rPr>
          <w:rFonts w:ascii="Times New Roman" w:hAnsi="Times New Roman" w:cs="Times New Roman"/>
          <w:color w:val="000000"/>
          <w:sz w:val="20"/>
          <w:szCs w:val="20"/>
        </w:rPr>
        <w:t xml:space="preserve"> expansions in the AI context remain consistent with constitutional principles while respecting international practice.</w:t>
      </w:r>
      <w:r w:rsidRPr="00CD5B0E">
        <w:rPr>
          <w:rFonts w:ascii="Times New Roman" w:hAnsi="Times New Roman" w:cs="Times New Roman"/>
          <w:sz w:val="20"/>
          <w:szCs w:val="20"/>
        </w:rPr>
        <w:t xml:space="preserve"> </w:t>
      </w:r>
      <w:r w:rsidR="00644E4B" w:rsidRPr="00CD5B0E">
        <w:rPr>
          <w:rFonts w:ascii="Times New Roman" w:hAnsi="Times New Roman" w:cs="Times New Roman"/>
          <w:sz w:val="20"/>
          <w:szCs w:val="20"/>
        </w:rPr>
        <w:t xml:space="preserve">At present, however, the precise </w:t>
      </w:r>
      <w:r w:rsidR="006A688B" w:rsidRPr="00CD5B0E">
        <w:rPr>
          <w:rFonts w:ascii="Times New Roman" w:hAnsi="Times New Roman" w:cs="Times New Roman"/>
          <w:sz w:val="20"/>
          <w:szCs w:val="20"/>
        </w:rPr>
        <w:t>way</w:t>
      </w:r>
      <w:r w:rsidR="00644E4B" w:rsidRPr="00CD5B0E">
        <w:rPr>
          <w:rFonts w:ascii="Times New Roman" w:hAnsi="Times New Roman" w:cs="Times New Roman"/>
          <w:sz w:val="20"/>
          <w:szCs w:val="20"/>
        </w:rPr>
        <w:t xml:space="preserve"> these new TDM provisions will interact with existing safe </w:t>
      </w:r>
      <w:proofErr w:type="spellStart"/>
      <w:r w:rsidR="00644E4B" w:rsidRPr="00CD5B0E">
        <w:rPr>
          <w:rFonts w:ascii="Times New Roman" w:hAnsi="Times New Roman" w:cs="Times New Roman"/>
          <w:sz w:val="20"/>
          <w:szCs w:val="20"/>
        </w:rPr>
        <w:t>harbour</w:t>
      </w:r>
      <w:proofErr w:type="spellEnd"/>
      <w:r w:rsidR="00644E4B" w:rsidRPr="00CD5B0E">
        <w:rPr>
          <w:rFonts w:ascii="Times New Roman" w:hAnsi="Times New Roman" w:cs="Times New Roman"/>
          <w:sz w:val="20"/>
          <w:szCs w:val="20"/>
        </w:rPr>
        <w:t xml:space="preserve"> protections remains unsettled. Further legislative or judicial guidance will be essential to </w:t>
      </w:r>
      <w:proofErr w:type="spellStart"/>
      <w:r w:rsidR="00644E4B" w:rsidRPr="00CD5B0E">
        <w:rPr>
          <w:rFonts w:ascii="Times New Roman" w:hAnsi="Times New Roman" w:cs="Times New Roman"/>
          <w:sz w:val="20"/>
          <w:szCs w:val="20"/>
        </w:rPr>
        <w:t>harmonise</w:t>
      </w:r>
      <w:proofErr w:type="spellEnd"/>
      <w:r w:rsidR="00644E4B" w:rsidRPr="00CD5B0E">
        <w:rPr>
          <w:rFonts w:ascii="Times New Roman" w:hAnsi="Times New Roman" w:cs="Times New Roman"/>
          <w:sz w:val="20"/>
          <w:szCs w:val="20"/>
        </w:rPr>
        <w:t xml:space="preserve"> the statutory framework and ensure legal clarity going forward.</w:t>
      </w:r>
    </w:p>
    <w:p w14:paraId="10A0E5CA" w14:textId="0D58111A" w:rsidR="00CA6AAC" w:rsidRPr="00CD5B0E" w:rsidRDefault="00000000" w:rsidP="008538AB">
      <w:pPr>
        <w:pStyle w:val="ListParagraph"/>
        <w:numPr>
          <w:ilvl w:val="1"/>
          <w:numId w:val="3"/>
        </w:numPr>
        <w:spacing w:before="315" w:after="105" w:line="360" w:lineRule="auto"/>
        <w:ind w:leftChars="0" w:left="851"/>
        <w:jc w:val="both"/>
        <w:rPr>
          <w:rFonts w:ascii="Times New Roman" w:hAnsi="Times New Roman" w:cs="Times New Roman"/>
          <w:sz w:val="20"/>
          <w:szCs w:val="20"/>
        </w:rPr>
      </w:pPr>
      <w:r w:rsidRPr="00CD5B0E">
        <w:rPr>
          <w:rFonts w:ascii="Times New Roman" w:hAnsi="Times New Roman" w:cs="Times New Roman"/>
          <w:b/>
          <w:color w:val="000000"/>
          <w:sz w:val="20"/>
          <w:szCs w:val="20"/>
        </w:rPr>
        <w:t>International Harmonization and Best Practices</w:t>
      </w:r>
    </w:p>
    <w:p w14:paraId="079C1FD2" w14:textId="56ECB83A"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Hong Kong continues monitoring international developments, including World Intellectual Property Organization research and practices in other major jurisdictions. Recent consultations in the UK on AI and copyright, along with EU Digital Services Act developments, inform Hong Kong</w:t>
      </w:r>
      <w:r w:rsidR="00AB2EB8"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s policy considerations. This international awareness ensures Hong Kong</w:t>
      </w:r>
      <w:r w:rsidR="00AB2EB8"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s framework remains compatible with global best practices while addressing local needs.</w:t>
      </w:r>
      <w:bookmarkStart w:id="54" w:name="fnref25:2"/>
      <w:bookmarkStart w:id="55" w:name="fnref27:3"/>
      <w:bookmarkEnd w:id="54"/>
      <w:bookmarkEnd w:id="55"/>
      <w:r w:rsidR="000D4275" w:rsidRPr="00CD5B0E">
        <w:rPr>
          <w:rFonts w:ascii="Times New Roman" w:hAnsi="Times New Roman" w:cs="Times New Roman"/>
          <w:sz w:val="20"/>
          <w:szCs w:val="20"/>
        </w:rPr>
        <w:t xml:space="preserve"> </w:t>
      </w:r>
    </w:p>
    <w:p w14:paraId="0B7D7FED" w14:textId="32CEB72B"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The government</w:t>
      </w:r>
      <w:r w:rsidR="00AB2EB8"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s approach emphasizes maintaining Hong Kong</w:t>
      </w:r>
      <w:r w:rsidR="00AB2EB8"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s position as a regional intellectual property trading center and international innovation hub while supporting the development of cultural and creative industries. This multi-</w:t>
      </w:r>
      <w:r w:rsidRPr="00CD5B0E">
        <w:rPr>
          <w:rFonts w:ascii="Times New Roman" w:hAnsi="Times New Roman" w:cs="Times New Roman"/>
          <w:color w:val="000000"/>
          <w:sz w:val="20"/>
          <w:szCs w:val="20"/>
        </w:rPr>
        <w:lastRenderedPageBreak/>
        <w:t>faceted strategy recognizes the interconnected nature of IP protection, technological innovation, and economic development.</w:t>
      </w:r>
      <w:bookmarkStart w:id="56" w:name="fnref25:3"/>
      <w:bookmarkEnd w:id="56"/>
      <w:r w:rsidR="00B32970" w:rsidRPr="00CD5B0E">
        <w:rPr>
          <w:rFonts w:ascii="Times New Roman" w:hAnsi="Times New Roman" w:cs="Times New Roman"/>
          <w:sz w:val="20"/>
          <w:szCs w:val="20"/>
        </w:rPr>
        <w:t xml:space="preserve"> </w:t>
      </w:r>
    </w:p>
    <w:p w14:paraId="68A16942" w14:textId="37817D49" w:rsidR="00CA6AAC" w:rsidRPr="00CD5B0E" w:rsidRDefault="00000000" w:rsidP="00B32970">
      <w:pPr>
        <w:pStyle w:val="ListParagraph"/>
        <w:numPr>
          <w:ilvl w:val="0"/>
          <w:numId w:val="3"/>
        </w:numPr>
        <w:spacing w:before="315" w:after="105" w:line="360" w:lineRule="auto"/>
        <w:ind w:leftChars="0"/>
        <w:jc w:val="both"/>
        <w:rPr>
          <w:rFonts w:ascii="Times New Roman" w:hAnsi="Times New Roman" w:cs="Times New Roman"/>
          <w:sz w:val="20"/>
          <w:szCs w:val="20"/>
        </w:rPr>
      </w:pPr>
      <w:r w:rsidRPr="00CD5B0E">
        <w:rPr>
          <w:rFonts w:ascii="Times New Roman" w:hAnsi="Times New Roman" w:cs="Times New Roman"/>
          <w:b/>
          <w:color w:val="000000"/>
          <w:sz w:val="20"/>
          <w:szCs w:val="20"/>
        </w:rPr>
        <w:t>Comparative Analysis and International Context</w:t>
      </w:r>
    </w:p>
    <w:p w14:paraId="134FF1BB" w14:textId="5E36E8EE" w:rsidR="00CA6AAC" w:rsidRPr="00CD5B0E" w:rsidRDefault="00000000" w:rsidP="00B32970">
      <w:pPr>
        <w:pStyle w:val="ListParagraph"/>
        <w:numPr>
          <w:ilvl w:val="1"/>
          <w:numId w:val="3"/>
        </w:numPr>
        <w:spacing w:before="315" w:after="105" w:line="360" w:lineRule="auto"/>
        <w:ind w:leftChars="0" w:left="709"/>
        <w:jc w:val="both"/>
        <w:rPr>
          <w:rFonts w:ascii="Times New Roman" w:hAnsi="Times New Roman" w:cs="Times New Roman"/>
          <w:sz w:val="20"/>
          <w:szCs w:val="20"/>
        </w:rPr>
      </w:pPr>
      <w:r w:rsidRPr="00CD5B0E">
        <w:rPr>
          <w:rFonts w:ascii="Times New Roman" w:hAnsi="Times New Roman" w:cs="Times New Roman"/>
          <w:b/>
          <w:color w:val="000000"/>
          <w:sz w:val="20"/>
          <w:szCs w:val="20"/>
        </w:rPr>
        <w:t>Relationship to Other Jurisdictions</w:t>
      </w:r>
    </w:p>
    <w:p w14:paraId="7CF943DC" w14:textId="5666C8A9"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Hong Kong</w:t>
      </w:r>
      <w:r w:rsidR="00AB2EB8"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 xml:space="preserve">s approach to platform liability demonstrates both convergence with and divergence from international models. The safe </w:t>
      </w:r>
      <w:proofErr w:type="spellStart"/>
      <w:r w:rsidRPr="00CD5B0E">
        <w:rPr>
          <w:rFonts w:ascii="Times New Roman" w:hAnsi="Times New Roman" w:cs="Times New Roman"/>
          <w:color w:val="000000"/>
          <w:sz w:val="20"/>
          <w:szCs w:val="20"/>
        </w:rPr>
        <w:t>harbour</w:t>
      </w:r>
      <w:proofErr w:type="spellEnd"/>
      <w:r w:rsidRPr="00CD5B0E">
        <w:rPr>
          <w:rFonts w:ascii="Times New Roman" w:hAnsi="Times New Roman" w:cs="Times New Roman"/>
          <w:color w:val="000000"/>
          <w:sz w:val="20"/>
          <w:szCs w:val="20"/>
        </w:rPr>
        <w:t xml:space="preserve"> framework closely follows US Digital Millennium Copyright Act principles and EU E-Commerce Directive approaches, while the judicial interpretation of joint </w:t>
      </w:r>
      <w:proofErr w:type="spellStart"/>
      <w:r w:rsidRPr="00CD5B0E">
        <w:rPr>
          <w:rFonts w:ascii="Times New Roman" w:hAnsi="Times New Roman" w:cs="Times New Roman"/>
          <w:color w:val="000000"/>
          <w:sz w:val="20"/>
          <w:szCs w:val="20"/>
        </w:rPr>
        <w:t>tortfeasorship</w:t>
      </w:r>
      <w:proofErr w:type="spellEnd"/>
      <w:r w:rsidRPr="00CD5B0E">
        <w:rPr>
          <w:rFonts w:ascii="Times New Roman" w:hAnsi="Times New Roman" w:cs="Times New Roman"/>
          <w:color w:val="000000"/>
          <w:sz w:val="20"/>
          <w:szCs w:val="20"/>
        </w:rPr>
        <w:t xml:space="preserve"> reflects common law traditions shared with the UK and Australia.</w:t>
      </w:r>
      <w:bookmarkStart w:id="57" w:name="fnref10:5"/>
      <w:bookmarkStart w:id="58" w:name="fnref6:3"/>
      <w:bookmarkEnd w:id="57"/>
      <w:bookmarkEnd w:id="58"/>
      <w:r w:rsidR="002108FD" w:rsidRPr="00CD5B0E">
        <w:rPr>
          <w:rFonts w:ascii="Times New Roman" w:hAnsi="Times New Roman" w:cs="Times New Roman"/>
          <w:sz w:val="20"/>
          <w:szCs w:val="20"/>
        </w:rPr>
        <w:t xml:space="preserve"> </w:t>
      </w:r>
    </w:p>
    <w:p w14:paraId="01AD4038" w14:textId="0291CF20"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 xml:space="preserve">The </w:t>
      </w:r>
      <w:r w:rsidRPr="00CD5B0E">
        <w:rPr>
          <w:rFonts w:ascii="Times New Roman" w:hAnsi="Times New Roman" w:cs="Times New Roman"/>
          <w:i/>
          <w:color w:val="000000"/>
          <w:sz w:val="20"/>
          <w:szCs w:val="20"/>
        </w:rPr>
        <w:t>Mary Kay</w:t>
      </w:r>
      <w:r w:rsidRPr="00CD5B0E">
        <w:rPr>
          <w:rFonts w:ascii="Times New Roman" w:hAnsi="Times New Roman" w:cs="Times New Roman"/>
          <w:color w:val="000000"/>
          <w:sz w:val="20"/>
          <w:szCs w:val="20"/>
        </w:rPr>
        <w:t xml:space="preserve"> decision</w:t>
      </w:r>
      <w:r w:rsidR="00AB2EB8"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 xml:space="preserve">s reliance on the English </w:t>
      </w:r>
      <w:r w:rsidR="00573A16" w:rsidRPr="00CD5B0E">
        <w:rPr>
          <w:rFonts w:ascii="Times New Roman" w:hAnsi="Times New Roman" w:cs="Times New Roman"/>
          <w:i/>
          <w:color w:val="000000"/>
          <w:sz w:val="20"/>
          <w:szCs w:val="20"/>
        </w:rPr>
        <w:t>L</w:t>
      </w:r>
      <w:r w:rsidR="00AB2EB8" w:rsidRPr="00CD5B0E">
        <w:rPr>
          <w:rFonts w:ascii="Times New Roman" w:hAnsi="Times New Roman" w:cs="Times New Roman"/>
          <w:i/>
          <w:color w:val="000000"/>
          <w:sz w:val="20"/>
          <w:szCs w:val="20"/>
        </w:rPr>
        <w:t>’</w:t>
      </w:r>
      <w:r w:rsidR="00573A16" w:rsidRPr="00CD5B0E">
        <w:rPr>
          <w:rFonts w:ascii="Times New Roman" w:hAnsi="Times New Roman" w:cs="Times New Roman"/>
          <w:i/>
          <w:color w:val="000000"/>
          <w:sz w:val="20"/>
          <w:szCs w:val="20"/>
        </w:rPr>
        <w:t xml:space="preserve">Oreal SA v eBay International AG </w:t>
      </w:r>
      <w:r w:rsidR="00573A16" w:rsidRPr="00CD5B0E">
        <w:rPr>
          <w:rFonts w:ascii="Times New Roman" w:hAnsi="Times New Roman" w:cs="Times New Roman"/>
          <w:color w:val="000000"/>
          <w:sz w:val="20"/>
          <w:szCs w:val="20"/>
        </w:rPr>
        <w:t>[2009] RPC 21</w:t>
      </w:r>
      <w:r w:rsidRPr="00CD5B0E">
        <w:rPr>
          <w:rFonts w:ascii="Times New Roman" w:hAnsi="Times New Roman" w:cs="Times New Roman"/>
          <w:color w:val="000000"/>
          <w:sz w:val="20"/>
          <w:szCs w:val="20"/>
        </w:rPr>
        <w:t xml:space="preserve"> precedent illustrates Hong Kong courts</w:t>
      </w:r>
      <w:r w:rsidR="00AB2EB8" w:rsidRPr="00CD5B0E">
        <w:rPr>
          <w:rFonts w:ascii="Times New Roman" w:hAnsi="Times New Roman" w:cs="Times New Roman"/>
          <w:color w:val="000000"/>
          <w:sz w:val="20"/>
          <w:szCs w:val="20"/>
        </w:rPr>
        <w:t>’</w:t>
      </w:r>
      <w:r w:rsidR="00916AC2" w:rsidRPr="00CD5B0E">
        <w:rPr>
          <w:rFonts w:ascii="Times New Roman" w:hAnsi="Times New Roman" w:cs="Times New Roman"/>
          <w:color w:val="000000"/>
          <w:sz w:val="20"/>
          <w:szCs w:val="20"/>
        </w:rPr>
        <w:t xml:space="preserve"> </w:t>
      </w:r>
      <w:r w:rsidRPr="00CD5B0E">
        <w:rPr>
          <w:rFonts w:ascii="Times New Roman" w:hAnsi="Times New Roman" w:cs="Times New Roman"/>
          <w:color w:val="000000"/>
          <w:sz w:val="20"/>
          <w:szCs w:val="20"/>
        </w:rPr>
        <w:t>willingness to draw on comparative jurisprudence while adapting principles to local circumstances. This approach maintains coherence with broader common law development while ensuring Hong Kong law addresses specific regional challenges.</w:t>
      </w:r>
      <w:bookmarkStart w:id="59" w:name="fnref13:2"/>
      <w:bookmarkStart w:id="60" w:name="fnref5:3"/>
      <w:bookmarkEnd w:id="59"/>
      <w:bookmarkEnd w:id="60"/>
      <w:r w:rsidR="001B0835" w:rsidRPr="00CD5B0E">
        <w:rPr>
          <w:rFonts w:ascii="Times New Roman" w:hAnsi="Times New Roman" w:cs="Times New Roman"/>
          <w:sz w:val="20"/>
          <w:szCs w:val="20"/>
        </w:rPr>
        <w:t xml:space="preserve"> </w:t>
      </w:r>
    </w:p>
    <w:p w14:paraId="6E854A08" w14:textId="593AC8AF" w:rsidR="00CA6AAC" w:rsidRPr="00CD5B0E" w:rsidRDefault="00000000" w:rsidP="002108FD">
      <w:pPr>
        <w:pStyle w:val="ListParagraph"/>
        <w:numPr>
          <w:ilvl w:val="1"/>
          <w:numId w:val="3"/>
        </w:numPr>
        <w:spacing w:before="315" w:after="105" w:line="360" w:lineRule="auto"/>
        <w:ind w:leftChars="0" w:left="709"/>
        <w:jc w:val="both"/>
        <w:rPr>
          <w:rFonts w:ascii="Times New Roman" w:hAnsi="Times New Roman" w:cs="Times New Roman"/>
          <w:sz w:val="20"/>
          <w:szCs w:val="20"/>
        </w:rPr>
      </w:pPr>
      <w:r w:rsidRPr="00CD5B0E">
        <w:rPr>
          <w:rFonts w:ascii="Times New Roman" w:hAnsi="Times New Roman" w:cs="Times New Roman"/>
          <w:b/>
          <w:color w:val="000000"/>
          <w:sz w:val="20"/>
          <w:szCs w:val="20"/>
        </w:rPr>
        <w:t>Implications for Cross-Border Commerce</w:t>
      </w:r>
    </w:p>
    <w:p w14:paraId="0A75FCC3" w14:textId="02BC8E68"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The jurisdictional aspects of platform liability cases have significant implications for international e-commerce. Hong Kong</w:t>
      </w:r>
      <w:r w:rsidR="00AB2EB8"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s court</w:t>
      </w:r>
      <w:r w:rsidR="00F823FB" w:rsidRPr="00CD5B0E">
        <w:rPr>
          <w:rFonts w:ascii="Times New Roman" w:hAnsi="Times New Roman" w:cs="Times New Roman"/>
          <w:color w:val="000000"/>
          <w:sz w:val="20"/>
          <w:szCs w:val="20"/>
        </w:rPr>
        <w:t xml:space="preserve"> in </w:t>
      </w:r>
      <w:r w:rsidR="00F823FB" w:rsidRPr="00CD5B0E">
        <w:rPr>
          <w:rFonts w:ascii="Times New Roman" w:hAnsi="Times New Roman" w:cs="Times New Roman"/>
          <w:i/>
          <w:color w:val="000000"/>
          <w:sz w:val="20"/>
          <w:szCs w:val="20"/>
        </w:rPr>
        <w:t xml:space="preserve">Mary Kay </w:t>
      </w:r>
      <w:r w:rsidRPr="00CD5B0E">
        <w:rPr>
          <w:rFonts w:ascii="Times New Roman" w:hAnsi="Times New Roman" w:cs="Times New Roman"/>
          <w:color w:val="000000"/>
          <w:sz w:val="20"/>
          <w:szCs w:val="20"/>
        </w:rPr>
        <w:t>demonstrated skepticism toward</w:t>
      </w:r>
      <w:r w:rsidR="00C566FB">
        <w:rPr>
          <w:rFonts w:ascii="Times New Roman" w:hAnsi="Times New Roman" w:cs="Times New Roman"/>
          <w:color w:val="000000"/>
          <w:sz w:val="20"/>
          <w:szCs w:val="20"/>
        </w:rPr>
        <w:t>s</w:t>
      </w:r>
      <w:r w:rsidRPr="00CD5B0E">
        <w:rPr>
          <w:rFonts w:ascii="Times New Roman" w:hAnsi="Times New Roman" w:cs="Times New Roman"/>
          <w:color w:val="000000"/>
          <w:sz w:val="20"/>
          <w:szCs w:val="20"/>
        </w:rPr>
        <w:t xml:space="preserve"> forum shopping while maintaining openness to genuine connections with Hong Kong. This balanced approach supports Hong Kong</w:t>
      </w:r>
      <w:r w:rsidR="00AB2EB8"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s role as an international commercial center while preventing abuse of its legal system.</w:t>
      </w:r>
      <w:bookmarkStart w:id="61" w:name="fnref4:3"/>
      <w:bookmarkStart w:id="62" w:name="fnref3:6"/>
      <w:bookmarkEnd w:id="61"/>
      <w:bookmarkEnd w:id="62"/>
      <w:r w:rsidR="00F823FB" w:rsidRPr="00CD5B0E">
        <w:rPr>
          <w:rFonts w:ascii="Times New Roman" w:hAnsi="Times New Roman" w:cs="Times New Roman"/>
          <w:sz w:val="20"/>
          <w:szCs w:val="20"/>
        </w:rPr>
        <w:t xml:space="preserve"> </w:t>
      </w:r>
    </w:p>
    <w:p w14:paraId="6B6E85CD" w14:textId="2599F55A"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The emphasis on genuine targeting of Hong Kong consumers, rather than mere accessibility of platforms, provides clarity for international businesses operating in the region. This principle helps define the boundaries of Hong Kong court jurisdiction in an increasingly interconnected digital economy.</w:t>
      </w:r>
      <w:bookmarkStart w:id="63" w:name="fnref3:7"/>
      <w:bookmarkEnd w:id="63"/>
      <w:r w:rsidR="001B0835" w:rsidRPr="00CD5B0E">
        <w:rPr>
          <w:rFonts w:ascii="Times New Roman" w:hAnsi="Times New Roman" w:cs="Times New Roman"/>
          <w:sz w:val="20"/>
          <w:szCs w:val="20"/>
        </w:rPr>
        <w:t xml:space="preserve"> </w:t>
      </w:r>
    </w:p>
    <w:p w14:paraId="0A0FF5D3" w14:textId="7793E263" w:rsidR="00CA6AAC" w:rsidRPr="00CD5B0E" w:rsidRDefault="00000000" w:rsidP="008B7914">
      <w:pPr>
        <w:pStyle w:val="ListParagraph"/>
        <w:numPr>
          <w:ilvl w:val="0"/>
          <w:numId w:val="3"/>
        </w:numPr>
        <w:spacing w:before="315" w:after="105" w:line="360" w:lineRule="auto"/>
        <w:ind w:leftChars="0"/>
        <w:jc w:val="both"/>
        <w:rPr>
          <w:rFonts w:ascii="Times New Roman" w:hAnsi="Times New Roman" w:cs="Times New Roman"/>
          <w:sz w:val="20"/>
          <w:szCs w:val="20"/>
        </w:rPr>
      </w:pPr>
      <w:r w:rsidRPr="00CD5B0E">
        <w:rPr>
          <w:rFonts w:ascii="Times New Roman" w:hAnsi="Times New Roman" w:cs="Times New Roman"/>
          <w:b/>
          <w:color w:val="000000"/>
          <w:sz w:val="20"/>
          <w:szCs w:val="20"/>
        </w:rPr>
        <w:t>Conclusion</w:t>
      </w:r>
    </w:p>
    <w:p w14:paraId="215645CB" w14:textId="1FBF1BF5"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Hong Kong</w:t>
      </w:r>
      <w:r w:rsidR="00AB2EB8"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s legal regime for online platform responsibility in intellectual property and unfair competition cases represents a sophisticated balance between competing interests and values. The framework</w:t>
      </w:r>
      <w:r w:rsidR="00AB2EB8"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 xml:space="preserve">s strengths lie in its procedural fairness, clear statutory guidance, and judicial restraint in assigning secondary liability without proof of active participation in wrongdoing. The </w:t>
      </w:r>
      <w:r w:rsidRPr="00CD5B0E">
        <w:rPr>
          <w:rFonts w:ascii="Times New Roman" w:hAnsi="Times New Roman" w:cs="Times New Roman"/>
          <w:i/>
          <w:color w:val="000000"/>
          <w:sz w:val="20"/>
          <w:szCs w:val="20"/>
        </w:rPr>
        <w:t>Mary Kay</w:t>
      </w:r>
      <w:r w:rsidRPr="00CD5B0E">
        <w:rPr>
          <w:rFonts w:ascii="Times New Roman" w:hAnsi="Times New Roman" w:cs="Times New Roman"/>
          <w:color w:val="000000"/>
          <w:sz w:val="20"/>
          <w:szCs w:val="20"/>
        </w:rPr>
        <w:t xml:space="preserve"> decision provides crucial clarity on joint </w:t>
      </w:r>
      <w:proofErr w:type="spellStart"/>
      <w:r w:rsidRPr="00CD5B0E">
        <w:rPr>
          <w:rFonts w:ascii="Times New Roman" w:hAnsi="Times New Roman" w:cs="Times New Roman"/>
          <w:color w:val="000000"/>
          <w:sz w:val="20"/>
          <w:szCs w:val="20"/>
        </w:rPr>
        <w:t>tortfeasorship</w:t>
      </w:r>
      <w:proofErr w:type="spellEnd"/>
      <w:r w:rsidRPr="00CD5B0E">
        <w:rPr>
          <w:rFonts w:ascii="Times New Roman" w:hAnsi="Times New Roman" w:cs="Times New Roman"/>
          <w:color w:val="000000"/>
          <w:sz w:val="20"/>
          <w:szCs w:val="20"/>
        </w:rPr>
        <w:t xml:space="preserve"> principles while reinforcing the importance of genuine rather than manufactured connections to Hong Kong jurisdiction.</w:t>
      </w:r>
      <w:bookmarkStart w:id="64" w:name="fnref1:4"/>
      <w:bookmarkStart w:id="65" w:name="fnref5:4"/>
      <w:bookmarkStart w:id="66" w:name="fnref3:8"/>
      <w:bookmarkEnd w:id="64"/>
      <w:bookmarkEnd w:id="65"/>
      <w:bookmarkEnd w:id="66"/>
      <w:r w:rsidR="00076F05" w:rsidRPr="00CD5B0E">
        <w:rPr>
          <w:rFonts w:ascii="Times New Roman" w:hAnsi="Times New Roman" w:cs="Times New Roman"/>
          <w:sz w:val="20"/>
          <w:szCs w:val="20"/>
        </w:rPr>
        <w:t xml:space="preserve"> </w:t>
      </w:r>
    </w:p>
    <w:p w14:paraId="05C041AF" w14:textId="5FC77F27"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t xml:space="preserve">The </w:t>
      </w:r>
      <w:r w:rsidR="006A688B" w:rsidRPr="00CD5B0E">
        <w:rPr>
          <w:rFonts w:ascii="Times New Roman" w:eastAsia="inter" w:hAnsi="Times New Roman" w:cs="Times New Roman"/>
          <w:color w:val="000000"/>
          <w:sz w:val="20"/>
          <w:szCs w:val="20"/>
        </w:rPr>
        <w:t xml:space="preserve">current legal </w:t>
      </w:r>
      <w:proofErr w:type="spellStart"/>
      <w:r w:rsidR="006A688B" w:rsidRPr="00CD5B0E">
        <w:rPr>
          <w:rFonts w:ascii="Times New Roman" w:eastAsia="inter" w:hAnsi="Times New Roman" w:cs="Times New Roman"/>
          <w:color w:val="000000"/>
          <w:sz w:val="20"/>
          <w:szCs w:val="20"/>
        </w:rPr>
        <w:t>freamwork</w:t>
      </w:r>
      <w:proofErr w:type="spellEnd"/>
      <w:r w:rsidRPr="00CD5B0E">
        <w:rPr>
          <w:rFonts w:ascii="Times New Roman" w:hAnsi="Times New Roman" w:cs="Times New Roman"/>
          <w:color w:val="000000"/>
          <w:sz w:val="20"/>
          <w:szCs w:val="20"/>
        </w:rPr>
        <w:t xml:space="preserve"> successfully avoids imposing general monitoring duties that could chill innovation and legitimate expression while maintaining meaningful protections for intellectual property rights through targeted notice-and-takedown procedures. The upcoming reforms addressing artificial intelligence and data mining demonstrate Hong Kong</w:t>
      </w:r>
      <w:r w:rsidR="00AB2EB8"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s commitment to maintaining a current and responsive legal framework.</w:t>
      </w:r>
      <w:bookmarkStart w:id="67" w:name="fnref9:4"/>
      <w:bookmarkStart w:id="68" w:name="fnref7:5"/>
      <w:bookmarkStart w:id="69" w:name="fnref8:8"/>
      <w:bookmarkEnd w:id="67"/>
      <w:bookmarkEnd w:id="68"/>
      <w:bookmarkEnd w:id="69"/>
      <w:r w:rsidR="002A089E" w:rsidRPr="00CD5B0E">
        <w:rPr>
          <w:rFonts w:ascii="Times New Roman" w:hAnsi="Times New Roman" w:cs="Times New Roman"/>
          <w:sz w:val="20"/>
          <w:szCs w:val="20"/>
        </w:rPr>
        <w:t xml:space="preserve"> </w:t>
      </w:r>
    </w:p>
    <w:p w14:paraId="3BA48E3F" w14:textId="5BB800FE" w:rsidR="00CA6AAC" w:rsidRPr="00CD5B0E" w:rsidRDefault="00000000" w:rsidP="009F062D">
      <w:pPr>
        <w:spacing w:after="210" w:line="360" w:lineRule="auto"/>
        <w:jc w:val="both"/>
        <w:rPr>
          <w:rFonts w:ascii="Times New Roman" w:hAnsi="Times New Roman" w:cs="Times New Roman"/>
          <w:sz w:val="20"/>
          <w:szCs w:val="20"/>
        </w:rPr>
      </w:pPr>
      <w:r w:rsidRPr="00CD5B0E">
        <w:rPr>
          <w:rFonts w:ascii="Times New Roman" w:hAnsi="Times New Roman" w:cs="Times New Roman"/>
          <w:color w:val="000000"/>
          <w:sz w:val="20"/>
          <w:szCs w:val="20"/>
        </w:rPr>
        <w:lastRenderedPageBreak/>
        <w:t>However, as online commerce becomes increasingly sophisticated and AI-driven content moderation more prevalent, continued vigilance will be essential. The challenge lies in preserving the current framework</w:t>
      </w:r>
      <w:r w:rsidR="00AB2EB8"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s balanced approach while adapting to new technologies and business models. Future reforms must ensure that exceptions for legitimate activities like criticism, parody, and fair dealing remain meaningful even as automated systems become more sophisticated.</w:t>
      </w:r>
      <w:bookmarkStart w:id="70" w:name="fnref11:5"/>
      <w:bookmarkStart w:id="71" w:name="fnref25:4"/>
      <w:bookmarkEnd w:id="70"/>
      <w:bookmarkEnd w:id="71"/>
      <w:r w:rsidR="0036171E" w:rsidRPr="00CD5B0E">
        <w:rPr>
          <w:rFonts w:ascii="Times New Roman" w:hAnsi="Times New Roman" w:cs="Times New Roman"/>
          <w:sz w:val="20"/>
          <w:szCs w:val="20"/>
        </w:rPr>
        <w:t xml:space="preserve"> </w:t>
      </w:r>
    </w:p>
    <w:p w14:paraId="4FD3A1B7" w14:textId="64AC1711" w:rsidR="00CC64F8" w:rsidRPr="00CD5B0E" w:rsidRDefault="00000000" w:rsidP="00442430">
      <w:pPr>
        <w:spacing w:after="210" w:line="360" w:lineRule="auto"/>
        <w:jc w:val="both"/>
        <w:rPr>
          <w:rFonts w:ascii="Times New Roman" w:hAnsi="Times New Roman" w:cs="Times New Roman"/>
          <w:color w:val="000000"/>
          <w:sz w:val="20"/>
          <w:szCs w:val="20"/>
        </w:rPr>
      </w:pPr>
      <w:r w:rsidRPr="00CD5B0E">
        <w:rPr>
          <w:rFonts w:ascii="Times New Roman" w:hAnsi="Times New Roman" w:cs="Times New Roman"/>
          <w:color w:val="000000"/>
          <w:sz w:val="20"/>
          <w:szCs w:val="20"/>
        </w:rPr>
        <w:t>The Hong Kong model offers valuable lessons for other jurisdictions seeking to balance innovation, intellectual property protection, and fundamental rights in the digital economy. Its emphasis on procedural safeguards, technological neutrality, and principled judicial interpretation provides a foundation for addressing emerging challenges while maintaining legal certainty and respect for competing interests. As the digital landscape continues to evolve, Hong Kong</w:t>
      </w:r>
      <w:r w:rsidR="00AB2EB8" w:rsidRPr="00CD5B0E">
        <w:rPr>
          <w:rFonts w:ascii="Times New Roman" w:hAnsi="Times New Roman" w:cs="Times New Roman"/>
          <w:color w:val="000000"/>
          <w:sz w:val="20"/>
          <w:szCs w:val="20"/>
        </w:rPr>
        <w:t>’</w:t>
      </w:r>
      <w:r w:rsidRPr="00CD5B0E">
        <w:rPr>
          <w:rFonts w:ascii="Times New Roman" w:hAnsi="Times New Roman" w:cs="Times New Roman"/>
          <w:color w:val="000000"/>
          <w:sz w:val="20"/>
          <w:szCs w:val="20"/>
        </w:rPr>
        <w:t>s adaptive yet principled approach positions it well to remain a leading jurisdiction for resolving complex platform liability issues in the Asia-Pacific region and beyond.</w:t>
      </w:r>
      <w:r w:rsidR="00036D30" w:rsidRPr="00CD5B0E">
        <w:rPr>
          <w:rFonts w:ascii="Times New Roman" w:hAnsi="Times New Roman" w:cs="Times New Roman"/>
          <w:color w:val="000000"/>
          <w:sz w:val="20"/>
          <w:szCs w:val="20"/>
        </w:rPr>
        <w:t xml:space="preserve"> </w:t>
      </w:r>
    </w:p>
    <w:sectPr w:rsidR="00CC64F8" w:rsidRPr="00CD5B0E">
      <w:footerReference w:type="even" r:id="rId8"/>
      <w:footerReference w:type="default" r:id="rId9"/>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16206" w14:textId="77777777" w:rsidR="009B5192" w:rsidRDefault="009B5192" w:rsidP="00996DC7">
      <w:pPr>
        <w:spacing w:after="0" w:line="240" w:lineRule="auto"/>
      </w:pPr>
      <w:r>
        <w:separator/>
      </w:r>
    </w:p>
  </w:endnote>
  <w:endnote w:type="continuationSeparator" w:id="0">
    <w:p w14:paraId="1DB683C0" w14:textId="77777777" w:rsidR="009B5192" w:rsidRDefault="009B5192" w:rsidP="00996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ter">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7916681"/>
      <w:docPartObj>
        <w:docPartGallery w:val="Page Numbers (Bottom of Page)"/>
        <w:docPartUnique/>
      </w:docPartObj>
    </w:sdtPr>
    <w:sdtContent>
      <w:p w14:paraId="34D53E79" w14:textId="380B0180" w:rsidR="00FC5D49" w:rsidRDefault="00FC5D49" w:rsidP="00372F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72A29D" w14:textId="77777777" w:rsidR="00FC5D49" w:rsidRDefault="00FC5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0"/>
        <w:szCs w:val="20"/>
      </w:rPr>
      <w:id w:val="117879351"/>
      <w:docPartObj>
        <w:docPartGallery w:val="Page Numbers (Bottom of Page)"/>
        <w:docPartUnique/>
      </w:docPartObj>
    </w:sdtPr>
    <w:sdtContent>
      <w:p w14:paraId="43B2EBC8" w14:textId="28AB6DEE" w:rsidR="00FC5D49" w:rsidRPr="009D12F2" w:rsidRDefault="00FC5D49" w:rsidP="00372F73">
        <w:pPr>
          <w:pStyle w:val="Footer"/>
          <w:framePr w:wrap="none" w:vAnchor="text" w:hAnchor="margin" w:xAlign="center" w:y="1"/>
          <w:rPr>
            <w:rStyle w:val="PageNumber"/>
            <w:rFonts w:ascii="Times New Roman" w:hAnsi="Times New Roman" w:cs="Times New Roman"/>
            <w:sz w:val="20"/>
            <w:szCs w:val="20"/>
          </w:rPr>
        </w:pPr>
        <w:r w:rsidRPr="009D12F2">
          <w:rPr>
            <w:rStyle w:val="PageNumber"/>
            <w:rFonts w:ascii="Times New Roman" w:hAnsi="Times New Roman" w:cs="Times New Roman"/>
            <w:sz w:val="20"/>
            <w:szCs w:val="20"/>
          </w:rPr>
          <w:fldChar w:fldCharType="begin"/>
        </w:r>
        <w:r w:rsidRPr="009D12F2">
          <w:rPr>
            <w:rStyle w:val="PageNumber"/>
            <w:rFonts w:ascii="Times New Roman" w:hAnsi="Times New Roman" w:cs="Times New Roman"/>
            <w:sz w:val="20"/>
            <w:szCs w:val="20"/>
          </w:rPr>
          <w:instrText xml:space="preserve"> PAGE </w:instrText>
        </w:r>
        <w:r w:rsidRPr="009D12F2">
          <w:rPr>
            <w:rStyle w:val="PageNumber"/>
            <w:rFonts w:ascii="Times New Roman" w:hAnsi="Times New Roman" w:cs="Times New Roman"/>
            <w:sz w:val="20"/>
            <w:szCs w:val="20"/>
          </w:rPr>
          <w:fldChar w:fldCharType="separate"/>
        </w:r>
        <w:r w:rsidRPr="009D12F2">
          <w:rPr>
            <w:rStyle w:val="PageNumber"/>
            <w:rFonts w:ascii="Times New Roman" w:hAnsi="Times New Roman" w:cs="Times New Roman"/>
            <w:noProof/>
            <w:sz w:val="20"/>
            <w:szCs w:val="20"/>
          </w:rPr>
          <w:t>3</w:t>
        </w:r>
        <w:r w:rsidRPr="009D12F2">
          <w:rPr>
            <w:rStyle w:val="PageNumber"/>
            <w:rFonts w:ascii="Times New Roman" w:hAnsi="Times New Roman" w:cs="Times New Roman"/>
            <w:sz w:val="20"/>
            <w:szCs w:val="20"/>
          </w:rPr>
          <w:fldChar w:fldCharType="end"/>
        </w:r>
      </w:p>
    </w:sdtContent>
  </w:sdt>
  <w:p w14:paraId="1AE02D97" w14:textId="77777777" w:rsidR="00375583" w:rsidRPr="009D12F2" w:rsidRDefault="00375583">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3A568" w14:textId="77777777" w:rsidR="009B5192" w:rsidRDefault="009B5192" w:rsidP="00996DC7">
      <w:pPr>
        <w:spacing w:after="0" w:line="240" w:lineRule="auto"/>
      </w:pPr>
      <w:r>
        <w:separator/>
      </w:r>
    </w:p>
  </w:footnote>
  <w:footnote w:type="continuationSeparator" w:id="0">
    <w:p w14:paraId="3ACB52A0" w14:textId="77777777" w:rsidR="009B5192" w:rsidRDefault="009B5192" w:rsidP="00996DC7">
      <w:pPr>
        <w:spacing w:after="0" w:line="240" w:lineRule="auto"/>
      </w:pPr>
      <w:r>
        <w:continuationSeparator/>
      </w:r>
    </w:p>
  </w:footnote>
  <w:footnote w:id="1">
    <w:p w14:paraId="7C9748F4" w14:textId="2A43728E" w:rsidR="0066298B" w:rsidRPr="00B705F8" w:rsidRDefault="0066298B" w:rsidP="00FB11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B705F8">
        <w:rPr>
          <w:rStyle w:val="FootnoteReference"/>
          <w:rFonts w:ascii="Times New Roman" w:hAnsi="Times New Roman" w:cs="Times New Roman"/>
          <w:sz w:val="20"/>
          <w:szCs w:val="20"/>
        </w:rPr>
        <w:footnoteRef/>
      </w:r>
      <w:r w:rsidRPr="00B705F8">
        <w:rPr>
          <w:rFonts w:ascii="Times New Roman" w:hAnsi="Times New Roman" w:cs="Times New Roman"/>
          <w:sz w:val="20"/>
          <w:szCs w:val="20"/>
        </w:rPr>
        <w:t xml:space="preserve"> </w:t>
      </w:r>
      <w:r w:rsidR="00D85C55">
        <w:rPr>
          <w:rFonts w:ascii="Times New Roman" w:hAnsi="Times New Roman" w:cs="Times New Roman"/>
          <w:sz w:val="20"/>
          <w:szCs w:val="20"/>
        </w:rPr>
        <w:t xml:space="preserve">Legislative Council: </w:t>
      </w:r>
      <w:r w:rsidR="00D85C55" w:rsidRPr="00D85C55">
        <w:rPr>
          <w:rFonts w:ascii="Times New Roman" w:hAnsi="Times New Roman" w:cs="Times New Roman"/>
          <w:sz w:val="20"/>
          <w:szCs w:val="20"/>
        </w:rPr>
        <w:t>Administration</w:t>
      </w:r>
      <w:r w:rsidR="00614C2F">
        <w:rPr>
          <w:rFonts w:ascii="Times New Roman" w:hAnsi="Times New Roman" w:cs="Times New Roman"/>
          <w:sz w:val="20"/>
          <w:szCs w:val="20"/>
        </w:rPr>
        <w:t>’</w:t>
      </w:r>
      <w:r w:rsidR="00D85C55" w:rsidRPr="00D85C55">
        <w:rPr>
          <w:rFonts w:ascii="Times New Roman" w:hAnsi="Times New Roman" w:cs="Times New Roman"/>
          <w:sz w:val="20"/>
          <w:szCs w:val="20"/>
        </w:rPr>
        <w:t xml:space="preserve">s paper on </w:t>
      </w:r>
      <w:r w:rsidR="00614C2F" w:rsidRPr="00D85C55">
        <w:rPr>
          <w:rFonts w:ascii="Times New Roman" w:hAnsi="Times New Roman" w:cs="Times New Roman"/>
          <w:sz w:val="20"/>
          <w:szCs w:val="20"/>
        </w:rPr>
        <w:t xml:space="preserve">Enhancement of the </w:t>
      </w:r>
      <w:r w:rsidR="00D85C55" w:rsidRPr="00D85C55">
        <w:rPr>
          <w:rFonts w:ascii="Times New Roman" w:hAnsi="Times New Roman" w:cs="Times New Roman"/>
          <w:sz w:val="20"/>
          <w:szCs w:val="20"/>
        </w:rPr>
        <w:t xml:space="preserve">Copyright Ordinance </w:t>
      </w:r>
      <w:r w:rsidR="00614C2F" w:rsidRPr="00D85C55">
        <w:rPr>
          <w:rFonts w:ascii="Times New Roman" w:hAnsi="Times New Roman" w:cs="Times New Roman"/>
          <w:sz w:val="20"/>
          <w:szCs w:val="20"/>
        </w:rPr>
        <w:t xml:space="preserve">Regarding Protection for Artificial Intelligence Technology Development </w:t>
      </w:r>
      <w:r w:rsidR="00614C2F">
        <w:rPr>
          <w:rFonts w:ascii="Times New Roman" w:hAnsi="Times New Roman" w:cs="Times New Roman"/>
          <w:sz w:val="20"/>
          <w:szCs w:val="20"/>
        </w:rPr>
        <w:t>–</w:t>
      </w:r>
      <w:r w:rsidR="00614C2F" w:rsidRPr="00D85C55">
        <w:rPr>
          <w:rFonts w:ascii="Times New Roman" w:hAnsi="Times New Roman" w:cs="Times New Roman"/>
          <w:sz w:val="20"/>
          <w:szCs w:val="20"/>
        </w:rPr>
        <w:t xml:space="preserve"> Outcomes </w:t>
      </w:r>
      <w:r w:rsidR="00614C2F">
        <w:rPr>
          <w:rFonts w:ascii="Times New Roman" w:hAnsi="Times New Roman" w:cs="Times New Roman"/>
          <w:sz w:val="20"/>
          <w:szCs w:val="20"/>
        </w:rPr>
        <w:t>o</w:t>
      </w:r>
      <w:r w:rsidR="00614C2F" w:rsidRPr="00D85C55">
        <w:rPr>
          <w:rFonts w:ascii="Times New Roman" w:hAnsi="Times New Roman" w:cs="Times New Roman"/>
          <w:sz w:val="20"/>
          <w:szCs w:val="20"/>
        </w:rPr>
        <w:t xml:space="preserve">f Public Consultation </w:t>
      </w:r>
      <w:r w:rsidR="00614C2F">
        <w:rPr>
          <w:rFonts w:ascii="Times New Roman" w:hAnsi="Times New Roman" w:cs="Times New Roman"/>
          <w:sz w:val="20"/>
          <w:szCs w:val="20"/>
        </w:rPr>
        <w:t>a</w:t>
      </w:r>
      <w:r w:rsidR="00614C2F" w:rsidRPr="00D85C55">
        <w:rPr>
          <w:rFonts w:ascii="Times New Roman" w:hAnsi="Times New Roman" w:cs="Times New Roman"/>
          <w:sz w:val="20"/>
          <w:szCs w:val="20"/>
        </w:rPr>
        <w:t>nd Proposed Way Forward</w:t>
      </w:r>
      <w:r w:rsidR="00614C2F">
        <w:rPr>
          <w:rFonts w:ascii="Times New Roman" w:hAnsi="Times New Roman" w:cs="Times New Roman"/>
          <w:sz w:val="20"/>
          <w:szCs w:val="20"/>
        </w:rPr>
        <w:t xml:space="preserve">, </w:t>
      </w:r>
      <w:r w:rsidR="00465FEC" w:rsidRPr="00B705F8">
        <w:rPr>
          <w:rFonts w:ascii="Times New Roman" w:hAnsi="Times New Roman" w:cs="Times New Roman"/>
          <w:sz w:val="20"/>
          <w:szCs w:val="20"/>
        </w:rPr>
        <w:t>p</w:t>
      </w:r>
      <w:r w:rsidR="00B802EB" w:rsidRPr="00B705F8">
        <w:rPr>
          <w:rFonts w:ascii="Times New Roman" w:hAnsi="Times New Roman" w:cs="Times New Roman"/>
          <w:sz w:val="20"/>
          <w:szCs w:val="20"/>
        </w:rPr>
        <w:t>p</w:t>
      </w:r>
      <w:r w:rsidR="00465FEC" w:rsidRPr="00B705F8">
        <w:rPr>
          <w:rFonts w:ascii="Times New Roman" w:hAnsi="Times New Roman" w:cs="Times New Roman"/>
          <w:sz w:val="20"/>
          <w:szCs w:val="20"/>
        </w:rPr>
        <w:t>.7-8</w:t>
      </w:r>
      <w:r w:rsidR="00BA22EE">
        <w:rPr>
          <w:rFonts w:ascii="Times New Roman" w:hAnsi="Times New Roman" w:cs="Times New Roman"/>
          <w:sz w:val="20"/>
          <w:szCs w:val="20"/>
        </w:rPr>
        <w:t>.</w:t>
      </w:r>
    </w:p>
  </w:footnote>
  <w:footnote w:id="2">
    <w:p w14:paraId="75FB01CD" w14:textId="7ED53FAA" w:rsidR="00A75E95" w:rsidRPr="00B705F8" w:rsidRDefault="00A75E95" w:rsidP="00FB11D4">
      <w:pPr>
        <w:pStyle w:val="FootnoteText"/>
        <w:spacing w:line="240" w:lineRule="auto"/>
        <w:rPr>
          <w:rFonts w:ascii="Times New Roman" w:hAnsi="Times New Roman" w:cs="Times New Roman"/>
        </w:rPr>
      </w:pPr>
      <w:r w:rsidRPr="00B705F8">
        <w:rPr>
          <w:rStyle w:val="FootnoteReference"/>
          <w:rFonts w:ascii="Times New Roman" w:hAnsi="Times New Roman" w:cs="Times New Roman"/>
        </w:rPr>
        <w:footnoteRef/>
      </w:r>
      <w:r w:rsidRPr="00B705F8">
        <w:rPr>
          <w:rFonts w:ascii="Times New Roman" w:hAnsi="Times New Roman" w:cs="Times New Roman"/>
        </w:rPr>
        <w:t xml:space="preserve"> Legislative Council Brief: Copyright Ordinance (Chapter 528) Copyright (Amendment) Bill 2022 [p</w:t>
      </w:r>
      <w:r w:rsidR="00661944" w:rsidRPr="00B705F8">
        <w:rPr>
          <w:rFonts w:ascii="Times New Roman" w:hAnsi="Times New Roman" w:cs="Times New Roman"/>
        </w:rPr>
        <w:t>p</w:t>
      </w:r>
      <w:r w:rsidRPr="00B705F8">
        <w:rPr>
          <w:rFonts w:ascii="Times New Roman" w:hAnsi="Times New Roman" w:cs="Times New Roman"/>
        </w:rPr>
        <w:t>.8-9]</w:t>
      </w:r>
    </w:p>
  </w:footnote>
  <w:footnote w:id="3">
    <w:p w14:paraId="0E7ADD96" w14:textId="77355A42" w:rsidR="006E06C7" w:rsidRPr="00B705F8" w:rsidRDefault="006E06C7" w:rsidP="00FB11D4">
      <w:pPr>
        <w:pStyle w:val="FootnoteText"/>
        <w:spacing w:line="240" w:lineRule="auto"/>
        <w:rPr>
          <w:rFonts w:ascii="Times New Roman" w:hAnsi="Times New Roman" w:cs="Times New Roman"/>
        </w:rPr>
      </w:pPr>
      <w:r w:rsidRPr="00B705F8">
        <w:rPr>
          <w:rStyle w:val="FootnoteReference"/>
          <w:rFonts w:ascii="Times New Roman" w:hAnsi="Times New Roman" w:cs="Times New Roman"/>
        </w:rPr>
        <w:footnoteRef/>
      </w:r>
      <w:r w:rsidRPr="00B705F8">
        <w:rPr>
          <w:rFonts w:ascii="Times New Roman" w:hAnsi="Times New Roman" w:cs="Times New Roman"/>
        </w:rPr>
        <w:t xml:space="preserve"> Copyright Protection </w:t>
      </w:r>
      <w:r w:rsidR="006744E7">
        <w:rPr>
          <w:rFonts w:ascii="Times New Roman" w:hAnsi="Times New Roman" w:cs="Times New Roman"/>
        </w:rPr>
        <w:t>i</w:t>
      </w:r>
      <w:r w:rsidRPr="00B705F8">
        <w:rPr>
          <w:rFonts w:ascii="Times New Roman" w:hAnsi="Times New Roman" w:cs="Times New Roman"/>
        </w:rPr>
        <w:t xml:space="preserve">n The Digital Environment Code </w:t>
      </w:r>
      <w:r w:rsidR="006744E7" w:rsidRPr="00B705F8">
        <w:rPr>
          <w:rFonts w:ascii="Times New Roman" w:hAnsi="Times New Roman" w:cs="Times New Roman"/>
        </w:rPr>
        <w:t>of</w:t>
      </w:r>
      <w:r w:rsidRPr="00B705F8">
        <w:rPr>
          <w:rFonts w:ascii="Times New Roman" w:hAnsi="Times New Roman" w:cs="Times New Roman"/>
        </w:rPr>
        <w:t xml:space="preserve"> Practice (published pursuant to section 88J of the Copyright Ordinance (Cap. 528))</w:t>
      </w:r>
      <w:r w:rsidR="006744E7">
        <w:rPr>
          <w:rFonts w:ascii="Times New Roman" w:hAnsi="Times New Roman" w:cs="Times New Roman"/>
        </w:rPr>
        <w:t xml:space="preserve"> (“Code of Practice”)</w:t>
      </w:r>
    </w:p>
  </w:footnote>
  <w:footnote w:id="4">
    <w:p w14:paraId="49A1094F" w14:textId="11B8A98C" w:rsidR="00B705F8" w:rsidRPr="00B705F8" w:rsidRDefault="00B705F8">
      <w:pPr>
        <w:pStyle w:val="FootnoteText"/>
        <w:rPr>
          <w:rFonts w:ascii="Times New Roman" w:hAnsi="Times New Roman" w:cs="Times New Roman"/>
        </w:rPr>
      </w:pPr>
      <w:r w:rsidRPr="00B705F8">
        <w:rPr>
          <w:rStyle w:val="FootnoteReference"/>
          <w:rFonts w:ascii="Times New Roman" w:hAnsi="Times New Roman" w:cs="Times New Roman"/>
        </w:rPr>
        <w:footnoteRef/>
      </w:r>
      <w:r w:rsidRPr="00B705F8">
        <w:rPr>
          <w:rFonts w:ascii="Times New Roman" w:hAnsi="Times New Roman" w:cs="Times New Roman"/>
        </w:rPr>
        <w:t xml:space="preserve"> Bartholomew, M (2009), Contributory Infringers and Good Samaritans, Akron Intellectual Property Journal, Vol. 3, p. 1.</w:t>
      </w:r>
    </w:p>
  </w:footnote>
  <w:footnote w:id="5">
    <w:p w14:paraId="76A8D64C" w14:textId="6F8E0622" w:rsidR="00FB11D4" w:rsidRPr="00B705F8" w:rsidRDefault="00FB11D4">
      <w:pPr>
        <w:pStyle w:val="FootnoteText"/>
        <w:rPr>
          <w:rFonts w:ascii="Times New Roman" w:hAnsi="Times New Roman" w:cs="Times New Roman"/>
        </w:rPr>
      </w:pPr>
      <w:r w:rsidRPr="00B705F8">
        <w:rPr>
          <w:rStyle w:val="FootnoteReference"/>
          <w:rFonts w:ascii="Times New Roman" w:hAnsi="Times New Roman" w:cs="Times New Roman"/>
        </w:rPr>
        <w:footnoteRef/>
      </w:r>
      <w:r w:rsidRPr="00B705F8">
        <w:rPr>
          <w:rFonts w:ascii="Times New Roman" w:hAnsi="Times New Roman" w:cs="Times New Roman"/>
        </w:rPr>
        <w:t xml:space="preserve"> </w:t>
      </w:r>
      <w:r w:rsidR="00F17F8F">
        <w:rPr>
          <w:rFonts w:ascii="Times New Roman" w:hAnsi="Times New Roman" w:cs="Times New Roman"/>
        </w:rPr>
        <w:t xml:space="preserve">Hon Cheung PJ (2019) </w:t>
      </w:r>
      <w:r w:rsidRPr="00B705F8">
        <w:rPr>
          <w:rFonts w:ascii="Times New Roman" w:hAnsi="Times New Roman" w:cs="Times New Roman"/>
        </w:rPr>
        <w:t xml:space="preserve">Conflict of fundamental rights and the double proportionality test, available at </w:t>
      </w:r>
      <w:hyperlink r:id="rId1" w:history="1">
        <w:r w:rsidRPr="00B705F8">
          <w:rPr>
            <w:rStyle w:val="Hyperlink"/>
            <w:rFonts w:ascii="Times New Roman" w:hAnsi="Times New Roman" w:cs="Times New Roman"/>
          </w:rPr>
          <w:t>https://www.hkcfa.hk/filemanager/engagement/sc/upload/91/Common%20Law%20Lecture%20(Final%20Version).pdf</w:t>
        </w:r>
      </w:hyperlink>
      <w:r w:rsidRPr="00B705F8">
        <w:rPr>
          <w:rFonts w:ascii="Times New Roman" w:hAnsi="Times New Roman" w:cs="Times New Roman"/>
        </w:rPr>
        <w:t>. Accessed 20 September 2025.</w:t>
      </w:r>
    </w:p>
  </w:footnote>
  <w:footnote w:id="6">
    <w:p w14:paraId="0E2C7284" w14:textId="7E125757" w:rsidR="00EE6311" w:rsidRPr="00B705F8" w:rsidRDefault="00EE6311" w:rsidP="00EE63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r w:rsidRPr="00B705F8">
        <w:rPr>
          <w:rStyle w:val="FootnoteReference"/>
          <w:rFonts w:ascii="Times New Roman" w:hAnsi="Times New Roman" w:cs="Times New Roman"/>
          <w:sz w:val="20"/>
          <w:szCs w:val="20"/>
        </w:rPr>
        <w:footnoteRef/>
      </w:r>
      <w:r w:rsidRPr="00B705F8">
        <w:rPr>
          <w:rFonts w:ascii="Times New Roman" w:hAnsi="Times New Roman" w:cs="Times New Roman"/>
          <w:sz w:val="20"/>
          <w:szCs w:val="20"/>
        </w:rPr>
        <w:t xml:space="preserve"> Legislative Council Panel on Commerce, Industry, Innovation and Technology Enhancement of the Copyright Ordinance regarding Protection for Artificial Intelligence Technology Development – Outcomes of Public Consultation and Proposed Way Forward</w:t>
      </w:r>
      <w:r w:rsidR="005F6C03" w:rsidRPr="00B705F8">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330B1"/>
    <w:multiLevelType w:val="hybridMultilevel"/>
    <w:tmpl w:val="4BFA2410"/>
    <w:lvl w:ilvl="0" w:tplc="C6486990">
      <w:numFmt w:val="decimal"/>
      <w:lvlText w:val=""/>
      <w:lvlJc w:val="left"/>
    </w:lvl>
    <w:lvl w:ilvl="1" w:tplc="112065FE">
      <w:numFmt w:val="decimal"/>
      <w:lvlText w:val=""/>
      <w:lvlJc w:val="left"/>
    </w:lvl>
    <w:lvl w:ilvl="2" w:tplc="2378300A">
      <w:numFmt w:val="decimal"/>
      <w:lvlText w:val=""/>
      <w:lvlJc w:val="left"/>
    </w:lvl>
    <w:lvl w:ilvl="3" w:tplc="7B4C7A7C">
      <w:numFmt w:val="decimal"/>
      <w:lvlText w:val=""/>
      <w:lvlJc w:val="left"/>
    </w:lvl>
    <w:lvl w:ilvl="4" w:tplc="58063882">
      <w:numFmt w:val="decimal"/>
      <w:lvlText w:val=""/>
      <w:lvlJc w:val="left"/>
    </w:lvl>
    <w:lvl w:ilvl="5" w:tplc="4866F426">
      <w:numFmt w:val="decimal"/>
      <w:lvlText w:val=""/>
      <w:lvlJc w:val="left"/>
    </w:lvl>
    <w:lvl w:ilvl="6" w:tplc="15A843D2">
      <w:numFmt w:val="decimal"/>
      <w:lvlText w:val=""/>
      <w:lvlJc w:val="left"/>
    </w:lvl>
    <w:lvl w:ilvl="7" w:tplc="5660351E">
      <w:numFmt w:val="decimal"/>
      <w:lvlText w:val=""/>
      <w:lvlJc w:val="left"/>
    </w:lvl>
    <w:lvl w:ilvl="8" w:tplc="524220FA">
      <w:numFmt w:val="decimal"/>
      <w:lvlText w:val=""/>
      <w:lvlJc w:val="left"/>
    </w:lvl>
  </w:abstractNum>
  <w:abstractNum w:abstractNumId="1" w15:restartNumberingAfterBreak="0">
    <w:nsid w:val="601F484D"/>
    <w:multiLevelType w:val="hybridMultilevel"/>
    <w:tmpl w:val="CAF821F4"/>
    <w:lvl w:ilvl="0" w:tplc="F5AEBAAE">
      <w:start w:val="1"/>
      <w:numFmt w:val="decimal"/>
      <w:lvlText w:val="%1."/>
      <w:lvlJc w:val="left"/>
      <w:pPr>
        <w:tabs>
          <w:tab w:val="num" w:pos="900"/>
        </w:tabs>
        <w:ind w:left="540" w:hanging="360"/>
      </w:pPr>
    </w:lvl>
    <w:lvl w:ilvl="1" w:tplc="59BC064E">
      <w:numFmt w:val="decimal"/>
      <w:lvlText w:val=""/>
      <w:lvlJc w:val="left"/>
    </w:lvl>
    <w:lvl w:ilvl="2" w:tplc="3D38EB28">
      <w:numFmt w:val="decimal"/>
      <w:lvlText w:val=""/>
      <w:lvlJc w:val="left"/>
    </w:lvl>
    <w:lvl w:ilvl="3" w:tplc="088A1628">
      <w:numFmt w:val="decimal"/>
      <w:lvlText w:val=""/>
      <w:lvlJc w:val="left"/>
    </w:lvl>
    <w:lvl w:ilvl="4" w:tplc="81B8166A">
      <w:numFmt w:val="decimal"/>
      <w:lvlText w:val=""/>
      <w:lvlJc w:val="left"/>
    </w:lvl>
    <w:lvl w:ilvl="5" w:tplc="39AE562C">
      <w:numFmt w:val="decimal"/>
      <w:lvlText w:val=""/>
      <w:lvlJc w:val="left"/>
    </w:lvl>
    <w:lvl w:ilvl="6" w:tplc="5A363E04">
      <w:numFmt w:val="decimal"/>
      <w:lvlText w:val=""/>
      <w:lvlJc w:val="left"/>
    </w:lvl>
    <w:lvl w:ilvl="7" w:tplc="72F48644">
      <w:numFmt w:val="decimal"/>
      <w:lvlText w:val=""/>
      <w:lvlJc w:val="left"/>
    </w:lvl>
    <w:lvl w:ilvl="8" w:tplc="462C8B38">
      <w:numFmt w:val="decimal"/>
      <w:lvlText w:val=""/>
      <w:lvlJc w:val="left"/>
    </w:lvl>
  </w:abstractNum>
  <w:abstractNum w:abstractNumId="2" w15:restartNumberingAfterBreak="0">
    <w:nsid w:val="68512E42"/>
    <w:multiLevelType w:val="multilevel"/>
    <w:tmpl w:val="CBFE8B7E"/>
    <w:lvl w:ilvl="0">
      <w:start w:val="4"/>
      <w:numFmt w:val="decimal"/>
      <w:lvlText w:val="%1"/>
      <w:lvlJc w:val="left"/>
      <w:pPr>
        <w:ind w:left="360" w:hanging="360"/>
      </w:pPr>
      <w:rPr>
        <w:rFonts w:eastAsia="inter" w:hint="default"/>
        <w:b/>
        <w:color w:val="000000"/>
      </w:rPr>
    </w:lvl>
    <w:lvl w:ilvl="1">
      <w:start w:val="2"/>
      <w:numFmt w:val="decimal"/>
      <w:lvlText w:val="%1.%2"/>
      <w:lvlJc w:val="left"/>
      <w:pPr>
        <w:ind w:left="360" w:hanging="360"/>
      </w:pPr>
      <w:rPr>
        <w:rFonts w:eastAsia="inter" w:hint="default"/>
        <w:b/>
        <w:color w:val="000000"/>
      </w:rPr>
    </w:lvl>
    <w:lvl w:ilvl="2">
      <w:start w:val="1"/>
      <w:numFmt w:val="decimal"/>
      <w:lvlText w:val="%1.%2.%3"/>
      <w:lvlJc w:val="left"/>
      <w:pPr>
        <w:ind w:left="720" w:hanging="720"/>
      </w:pPr>
      <w:rPr>
        <w:rFonts w:eastAsia="inter" w:hint="default"/>
        <w:b/>
        <w:color w:val="000000"/>
      </w:rPr>
    </w:lvl>
    <w:lvl w:ilvl="3">
      <w:start w:val="1"/>
      <w:numFmt w:val="decimal"/>
      <w:lvlText w:val="%1.%2.%3.%4"/>
      <w:lvlJc w:val="left"/>
      <w:pPr>
        <w:ind w:left="720" w:hanging="720"/>
      </w:pPr>
      <w:rPr>
        <w:rFonts w:eastAsia="inter" w:hint="default"/>
        <w:b/>
        <w:color w:val="000000"/>
      </w:rPr>
    </w:lvl>
    <w:lvl w:ilvl="4">
      <w:start w:val="1"/>
      <w:numFmt w:val="decimal"/>
      <w:lvlText w:val="%1.%2.%3.%4.%5"/>
      <w:lvlJc w:val="left"/>
      <w:pPr>
        <w:ind w:left="720" w:hanging="720"/>
      </w:pPr>
      <w:rPr>
        <w:rFonts w:eastAsia="inter" w:hint="default"/>
        <w:b/>
        <w:color w:val="000000"/>
      </w:rPr>
    </w:lvl>
    <w:lvl w:ilvl="5">
      <w:start w:val="1"/>
      <w:numFmt w:val="decimal"/>
      <w:lvlText w:val="%1.%2.%3.%4.%5.%6"/>
      <w:lvlJc w:val="left"/>
      <w:pPr>
        <w:ind w:left="1080" w:hanging="1080"/>
      </w:pPr>
      <w:rPr>
        <w:rFonts w:eastAsia="inter" w:hint="default"/>
        <w:b/>
        <w:color w:val="000000"/>
      </w:rPr>
    </w:lvl>
    <w:lvl w:ilvl="6">
      <w:start w:val="1"/>
      <w:numFmt w:val="decimal"/>
      <w:lvlText w:val="%1.%2.%3.%4.%5.%6.%7"/>
      <w:lvlJc w:val="left"/>
      <w:pPr>
        <w:ind w:left="1080" w:hanging="1080"/>
      </w:pPr>
      <w:rPr>
        <w:rFonts w:eastAsia="inter" w:hint="default"/>
        <w:b/>
        <w:color w:val="000000"/>
      </w:rPr>
    </w:lvl>
    <w:lvl w:ilvl="7">
      <w:start w:val="1"/>
      <w:numFmt w:val="decimal"/>
      <w:lvlText w:val="%1.%2.%3.%4.%5.%6.%7.%8"/>
      <w:lvlJc w:val="left"/>
      <w:pPr>
        <w:ind w:left="1440" w:hanging="1440"/>
      </w:pPr>
      <w:rPr>
        <w:rFonts w:eastAsia="inter" w:hint="default"/>
        <w:b/>
        <w:color w:val="000000"/>
      </w:rPr>
    </w:lvl>
    <w:lvl w:ilvl="8">
      <w:start w:val="1"/>
      <w:numFmt w:val="decimal"/>
      <w:lvlText w:val="%1.%2.%3.%4.%5.%6.%7.%8.%9"/>
      <w:lvlJc w:val="left"/>
      <w:pPr>
        <w:ind w:left="1440" w:hanging="1440"/>
      </w:pPr>
      <w:rPr>
        <w:rFonts w:eastAsia="inter" w:hint="default"/>
        <w:b/>
        <w:color w:val="000000"/>
      </w:rPr>
    </w:lvl>
  </w:abstractNum>
  <w:abstractNum w:abstractNumId="3" w15:restartNumberingAfterBreak="0">
    <w:nsid w:val="6AAA55E7"/>
    <w:multiLevelType w:val="multilevel"/>
    <w:tmpl w:val="6D0A6F7C"/>
    <w:lvl w:ilvl="0">
      <w:start w:val="4"/>
      <w:numFmt w:val="decimal"/>
      <w:lvlText w:val="%1."/>
      <w:lvlJc w:val="left"/>
      <w:pPr>
        <w:ind w:left="460" w:hanging="460"/>
      </w:pPr>
      <w:rPr>
        <w:rFonts w:eastAsia="inter" w:hint="default"/>
        <w:b/>
        <w:color w:val="000000"/>
      </w:rPr>
    </w:lvl>
    <w:lvl w:ilvl="1">
      <w:start w:val="2"/>
      <w:numFmt w:val="decimal"/>
      <w:lvlText w:val="%1.%2."/>
      <w:lvlJc w:val="left"/>
      <w:pPr>
        <w:ind w:left="820" w:hanging="460"/>
      </w:pPr>
      <w:rPr>
        <w:rFonts w:eastAsia="inter" w:hint="default"/>
        <w:b/>
        <w:color w:val="000000"/>
      </w:rPr>
    </w:lvl>
    <w:lvl w:ilvl="2">
      <w:start w:val="3"/>
      <w:numFmt w:val="decimal"/>
      <w:lvlText w:val="%1.%2.%3."/>
      <w:lvlJc w:val="left"/>
      <w:pPr>
        <w:ind w:left="1440" w:hanging="720"/>
      </w:pPr>
      <w:rPr>
        <w:rFonts w:eastAsia="inter" w:hint="default"/>
        <w:b/>
        <w:color w:val="000000"/>
      </w:rPr>
    </w:lvl>
    <w:lvl w:ilvl="3">
      <w:start w:val="1"/>
      <w:numFmt w:val="decimal"/>
      <w:lvlText w:val="%1.%2.%3.%4."/>
      <w:lvlJc w:val="left"/>
      <w:pPr>
        <w:ind w:left="1800" w:hanging="720"/>
      </w:pPr>
      <w:rPr>
        <w:rFonts w:eastAsia="inter" w:hint="default"/>
        <w:b/>
        <w:color w:val="000000"/>
      </w:rPr>
    </w:lvl>
    <w:lvl w:ilvl="4">
      <w:start w:val="1"/>
      <w:numFmt w:val="decimal"/>
      <w:lvlText w:val="%1.%2.%3.%4.%5."/>
      <w:lvlJc w:val="left"/>
      <w:pPr>
        <w:ind w:left="2520" w:hanging="1080"/>
      </w:pPr>
      <w:rPr>
        <w:rFonts w:eastAsia="inter" w:hint="default"/>
        <w:b/>
        <w:color w:val="000000"/>
      </w:rPr>
    </w:lvl>
    <w:lvl w:ilvl="5">
      <w:start w:val="1"/>
      <w:numFmt w:val="decimal"/>
      <w:lvlText w:val="%1.%2.%3.%4.%5.%6."/>
      <w:lvlJc w:val="left"/>
      <w:pPr>
        <w:ind w:left="2880" w:hanging="1080"/>
      </w:pPr>
      <w:rPr>
        <w:rFonts w:eastAsia="inter" w:hint="default"/>
        <w:b/>
        <w:color w:val="000000"/>
      </w:rPr>
    </w:lvl>
    <w:lvl w:ilvl="6">
      <w:start w:val="1"/>
      <w:numFmt w:val="decimal"/>
      <w:lvlText w:val="%1.%2.%3.%4.%5.%6.%7."/>
      <w:lvlJc w:val="left"/>
      <w:pPr>
        <w:ind w:left="3240" w:hanging="1080"/>
      </w:pPr>
      <w:rPr>
        <w:rFonts w:eastAsia="inter" w:hint="default"/>
        <w:b/>
        <w:color w:val="000000"/>
      </w:rPr>
    </w:lvl>
    <w:lvl w:ilvl="7">
      <w:start w:val="1"/>
      <w:numFmt w:val="decimal"/>
      <w:lvlText w:val="%1.%2.%3.%4.%5.%6.%7.%8."/>
      <w:lvlJc w:val="left"/>
      <w:pPr>
        <w:ind w:left="3960" w:hanging="1440"/>
      </w:pPr>
      <w:rPr>
        <w:rFonts w:eastAsia="inter" w:hint="default"/>
        <w:b/>
        <w:color w:val="000000"/>
      </w:rPr>
    </w:lvl>
    <w:lvl w:ilvl="8">
      <w:start w:val="1"/>
      <w:numFmt w:val="decimal"/>
      <w:lvlText w:val="%1.%2.%3.%4.%5.%6.%7.%8.%9."/>
      <w:lvlJc w:val="left"/>
      <w:pPr>
        <w:ind w:left="4320" w:hanging="1440"/>
      </w:pPr>
      <w:rPr>
        <w:rFonts w:eastAsia="inter" w:hint="default"/>
        <w:b/>
        <w:color w:val="000000"/>
      </w:rPr>
    </w:lvl>
  </w:abstractNum>
  <w:abstractNum w:abstractNumId="4" w15:restartNumberingAfterBreak="0">
    <w:nsid w:val="6ED51DF4"/>
    <w:multiLevelType w:val="multilevel"/>
    <w:tmpl w:val="A004319A"/>
    <w:lvl w:ilvl="0">
      <w:start w:val="1"/>
      <w:numFmt w:val="decimal"/>
      <w:lvlText w:val="%1."/>
      <w:lvlJc w:val="left"/>
      <w:pPr>
        <w:ind w:left="330" w:hanging="360"/>
      </w:pPr>
      <w:rPr>
        <w:rFonts w:eastAsia="inter" w:hint="default"/>
        <w:b/>
        <w:color w:val="000000"/>
      </w:rPr>
    </w:lvl>
    <w:lvl w:ilvl="1">
      <w:start w:val="1"/>
      <w:numFmt w:val="decimal"/>
      <w:isLgl/>
      <w:lvlText w:val="%1.%2."/>
      <w:lvlJc w:val="left"/>
      <w:pPr>
        <w:ind w:left="330" w:hanging="360"/>
      </w:pPr>
      <w:rPr>
        <w:rFonts w:eastAsia="inter" w:hint="default"/>
        <w:b/>
        <w:color w:val="000000"/>
      </w:rPr>
    </w:lvl>
    <w:lvl w:ilvl="2">
      <w:start w:val="1"/>
      <w:numFmt w:val="decimal"/>
      <w:isLgl/>
      <w:lvlText w:val="%1.%2.%3."/>
      <w:lvlJc w:val="left"/>
      <w:pPr>
        <w:ind w:left="690" w:hanging="720"/>
      </w:pPr>
      <w:rPr>
        <w:rFonts w:eastAsia="inter" w:hint="default"/>
        <w:b/>
        <w:color w:val="000000"/>
      </w:rPr>
    </w:lvl>
    <w:lvl w:ilvl="3">
      <w:start w:val="1"/>
      <w:numFmt w:val="decimal"/>
      <w:isLgl/>
      <w:lvlText w:val="%1.%2.%3.%4."/>
      <w:lvlJc w:val="left"/>
      <w:pPr>
        <w:ind w:left="690" w:hanging="720"/>
      </w:pPr>
      <w:rPr>
        <w:rFonts w:eastAsia="inter" w:hint="default"/>
        <w:b/>
        <w:color w:val="000000"/>
      </w:rPr>
    </w:lvl>
    <w:lvl w:ilvl="4">
      <w:start w:val="1"/>
      <w:numFmt w:val="decimal"/>
      <w:isLgl/>
      <w:lvlText w:val="%1.%2.%3.%4.%5."/>
      <w:lvlJc w:val="left"/>
      <w:pPr>
        <w:ind w:left="1050" w:hanging="1080"/>
      </w:pPr>
      <w:rPr>
        <w:rFonts w:eastAsia="inter" w:hint="default"/>
        <w:b/>
        <w:color w:val="000000"/>
      </w:rPr>
    </w:lvl>
    <w:lvl w:ilvl="5">
      <w:start w:val="1"/>
      <w:numFmt w:val="decimal"/>
      <w:isLgl/>
      <w:lvlText w:val="%1.%2.%3.%4.%5.%6."/>
      <w:lvlJc w:val="left"/>
      <w:pPr>
        <w:ind w:left="1050" w:hanging="1080"/>
      </w:pPr>
      <w:rPr>
        <w:rFonts w:eastAsia="inter" w:hint="default"/>
        <w:b/>
        <w:color w:val="000000"/>
      </w:rPr>
    </w:lvl>
    <w:lvl w:ilvl="6">
      <w:start w:val="1"/>
      <w:numFmt w:val="decimal"/>
      <w:isLgl/>
      <w:lvlText w:val="%1.%2.%3.%4.%5.%6.%7."/>
      <w:lvlJc w:val="left"/>
      <w:pPr>
        <w:ind w:left="1050" w:hanging="1080"/>
      </w:pPr>
      <w:rPr>
        <w:rFonts w:eastAsia="inter" w:hint="default"/>
        <w:b/>
        <w:color w:val="000000"/>
      </w:rPr>
    </w:lvl>
    <w:lvl w:ilvl="7">
      <w:start w:val="1"/>
      <w:numFmt w:val="decimal"/>
      <w:isLgl/>
      <w:lvlText w:val="%1.%2.%3.%4.%5.%6.%7.%8."/>
      <w:lvlJc w:val="left"/>
      <w:pPr>
        <w:ind w:left="1410" w:hanging="1440"/>
      </w:pPr>
      <w:rPr>
        <w:rFonts w:eastAsia="inter" w:hint="default"/>
        <w:b/>
        <w:color w:val="000000"/>
      </w:rPr>
    </w:lvl>
    <w:lvl w:ilvl="8">
      <w:start w:val="1"/>
      <w:numFmt w:val="decimal"/>
      <w:isLgl/>
      <w:lvlText w:val="%1.%2.%3.%4.%5.%6.%7.%8.%9."/>
      <w:lvlJc w:val="left"/>
      <w:pPr>
        <w:ind w:left="1410" w:hanging="1440"/>
      </w:pPr>
      <w:rPr>
        <w:rFonts w:eastAsia="inter" w:hint="default"/>
        <w:b/>
        <w:color w:val="000000"/>
      </w:rPr>
    </w:lvl>
  </w:abstractNum>
  <w:num w:numId="1" w16cid:durableId="2002615108">
    <w:abstractNumId w:val="0"/>
  </w:num>
  <w:num w:numId="2" w16cid:durableId="1864052364">
    <w:abstractNumId w:val="1"/>
  </w:num>
  <w:num w:numId="3" w16cid:durableId="1900509861">
    <w:abstractNumId w:val="4"/>
  </w:num>
  <w:num w:numId="4" w16cid:durableId="95368986">
    <w:abstractNumId w:val="2"/>
  </w:num>
  <w:num w:numId="5" w16cid:durableId="945573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AAC"/>
    <w:rsid w:val="00005AF9"/>
    <w:rsid w:val="0000680B"/>
    <w:rsid w:val="00007339"/>
    <w:rsid w:val="0001224D"/>
    <w:rsid w:val="00036D30"/>
    <w:rsid w:val="00046C28"/>
    <w:rsid w:val="00067157"/>
    <w:rsid w:val="00076F05"/>
    <w:rsid w:val="000D4275"/>
    <w:rsid w:val="000F3BF5"/>
    <w:rsid w:val="00116349"/>
    <w:rsid w:val="0016729F"/>
    <w:rsid w:val="001A3965"/>
    <w:rsid w:val="001B0835"/>
    <w:rsid w:val="001C3F5F"/>
    <w:rsid w:val="001E5364"/>
    <w:rsid w:val="00207814"/>
    <w:rsid w:val="002108FD"/>
    <w:rsid w:val="00216B82"/>
    <w:rsid w:val="00241B06"/>
    <w:rsid w:val="002520AF"/>
    <w:rsid w:val="00272453"/>
    <w:rsid w:val="002748E9"/>
    <w:rsid w:val="002A089E"/>
    <w:rsid w:val="002A5CBF"/>
    <w:rsid w:val="002B4F42"/>
    <w:rsid w:val="002D3BB5"/>
    <w:rsid w:val="002E5264"/>
    <w:rsid w:val="00324116"/>
    <w:rsid w:val="00326E21"/>
    <w:rsid w:val="00345702"/>
    <w:rsid w:val="00355887"/>
    <w:rsid w:val="00356549"/>
    <w:rsid w:val="0036171E"/>
    <w:rsid w:val="00362F6B"/>
    <w:rsid w:val="003702BA"/>
    <w:rsid w:val="00375583"/>
    <w:rsid w:val="003C2577"/>
    <w:rsid w:val="003D215D"/>
    <w:rsid w:val="00430DFC"/>
    <w:rsid w:val="00442430"/>
    <w:rsid w:val="0045632D"/>
    <w:rsid w:val="00465FEC"/>
    <w:rsid w:val="00467064"/>
    <w:rsid w:val="00495E05"/>
    <w:rsid w:val="00495F69"/>
    <w:rsid w:val="004D2CCE"/>
    <w:rsid w:val="004E729B"/>
    <w:rsid w:val="004F6B1E"/>
    <w:rsid w:val="005222A8"/>
    <w:rsid w:val="00546BE2"/>
    <w:rsid w:val="0055474D"/>
    <w:rsid w:val="00566C95"/>
    <w:rsid w:val="00573A16"/>
    <w:rsid w:val="00573B37"/>
    <w:rsid w:val="005C21FF"/>
    <w:rsid w:val="005C5BC6"/>
    <w:rsid w:val="005D19FE"/>
    <w:rsid w:val="005D60DE"/>
    <w:rsid w:val="005F0FD2"/>
    <w:rsid w:val="005F6C03"/>
    <w:rsid w:val="00611B29"/>
    <w:rsid w:val="00612BF3"/>
    <w:rsid w:val="00614C2F"/>
    <w:rsid w:val="00627A9C"/>
    <w:rsid w:val="00644E4B"/>
    <w:rsid w:val="00655875"/>
    <w:rsid w:val="00661944"/>
    <w:rsid w:val="0066298B"/>
    <w:rsid w:val="00664E74"/>
    <w:rsid w:val="00671515"/>
    <w:rsid w:val="006744E7"/>
    <w:rsid w:val="006A688B"/>
    <w:rsid w:val="006B2953"/>
    <w:rsid w:val="006B7F4B"/>
    <w:rsid w:val="006D1327"/>
    <w:rsid w:val="006E06C7"/>
    <w:rsid w:val="006E331B"/>
    <w:rsid w:val="006E6A5F"/>
    <w:rsid w:val="006F4BCA"/>
    <w:rsid w:val="006F777D"/>
    <w:rsid w:val="007161D0"/>
    <w:rsid w:val="00717518"/>
    <w:rsid w:val="00742C81"/>
    <w:rsid w:val="00747F58"/>
    <w:rsid w:val="00755DAE"/>
    <w:rsid w:val="007928B1"/>
    <w:rsid w:val="007A1C59"/>
    <w:rsid w:val="007A664B"/>
    <w:rsid w:val="00804954"/>
    <w:rsid w:val="00836180"/>
    <w:rsid w:val="008374B6"/>
    <w:rsid w:val="008538AB"/>
    <w:rsid w:val="008A2C9F"/>
    <w:rsid w:val="008B7914"/>
    <w:rsid w:val="00916AC2"/>
    <w:rsid w:val="0094775B"/>
    <w:rsid w:val="00954A3F"/>
    <w:rsid w:val="0096198D"/>
    <w:rsid w:val="0098134F"/>
    <w:rsid w:val="00983F89"/>
    <w:rsid w:val="00996DC7"/>
    <w:rsid w:val="009B32A2"/>
    <w:rsid w:val="009B5192"/>
    <w:rsid w:val="009D12F2"/>
    <w:rsid w:val="009F062D"/>
    <w:rsid w:val="00A21CD3"/>
    <w:rsid w:val="00A33436"/>
    <w:rsid w:val="00A37BF0"/>
    <w:rsid w:val="00A56A1D"/>
    <w:rsid w:val="00A657A0"/>
    <w:rsid w:val="00A67A2F"/>
    <w:rsid w:val="00A75E95"/>
    <w:rsid w:val="00A92CA7"/>
    <w:rsid w:val="00A97AEE"/>
    <w:rsid w:val="00AA6107"/>
    <w:rsid w:val="00AB2EB8"/>
    <w:rsid w:val="00AC7E1E"/>
    <w:rsid w:val="00AE3504"/>
    <w:rsid w:val="00AF0172"/>
    <w:rsid w:val="00B0358F"/>
    <w:rsid w:val="00B07DA3"/>
    <w:rsid w:val="00B32970"/>
    <w:rsid w:val="00B47DD5"/>
    <w:rsid w:val="00B705F8"/>
    <w:rsid w:val="00B802EB"/>
    <w:rsid w:val="00B8641A"/>
    <w:rsid w:val="00BA22EE"/>
    <w:rsid w:val="00BA491B"/>
    <w:rsid w:val="00BB2E2D"/>
    <w:rsid w:val="00BD1762"/>
    <w:rsid w:val="00BD2567"/>
    <w:rsid w:val="00BD7314"/>
    <w:rsid w:val="00BE0579"/>
    <w:rsid w:val="00BE6C6D"/>
    <w:rsid w:val="00BF0205"/>
    <w:rsid w:val="00C213BC"/>
    <w:rsid w:val="00C248AD"/>
    <w:rsid w:val="00C566FB"/>
    <w:rsid w:val="00C6304B"/>
    <w:rsid w:val="00C9148B"/>
    <w:rsid w:val="00CA6AAC"/>
    <w:rsid w:val="00CB6A90"/>
    <w:rsid w:val="00CC64F8"/>
    <w:rsid w:val="00CD5B0E"/>
    <w:rsid w:val="00CF4638"/>
    <w:rsid w:val="00D05EF9"/>
    <w:rsid w:val="00D158AC"/>
    <w:rsid w:val="00D615B2"/>
    <w:rsid w:val="00D810AE"/>
    <w:rsid w:val="00D85C55"/>
    <w:rsid w:val="00DD08B9"/>
    <w:rsid w:val="00DD516C"/>
    <w:rsid w:val="00E14EC8"/>
    <w:rsid w:val="00E21688"/>
    <w:rsid w:val="00E2538E"/>
    <w:rsid w:val="00E25697"/>
    <w:rsid w:val="00E3261F"/>
    <w:rsid w:val="00E74140"/>
    <w:rsid w:val="00E85DCA"/>
    <w:rsid w:val="00EA076B"/>
    <w:rsid w:val="00EA2879"/>
    <w:rsid w:val="00EC699C"/>
    <w:rsid w:val="00EE6311"/>
    <w:rsid w:val="00F17F8F"/>
    <w:rsid w:val="00F45A9A"/>
    <w:rsid w:val="00F5073A"/>
    <w:rsid w:val="00F66AD2"/>
    <w:rsid w:val="00F7421D"/>
    <w:rsid w:val="00F823FB"/>
    <w:rsid w:val="00F97675"/>
    <w:rsid w:val="00FA6D9D"/>
    <w:rsid w:val="00FB11D4"/>
    <w:rsid w:val="00FB460C"/>
    <w:rsid w:val="00FC0E1F"/>
    <w:rsid w:val="00FC5D49"/>
    <w:rsid w:val="00FE00D6"/>
    <w:rsid w:val="00FE7DFF"/>
    <w:rsid w:val="00FF268C"/>
    <w:rsid w:val="00FF71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1C793"/>
  <w15:docId w15:val="{8C523EE7-31B4-0648-AB86-DEB813A8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EastAsia"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8374B6"/>
    <w:pPr>
      <w:ind w:leftChars="200" w:left="480"/>
    </w:pPr>
  </w:style>
  <w:style w:type="paragraph" w:styleId="FootnoteText">
    <w:name w:val="footnote text"/>
    <w:basedOn w:val="Normal"/>
    <w:link w:val="FootnoteTextChar"/>
    <w:uiPriority w:val="99"/>
    <w:semiHidden/>
    <w:unhideWhenUsed/>
    <w:rsid w:val="00996DC7"/>
    <w:pPr>
      <w:snapToGrid w:val="0"/>
    </w:pPr>
    <w:rPr>
      <w:sz w:val="20"/>
      <w:szCs w:val="20"/>
    </w:rPr>
  </w:style>
  <w:style w:type="character" w:customStyle="1" w:styleId="FootnoteTextChar">
    <w:name w:val="Footnote Text Char"/>
    <w:basedOn w:val="DefaultParagraphFont"/>
    <w:link w:val="FootnoteText"/>
    <w:uiPriority w:val="99"/>
    <w:semiHidden/>
    <w:rsid w:val="00996DC7"/>
    <w:rPr>
      <w:rFonts w:eastAsiaTheme="minorHAnsi"/>
      <w:sz w:val="20"/>
      <w:szCs w:val="20"/>
    </w:rPr>
  </w:style>
  <w:style w:type="character" w:styleId="FootnoteReference">
    <w:name w:val="footnote reference"/>
    <w:basedOn w:val="DefaultParagraphFont"/>
    <w:uiPriority w:val="99"/>
    <w:semiHidden/>
    <w:unhideWhenUsed/>
    <w:rsid w:val="00996DC7"/>
    <w:rPr>
      <w:vertAlign w:val="superscript"/>
    </w:rPr>
  </w:style>
  <w:style w:type="character" w:styleId="CommentReference">
    <w:name w:val="annotation reference"/>
    <w:basedOn w:val="DefaultParagraphFont"/>
    <w:uiPriority w:val="99"/>
    <w:semiHidden/>
    <w:unhideWhenUsed/>
    <w:rsid w:val="00345702"/>
    <w:rPr>
      <w:sz w:val="18"/>
      <w:szCs w:val="18"/>
    </w:rPr>
  </w:style>
  <w:style w:type="paragraph" w:styleId="CommentText">
    <w:name w:val="annotation text"/>
    <w:basedOn w:val="Normal"/>
    <w:link w:val="CommentTextChar"/>
    <w:uiPriority w:val="99"/>
    <w:semiHidden/>
    <w:unhideWhenUsed/>
    <w:rsid w:val="00345702"/>
  </w:style>
  <w:style w:type="character" w:customStyle="1" w:styleId="CommentTextChar">
    <w:name w:val="Comment Text Char"/>
    <w:basedOn w:val="DefaultParagraphFont"/>
    <w:link w:val="CommentText"/>
    <w:uiPriority w:val="99"/>
    <w:semiHidden/>
    <w:rsid w:val="00345702"/>
    <w:rPr>
      <w:rFonts w:eastAsiaTheme="minorHAnsi"/>
    </w:rPr>
  </w:style>
  <w:style w:type="paragraph" w:styleId="CommentSubject">
    <w:name w:val="annotation subject"/>
    <w:basedOn w:val="CommentText"/>
    <w:next w:val="CommentText"/>
    <w:link w:val="CommentSubjectChar"/>
    <w:uiPriority w:val="99"/>
    <w:semiHidden/>
    <w:unhideWhenUsed/>
    <w:rsid w:val="00345702"/>
    <w:rPr>
      <w:b/>
      <w:bCs/>
    </w:rPr>
  </w:style>
  <w:style w:type="character" w:customStyle="1" w:styleId="CommentSubjectChar">
    <w:name w:val="Comment Subject Char"/>
    <w:basedOn w:val="CommentTextChar"/>
    <w:link w:val="CommentSubject"/>
    <w:uiPriority w:val="99"/>
    <w:semiHidden/>
    <w:rsid w:val="00345702"/>
    <w:rPr>
      <w:rFonts w:eastAsiaTheme="minorHAnsi"/>
      <w:b/>
      <w:bCs/>
    </w:rPr>
  </w:style>
  <w:style w:type="character" w:styleId="Hyperlink">
    <w:name w:val="Hyperlink"/>
    <w:basedOn w:val="DefaultParagraphFont"/>
    <w:uiPriority w:val="99"/>
    <w:unhideWhenUsed/>
    <w:rsid w:val="00FB11D4"/>
    <w:rPr>
      <w:color w:val="467886" w:themeColor="hyperlink"/>
      <w:u w:val="single"/>
    </w:rPr>
  </w:style>
  <w:style w:type="character" w:styleId="UnresolvedMention">
    <w:name w:val="Unresolved Mention"/>
    <w:basedOn w:val="DefaultParagraphFont"/>
    <w:uiPriority w:val="99"/>
    <w:semiHidden/>
    <w:unhideWhenUsed/>
    <w:rsid w:val="00FB11D4"/>
    <w:rPr>
      <w:color w:val="605E5C"/>
      <w:shd w:val="clear" w:color="auto" w:fill="E1DFDD"/>
    </w:rPr>
  </w:style>
  <w:style w:type="paragraph" w:styleId="Header">
    <w:name w:val="header"/>
    <w:basedOn w:val="Normal"/>
    <w:link w:val="HeaderChar"/>
    <w:uiPriority w:val="99"/>
    <w:unhideWhenUsed/>
    <w:rsid w:val="003755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5583"/>
    <w:rPr>
      <w:rFonts w:eastAsiaTheme="minorHAnsi"/>
    </w:rPr>
  </w:style>
  <w:style w:type="paragraph" w:styleId="Footer">
    <w:name w:val="footer"/>
    <w:basedOn w:val="Normal"/>
    <w:link w:val="FooterChar"/>
    <w:uiPriority w:val="99"/>
    <w:unhideWhenUsed/>
    <w:rsid w:val="003755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5583"/>
    <w:rPr>
      <w:rFonts w:eastAsiaTheme="minorHAnsi"/>
    </w:rPr>
  </w:style>
  <w:style w:type="paragraph" w:styleId="Revision">
    <w:name w:val="Revision"/>
    <w:hidden/>
    <w:uiPriority w:val="99"/>
    <w:semiHidden/>
    <w:rsid w:val="00375583"/>
    <w:pPr>
      <w:spacing w:after="0" w:line="240" w:lineRule="auto"/>
    </w:pPr>
    <w:rPr>
      <w:rFonts w:eastAsiaTheme="minorHAnsi"/>
    </w:rPr>
  </w:style>
  <w:style w:type="character" w:styleId="FollowedHyperlink">
    <w:name w:val="FollowedHyperlink"/>
    <w:basedOn w:val="DefaultParagraphFont"/>
    <w:uiPriority w:val="99"/>
    <w:semiHidden/>
    <w:unhideWhenUsed/>
    <w:rsid w:val="00F17F8F"/>
    <w:rPr>
      <w:color w:val="96607D" w:themeColor="followedHyperlink"/>
      <w:u w:val="single"/>
    </w:rPr>
  </w:style>
  <w:style w:type="character" w:styleId="PageNumber">
    <w:name w:val="page number"/>
    <w:basedOn w:val="DefaultParagraphFont"/>
    <w:uiPriority w:val="99"/>
    <w:semiHidden/>
    <w:unhideWhenUsed/>
    <w:rsid w:val="00FC5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hkcfa.hk/filemanager/engagement/sc/upload/91/Common%20Law%20Lecture%20(Final%20Version).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F4AF5-73FD-AE4A-93DA-35D29244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3133</Words>
  <Characters>17863</Characters>
  <Application>Microsoft Office Word</Application>
  <DocSecurity>0</DocSecurity>
  <Lines>148</Lines>
  <Paragraphs>41</Paragraphs>
  <ScaleCrop>false</ScaleCrop>
  <Company/>
  <LinksUpToDate>false</LinksUpToDate>
  <CharactersWithSpaces>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Joshua Yeung</cp:lastModifiedBy>
  <cp:revision>9</cp:revision>
  <dcterms:created xsi:type="dcterms:W3CDTF">2025-09-20T16:54:00Z</dcterms:created>
  <dcterms:modified xsi:type="dcterms:W3CDTF">2025-09-20T20:51:00Z</dcterms:modified>
</cp:coreProperties>
</file>