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85FB" w14:textId="3208B771" w:rsidR="00BA65E3" w:rsidRPr="008C46BA" w:rsidRDefault="008116C8" w:rsidP="009800AF">
      <w:pPr>
        <w:rPr>
          <w:lang w:val="pl-PL"/>
        </w:rPr>
      </w:pPr>
      <w:r w:rsidRPr="008C46BA">
        <w:rPr>
          <w:lang w:val="pl-PL"/>
        </w:rPr>
        <w:t>Jakub Sadurski</w:t>
      </w:r>
    </w:p>
    <w:p w14:paraId="7D340537" w14:textId="10777B81" w:rsidR="008116C8" w:rsidRPr="008C46BA" w:rsidRDefault="008116C8" w:rsidP="009800AF">
      <w:pPr>
        <w:rPr>
          <w:lang w:val="pl-PL"/>
        </w:rPr>
      </w:pPr>
      <w:r w:rsidRPr="008C46BA">
        <w:rPr>
          <w:lang w:val="pl-PL"/>
        </w:rPr>
        <w:t>Affre i Wspólnicy sp. k.</w:t>
      </w:r>
      <w:r w:rsidR="004219A5" w:rsidRPr="008C46BA">
        <w:rPr>
          <w:lang w:val="pl-PL"/>
        </w:rPr>
        <w:t xml:space="preserve">, </w:t>
      </w:r>
      <w:proofErr w:type="spellStart"/>
      <w:r w:rsidR="005140A9" w:rsidRPr="008C46BA">
        <w:rPr>
          <w:lang w:val="pl-PL"/>
        </w:rPr>
        <w:t>Warsaw</w:t>
      </w:r>
      <w:proofErr w:type="spellEnd"/>
    </w:p>
    <w:p w14:paraId="1E88A1EB" w14:textId="69C4EF57" w:rsidR="005140A9" w:rsidRPr="00C14F0D" w:rsidRDefault="005140A9" w:rsidP="009800AF">
      <w:r w:rsidRPr="00C14F0D">
        <w:t xml:space="preserve">Email: </w:t>
      </w:r>
      <w:hyperlink r:id="rId8" w:history="1">
        <w:r w:rsidRPr="00C14F0D">
          <w:rPr>
            <w:rStyle w:val="Hipercze"/>
          </w:rPr>
          <w:t>jakub.sadurski@affre.pl</w:t>
        </w:r>
      </w:hyperlink>
      <w:r w:rsidRPr="00C14F0D">
        <w:t xml:space="preserve"> </w:t>
      </w:r>
    </w:p>
    <w:p w14:paraId="307B729E" w14:textId="09C35B04" w:rsidR="003128B2" w:rsidRPr="00C14F0D" w:rsidRDefault="00843E7A" w:rsidP="009800AF">
      <w:pPr>
        <w:pStyle w:val="Nagwek1"/>
      </w:pPr>
      <w:r w:rsidRPr="00C14F0D">
        <w:t>Introduction</w:t>
      </w:r>
    </w:p>
    <w:p w14:paraId="7F90C812" w14:textId="52CCDEF9" w:rsidR="00C92845" w:rsidRPr="00C14F0D" w:rsidRDefault="00C92845" w:rsidP="00193E33">
      <w:pPr>
        <w:rPr>
          <w:rFonts w:cs="Times New Roman"/>
          <w:szCs w:val="20"/>
        </w:rPr>
      </w:pPr>
      <w:r w:rsidRPr="00C14F0D">
        <w:rPr>
          <w:rFonts w:cs="Times New Roman"/>
          <w:szCs w:val="20"/>
        </w:rPr>
        <w:t xml:space="preserve">Poland does not have general rules </w:t>
      </w:r>
      <w:r w:rsidR="00A57517" w:rsidRPr="00A57517">
        <w:rPr>
          <w:rFonts w:cs="Times New Roman"/>
          <w:szCs w:val="20"/>
        </w:rPr>
        <w:t>targeting the abuse of economic dependence or relative market power</w:t>
      </w:r>
      <w:r w:rsidR="00A57517">
        <w:rPr>
          <w:rFonts w:cs="Times New Roman"/>
          <w:szCs w:val="20"/>
        </w:rPr>
        <w:t xml:space="preserve"> </w:t>
      </w:r>
      <w:r w:rsidR="00116958" w:rsidRPr="00C14F0D">
        <w:rPr>
          <w:rFonts w:cs="Times New Roman"/>
          <w:szCs w:val="20"/>
        </w:rPr>
        <w:t xml:space="preserve">that would apply </w:t>
      </w:r>
      <w:r w:rsidR="00933BEB" w:rsidRPr="00C14F0D">
        <w:rPr>
          <w:rFonts w:cs="Times New Roman"/>
          <w:szCs w:val="20"/>
        </w:rPr>
        <w:t>universally to all</w:t>
      </w:r>
      <w:r w:rsidR="00116958" w:rsidRPr="00C14F0D">
        <w:rPr>
          <w:rFonts w:cs="Times New Roman"/>
          <w:szCs w:val="20"/>
        </w:rPr>
        <w:t xml:space="preserve"> undertakings</w:t>
      </w:r>
      <w:r w:rsidR="005B7CDE" w:rsidRPr="00C14F0D">
        <w:rPr>
          <w:rFonts w:cs="Times New Roman"/>
          <w:szCs w:val="20"/>
        </w:rPr>
        <w:t>.</w:t>
      </w:r>
      <w:r w:rsidR="003478FB" w:rsidRPr="00C14F0D">
        <w:rPr>
          <w:rFonts w:cs="Times New Roman"/>
          <w:szCs w:val="20"/>
        </w:rPr>
        <w:t xml:space="preserve"> </w:t>
      </w:r>
      <w:r w:rsidR="00984C53" w:rsidRPr="00C14F0D">
        <w:rPr>
          <w:rFonts w:cs="Times New Roman"/>
          <w:szCs w:val="20"/>
        </w:rPr>
        <w:t xml:space="preserve">Polish approach is sector-specific, with regulations currently limited to addressing the </w:t>
      </w:r>
      <w:r w:rsidR="00DA4093">
        <w:rPr>
          <w:rFonts w:cs="Times New Roman"/>
          <w:szCs w:val="20"/>
        </w:rPr>
        <w:t>unfair use</w:t>
      </w:r>
      <w:r w:rsidR="00984C53" w:rsidRPr="00C14F0D">
        <w:rPr>
          <w:rFonts w:cs="Times New Roman"/>
          <w:szCs w:val="20"/>
        </w:rPr>
        <w:t xml:space="preserve"> of </w:t>
      </w:r>
      <w:r w:rsidR="00DA4093">
        <w:rPr>
          <w:rFonts w:cs="Times New Roman"/>
          <w:szCs w:val="20"/>
        </w:rPr>
        <w:t>bargaining power</w:t>
      </w:r>
      <w:r w:rsidR="00984C53" w:rsidRPr="00C14F0D">
        <w:rPr>
          <w:rFonts w:cs="Times New Roman"/>
          <w:szCs w:val="20"/>
        </w:rPr>
        <w:t xml:space="preserve"> within the agricultural sector.</w:t>
      </w:r>
      <w:r w:rsidR="00D157B2" w:rsidRPr="00C14F0D">
        <w:rPr>
          <w:rFonts w:cs="Times New Roman"/>
          <w:szCs w:val="20"/>
        </w:rPr>
        <w:t xml:space="preserve"> These rules implement D</w:t>
      </w:r>
      <w:r w:rsidR="00B44CBB" w:rsidRPr="00C14F0D">
        <w:rPr>
          <w:rFonts w:cs="Times New Roman"/>
          <w:szCs w:val="20"/>
        </w:rPr>
        <w:t xml:space="preserve">irective on </w:t>
      </w:r>
      <w:r w:rsidR="00AB00E1" w:rsidRPr="00C14F0D">
        <w:rPr>
          <w:rFonts w:cs="Times New Roman"/>
          <w:szCs w:val="20"/>
        </w:rPr>
        <w:t>unfair trading practices in business-to-business relationships in the agricultural and food supply chain</w:t>
      </w:r>
      <w:r w:rsidR="00BA02B7">
        <w:rPr>
          <w:rStyle w:val="Odwoanieprzypisudolnego"/>
          <w:rFonts w:cs="Times New Roman"/>
          <w:szCs w:val="20"/>
        </w:rPr>
        <w:footnoteReference w:id="1"/>
      </w:r>
      <w:r w:rsidR="00852702" w:rsidRPr="00C14F0D">
        <w:rPr>
          <w:rFonts w:cs="Times New Roman"/>
          <w:szCs w:val="20"/>
        </w:rPr>
        <w:t xml:space="preserve"> </w:t>
      </w:r>
      <w:r w:rsidR="00303F0A" w:rsidRPr="00C14F0D">
        <w:rPr>
          <w:rFonts w:cs="Times New Roman"/>
          <w:szCs w:val="20"/>
        </w:rPr>
        <w:t>via</w:t>
      </w:r>
      <w:r w:rsidR="00852702" w:rsidRPr="00C14F0D">
        <w:rPr>
          <w:rFonts w:cs="Times New Roman"/>
          <w:szCs w:val="20"/>
        </w:rPr>
        <w:t xml:space="preserve"> </w:t>
      </w:r>
      <w:r w:rsidR="00AB00E1" w:rsidRPr="00C14F0D">
        <w:rPr>
          <w:rFonts w:cs="Times New Roman"/>
          <w:szCs w:val="20"/>
        </w:rPr>
        <w:t>t</w:t>
      </w:r>
      <w:r w:rsidR="0015309E" w:rsidRPr="00C14F0D">
        <w:rPr>
          <w:rFonts w:cs="Times New Roman"/>
          <w:szCs w:val="20"/>
        </w:rPr>
        <w:t xml:space="preserve">he Act </w:t>
      </w:r>
      <w:r w:rsidR="001A046C">
        <w:rPr>
          <w:rFonts w:cs="Times New Roman"/>
          <w:szCs w:val="20"/>
        </w:rPr>
        <w:t xml:space="preserve">on </w:t>
      </w:r>
      <w:r w:rsidR="0015309E" w:rsidRPr="00C14F0D">
        <w:rPr>
          <w:rFonts w:cs="Times New Roman"/>
          <w:szCs w:val="20"/>
        </w:rPr>
        <w:t>Counteracting the Unfair Use of Contractual Advantage in Trade in Agricultural and Food Products</w:t>
      </w:r>
      <w:r w:rsidR="002C0BA0">
        <w:rPr>
          <w:rFonts w:cs="Times New Roman"/>
          <w:szCs w:val="20"/>
        </w:rPr>
        <w:t>.</w:t>
      </w:r>
      <w:r w:rsidR="001A046C">
        <w:rPr>
          <w:rStyle w:val="Odwoanieprzypisudolnego"/>
          <w:rFonts w:cs="Times New Roman"/>
          <w:szCs w:val="20"/>
        </w:rPr>
        <w:footnoteReference w:id="2"/>
      </w:r>
      <w:r w:rsidR="00AB00E1" w:rsidRPr="00C14F0D">
        <w:rPr>
          <w:rFonts w:cs="Times New Roman"/>
          <w:szCs w:val="20"/>
        </w:rPr>
        <w:t xml:space="preserve"> </w:t>
      </w:r>
      <w:r w:rsidR="00303F0A" w:rsidRPr="00C14F0D">
        <w:rPr>
          <w:rFonts w:cs="Times New Roman"/>
          <w:szCs w:val="20"/>
        </w:rPr>
        <w:t>Prior to the implementation of the UTP Directive, Poland already</w:t>
      </w:r>
      <w:r w:rsidR="00862701">
        <w:rPr>
          <w:rFonts w:cs="Times New Roman"/>
          <w:szCs w:val="20"/>
        </w:rPr>
        <w:t>,</w:t>
      </w:r>
      <w:r w:rsidR="0013475F" w:rsidRPr="00C14F0D">
        <w:rPr>
          <w:rFonts w:cs="Times New Roman"/>
          <w:szCs w:val="20"/>
        </w:rPr>
        <w:t xml:space="preserve"> since 2017</w:t>
      </w:r>
      <w:r w:rsidR="00862701">
        <w:rPr>
          <w:rFonts w:cs="Times New Roman"/>
          <w:szCs w:val="20"/>
        </w:rPr>
        <w:t>,</w:t>
      </w:r>
      <w:r w:rsidR="00303F0A" w:rsidRPr="00C14F0D">
        <w:rPr>
          <w:rFonts w:cs="Times New Roman"/>
          <w:szCs w:val="20"/>
        </w:rPr>
        <w:t xml:space="preserve"> had national legislation addressing the unfair use of contractual advantage in agri</w:t>
      </w:r>
      <w:r w:rsidR="00303F0A" w:rsidRPr="00C14F0D">
        <w:rPr>
          <w:rFonts w:cs="Times New Roman"/>
          <w:szCs w:val="20"/>
        </w:rPr>
        <w:noBreakHyphen/>
        <w:t>food trade</w:t>
      </w:r>
      <w:r w:rsidR="00B31B18" w:rsidRPr="00C14F0D">
        <w:rPr>
          <w:rFonts w:cs="Times New Roman"/>
          <w:szCs w:val="20"/>
        </w:rPr>
        <w:t>. T</w:t>
      </w:r>
      <w:r w:rsidR="00303F0A" w:rsidRPr="00C14F0D">
        <w:rPr>
          <w:rFonts w:cs="Times New Roman"/>
          <w:szCs w:val="20"/>
        </w:rPr>
        <w:t xml:space="preserve">his legislation was amended </w:t>
      </w:r>
      <w:r w:rsidR="00B31B18" w:rsidRPr="00C14F0D">
        <w:rPr>
          <w:rFonts w:cs="Times New Roman"/>
          <w:szCs w:val="20"/>
        </w:rPr>
        <w:t>in 2021</w:t>
      </w:r>
      <w:r w:rsidR="00303F0A" w:rsidRPr="00C14F0D">
        <w:rPr>
          <w:rFonts w:cs="Times New Roman"/>
          <w:szCs w:val="20"/>
        </w:rPr>
        <w:t xml:space="preserve"> to align with the </w:t>
      </w:r>
      <w:r w:rsidR="00F97616" w:rsidRPr="00C14F0D">
        <w:rPr>
          <w:rFonts w:cs="Times New Roman"/>
          <w:szCs w:val="20"/>
        </w:rPr>
        <w:t xml:space="preserve">UTP </w:t>
      </w:r>
      <w:r w:rsidR="00303F0A" w:rsidRPr="00C14F0D">
        <w:rPr>
          <w:rFonts w:cs="Times New Roman"/>
          <w:szCs w:val="20"/>
        </w:rPr>
        <w:t>Directive’s requirements</w:t>
      </w:r>
      <w:r w:rsidR="00060C61" w:rsidRPr="00C14F0D">
        <w:rPr>
          <w:rFonts w:cs="Times New Roman"/>
          <w:szCs w:val="20"/>
        </w:rPr>
        <w:t>.</w:t>
      </w:r>
    </w:p>
    <w:p w14:paraId="68EAFFD3" w14:textId="3296FED5" w:rsidR="00060C61" w:rsidRPr="00C14F0D" w:rsidRDefault="00416B5F" w:rsidP="00193E33">
      <w:pPr>
        <w:rPr>
          <w:rFonts w:cs="Times New Roman"/>
          <w:szCs w:val="20"/>
        </w:rPr>
      </w:pPr>
      <w:r w:rsidRPr="00C14F0D">
        <w:rPr>
          <w:rFonts w:cs="Times New Roman"/>
          <w:szCs w:val="20"/>
        </w:rPr>
        <w:t>The enforcement of the rules on counteracting the unfair use of contractual advantage</w:t>
      </w:r>
      <w:r w:rsidR="00BA53B3" w:rsidRPr="00C14F0D">
        <w:rPr>
          <w:rFonts w:cs="Times New Roman"/>
          <w:szCs w:val="20"/>
        </w:rPr>
        <w:t xml:space="preserve"> in agri-food sector is</w:t>
      </w:r>
      <w:r w:rsidR="00591B1B" w:rsidRPr="00C14F0D">
        <w:rPr>
          <w:rFonts w:cs="Times New Roman"/>
          <w:szCs w:val="20"/>
        </w:rPr>
        <w:t xml:space="preserve"> robust and is conducted </w:t>
      </w:r>
      <w:r w:rsidR="00653574" w:rsidRPr="00C14F0D">
        <w:rPr>
          <w:rFonts w:cs="Times New Roman"/>
          <w:szCs w:val="20"/>
        </w:rPr>
        <w:t xml:space="preserve">by the Polish Competition Authority (President of </w:t>
      </w:r>
      <w:proofErr w:type="spellStart"/>
      <w:r w:rsidR="00653574" w:rsidRPr="00C14F0D">
        <w:rPr>
          <w:rFonts w:cs="Times New Roman"/>
          <w:szCs w:val="20"/>
        </w:rPr>
        <w:t>UOKiK</w:t>
      </w:r>
      <w:proofErr w:type="spellEnd"/>
      <w:r w:rsidR="00653574" w:rsidRPr="00C14F0D">
        <w:rPr>
          <w:rFonts w:cs="Times New Roman"/>
          <w:szCs w:val="20"/>
        </w:rPr>
        <w:t>).</w:t>
      </w:r>
      <w:r w:rsidR="00C1268F" w:rsidRPr="00C14F0D">
        <w:rPr>
          <w:rFonts w:cs="Times New Roman"/>
          <w:szCs w:val="20"/>
        </w:rPr>
        <w:t xml:space="preserve"> The authority's activities primarily impact food retail chains and large food processors, including dairies, sugar refineries, livestock companies, and grain, vegetable, and fruit purchasing companies</w:t>
      </w:r>
      <w:r w:rsidR="002C0BA0">
        <w:rPr>
          <w:rFonts w:cs="Times New Roman"/>
          <w:szCs w:val="20"/>
        </w:rPr>
        <w:t>.</w:t>
      </w:r>
      <w:r w:rsidR="00D01F67">
        <w:rPr>
          <w:rStyle w:val="Odwoanieprzypisudolnego"/>
          <w:rFonts w:cs="Times New Roman"/>
          <w:szCs w:val="20"/>
        </w:rPr>
        <w:footnoteReference w:id="3"/>
      </w:r>
    </w:p>
    <w:p w14:paraId="7EE89304" w14:textId="770C4016" w:rsidR="008702F8" w:rsidRPr="00C14F0D" w:rsidRDefault="008702F8" w:rsidP="00193E33">
      <w:pPr>
        <w:rPr>
          <w:rFonts w:cs="Times New Roman"/>
          <w:szCs w:val="20"/>
        </w:rPr>
      </w:pPr>
      <w:r w:rsidRPr="00C14F0D">
        <w:rPr>
          <w:rFonts w:cs="Times New Roman"/>
          <w:szCs w:val="20"/>
        </w:rPr>
        <w:t>This report first examines the general rules on abuse of dominance in Polish law before turning to the specifics of Polish legislation on relative dominance in the agricultural sector. The analysis includes provisions that extend beyond the harmonization obligations under the UTP Directive, as well as enforcement practices and their impact on Poland's agri-food market functioning.</w:t>
      </w:r>
    </w:p>
    <w:p w14:paraId="2DA2782B" w14:textId="1753A4DE" w:rsidR="000D2832" w:rsidRPr="00C14F0D" w:rsidRDefault="000D2832" w:rsidP="00913E7E">
      <w:pPr>
        <w:pStyle w:val="Nagwek1"/>
      </w:pPr>
      <w:r w:rsidRPr="00C14F0D">
        <w:t>The concept of abuse of dominance in Polish law. Absence of a general concept of relative dominance.</w:t>
      </w:r>
    </w:p>
    <w:p w14:paraId="31B0030F" w14:textId="795C7577" w:rsidR="00666AB7" w:rsidRPr="00C14F0D" w:rsidRDefault="00A52E82" w:rsidP="00193E33">
      <w:pPr>
        <w:rPr>
          <w:rFonts w:cs="Times New Roman"/>
          <w:szCs w:val="20"/>
        </w:rPr>
      </w:pPr>
      <w:r w:rsidRPr="00C14F0D">
        <w:rPr>
          <w:rFonts w:cs="Times New Roman"/>
          <w:szCs w:val="20"/>
        </w:rPr>
        <w:t xml:space="preserve">Polish rules on abuse of dominance are </w:t>
      </w:r>
      <w:r w:rsidR="00395AD5" w:rsidRPr="00C14F0D">
        <w:rPr>
          <w:rFonts w:cs="Times New Roman"/>
          <w:szCs w:val="20"/>
        </w:rPr>
        <w:t>modelled</w:t>
      </w:r>
      <w:r w:rsidR="000D2832" w:rsidRPr="00C14F0D">
        <w:rPr>
          <w:rFonts w:cs="Times New Roman"/>
          <w:szCs w:val="20"/>
        </w:rPr>
        <w:t xml:space="preserve"> on</w:t>
      </w:r>
      <w:r w:rsidRPr="00C14F0D">
        <w:rPr>
          <w:rFonts w:cs="Times New Roman"/>
          <w:szCs w:val="20"/>
        </w:rPr>
        <w:t xml:space="preserve"> article 102 TFEU. The main rule is formulated in </w:t>
      </w:r>
      <w:r w:rsidR="00094EAC" w:rsidRPr="00C14F0D">
        <w:rPr>
          <w:rFonts w:cs="Times New Roman"/>
          <w:szCs w:val="20"/>
        </w:rPr>
        <w:t>A</w:t>
      </w:r>
      <w:r w:rsidRPr="00C14F0D">
        <w:rPr>
          <w:rFonts w:cs="Times New Roman"/>
          <w:szCs w:val="20"/>
        </w:rPr>
        <w:t xml:space="preserve">rticle 9 of </w:t>
      </w:r>
      <w:r w:rsidR="000D2832" w:rsidRPr="00C14F0D">
        <w:rPr>
          <w:rFonts w:cs="Times New Roman"/>
          <w:szCs w:val="20"/>
        </w:rPr>
        <w:t>The A</w:t>
      </w:r>
      <w:r w:rsidRPr="00C14F0D">
        <w:rPr>
          <w:rFonts w:cs="Times New Roman"/>
          <w:szCs w:val="20"/>
        </w:rPr>
        <w:t>ct on competition and consumer protection</w:t>
      </w:r>
      <w:r w:rsidR="00EC4460">
        <w:rPr>
          <w:rFonts w:cs="Times New Roman"/>
          <w:szCs w:val="20"/>
        </w:rPr>
        <w:t>.</w:t>
      </w:r>
      <w:r w:rsidR="00991023">
        <w:rPr>
          <w:rStyle w:val="Odwoanieprzypisudolnego"/>
          <w:rFonts w:cs="Times New Roman"/>
          <w:szCs w:val="20"/>
        </w:rPr>
        <w:footnoteReference w:id="4"/>
      </w:r>
      <w:r w:rsidR="007A7313" w:rsidRPr="00C14F0D">
        <w:rPr>
          <w:rFonts w:cs="Times New Roman"/>
          <w:szCs w:val="20"/>
        </w:rPr>
        <w:t xml:space="preserve"> </w:t>
      </w:r>
      <w:r w:rsidRPr="00C14F0D">
        <w:rPr>
          <w:rFonts w:cs="Times New Roman"/>
          <w:szCs w:val="20"/>
        </w:rPr>
        <w:t>Article 9</w:t>
      </w:r>
      <w:r w:rsidR="000D2832" w:rsidRPr="00C14F0D">
        <w:rPr>
          <w:rFonts w:cs="Times New Roman"/>
          <w:szCs w:val="20"/>
        </w:rPr>
        <w:t>(1)</w:t>
      </w:r>
      <w:r w:rsidRPr="00C14F0D">
        <w:rPr>
          <w:rFonts w:cs="Times New Roman"/>
          <w:szCs w:val="20"/>
        </w:rPr>
        <w:t xml:space="preserve"> </w:t>
      </w:r>
      <w:r w:rsidR="007A7313" w:rsidRPr="00C14F0D">
        <w:rPr>
          <w:rFonts w:cs="Times New Roman"/>
          <w:szCs w:val="20"/>
        </w:rPr>
        <w:t xml:space="preserve">PCA </w:t>
      </w:r>
      <w:r w:rsidR="00EF60BE" w:rsidRPr="00C14F0D">
        <w:rPr>
          <w:rFonts w:cs="Times New Roman"/>
          <w:szCs w:val="20"/>
        </w:rPr>
        <w:t>prohibits the</w:t>
      </w:r>
      <w:r w:rsidRPr="00C14F0D">
        <w:rPr>
          <w:rFonts w:cs="Times New Roman"/>
          <w:szCs w:val="20"/>
        </w:rPr>
        <w:t xml:space="preserve"> abuse a dominant position on the relevant market by one or more undertakings.</w:t>
      </w:r>
      <w:r w:rsidR="00156E16">
        <w:rPr>
          <w:rFonts w:cs="Times New Roman"/>
          <w:szCs w:val="20"/>
        </w:rPr>
        <w:t xml:space="preserve"> </w:t>
      </w:r>
      <w:r w:rsidRPr="00C14F0D">
        <w:rPr>
          <w:rFonts w:cs="Times New Roman"/>
          <w:szCs w:val="20"/>
        </w:rPr>
        <w:t xml:space="preserve">Further sections of this article </w:t>
      </w:r>
      <w:r w:rsidR="00DF3456" w:rsidRPr="00C14F0D">
        <w:rPr>
          <w:rFonts w:cs="Times New Roman"/>
          <w:szCs w:val="20"/>
        </w:rPr>
        <w:t>list</w:t>
      </w:r>
      <w:r w:rsidRPr="00C14F0D">
        <w:rPr>
          <w:rFonts w:cs="Times New Roman"/>
          <w:szCs w:val="20"/>
        </w:rPr>
        <w:t xml:space="preserve"> examples of abusive practices, </w:t>
      </w:r>
      <w:r w:rsidR="00DF3456" w:rsidRPr="00C14F0D">
        <w:rPr>
          <w:rFonts w:cs="Times New Roman"/>
          <w:szCs w:val="20"/>
        </w:rPr>
        <w:t>in line with the</w:t>
      </w:r>
      <w:r w:rsidRPr="00C14F0D">
        <w:rPr>
          <w:rFonts w:cs="Times New Roman"/>
          <w:szCs w:val="20"/>
        </w:rPr>
        <w:t xml:space="preserve"> examples set out in article 102 TFEU </w:t>
      </w:r>
      <w:r w:rsidR="00DF3456" w:rsidRPr="00C14F0D">
        <w:rPr>
          <w:rFonts w:cs="Times New Roman"/>
          <w:szCs w:val="20"/>
        </w:rPr>
        <w:t>adding</w:t>
      </w:r>
      <w:r w:rsidRPr="00C14F0D">
        <w:rPr>
          <w:rFonts w:cs="Times New Roman"/>
          <w:szCs w:val="20"/>
        </w:rPr>
        <w:t xml:space="preserve"> some further such as</w:t>
      </w:r>
      <w:r w:rsidR="00193E33" w:rsidRPr="00C14F0D">
        <w:rPr>
          <w:rFonts w:cs="Times New Roman"/>
          <w:szCs w:val="20"/>
        </w:rPr>
        <w:t>: hindering the development of conditions necessary for the emergence or expansion of competition; imposing on trading parties unfair contractual conditions that bring about unjustified benefits for the dominant undertaking; partitioning markets along territorial, product, or customer lines. Article 9</w:t>
      </w:r>
      <w:r w:rsidR="007A7313" w:rsidRPr="00C14F0D">
        <w:rPr>
          <w:rFonts w:cs="Times New Roman"/>
          <w:szCs w:val="20"/>
        </w:rPr>
        <w:t xml:space="preserve">(3) </w:t>
      </w:r>
      <w:r w:rsidR="007435B4" w:rsidRPr="00C14F0D">
        <w:rPr>
          <w:rFonts w:cs="Times New Roman"/>
          <w:szCs w:val="20"/>
        </w:rPr>
        <w:t>P</w:t>
      </w:r>
      <w:r w:rsidR="007A7313" w:rsidRPr="00C14F0D">
        <w:rPr>
          <w:rFonts w:cs="Times New Roman"/>
          <w:szCs w:val="20"/>
        </w:rPr>
        <w:t>CA</w:t>
      </w:r>
      <w:r w:rsidR="007435B4" w:rsidRPr="00C14F0D">
        <w:rPr>
          <w:rFonts w:cs="Times New Roman"/>
          <w:szCs w:val="20"/>
        </w:rPr>
        <w:t xml:space="preserve"> </w:t>
      </w:r>
      <w:r w:rsidR="00193E33" w:rsidRPr="00C14F0D">
        <w:rPr>
          <w:rFonts w:cs="Times New Roman"/>
          <w:szCs w:val="20"/>
        </w:rPr>
        <w:t xml:space="preserve">rules that legal acts that constitute an abuse of a dominant position shall be null and void or unenforceable. </w:t>
      </w:r>
      <w:r w:rsidRPr="00C14F0D">
        <w:rPr>
          <w:rFonts w:cs="Times New Roman"/>
          <w:szCs w:val="20"/>
        </w:rPr>
        <w:t xml:space="preserve"> </w:t>
      </w:r>
    </w:p>
    <w:p w14:paraId="3257A168" w14:textId="71F6CACD" w:rsidR="00193E33" w:rsidRPr="00C14F0D" w:rsidRDefault="00193E33" w:rsidP="00193E33">
      <w:pPr>
        <w:rPr>
          <w:rFonts w:cs="Times New Roman"/>
          <w:szCs w:val="20"/>
        </w:rPr>
      </w:pPr>
      <w:r w:rsidRPr="00C14F0D">
        <w:rPr>
          <w:rFonts w:cs="Times New Roman"/>
          <w:szCs w:val="20"/>
        </w:rPr>
        <w:lastRenderedPageBreak/>
        <w:t xml:space="preserve">It follows from the wording of article 9 </w:t>
      </w:r>
      <w:r w:rsidR="007435B4" w:rsidRPr="00C14F0D">
        <w:rPr>
          <w:rFonts w:cs="Times New Roman"/>
          <w:szCs w:val="20"/>
        </w:rPr>
        <w:t>PCA</w:t>
      </w:r>
      <w:r w:rsidRPr="00C14F0D">
        <w:rPr>
          <w:rFonts w:cs="Times New Roman"/>
          <w:szCs w:val="20"/>
        </w:rPr>
        <w:t xml:space="preserve"> that this provision does not encompass the </w:t>
      </w:r>
      <w:r w:rsidR="00EF60BE" w:rsidRPr="00C14F0D">
        <w:rPr>
          <w:rFonts w:cs="Times New Roman"/>
          <w:szCs w:val="20"/>
        </w:rPr>
        <w:t>concept</w:t>
      </w:r>
      <w:r w:rsidRPr="00C14F0D">
        <w:rPr>
          <w:rFonts w:cs="Times New Roman"/>
          <w:szCs w:val="20"/>
        </w:rPr>
        <w:t xml:space="preserve"> of abuse of relative market power beyond </w:t>
      </w:r>
      <w:r w:rsidR="00EF60BE" w:rsidRPr="00C14F0D">
        <w:rPr>
          <w:rFonts w:cs="Times New Roman"/>
          <w:szCs w:val="20"/>
        </w:rPr>
        <w:t xml:space="preserve">traditional </w:t>
      </w:r>
      <w:r w:rsidRPr="00C14F0D">
        <w:rPr>
          <w:rFonts w:cs="Times New Roman"/>
          <w:szCs w:val="20"/>
        </w:rPr>
        <w:t xml:space="preserve">market dominance. This </w:t>
      </w:r>
      <w:r w:rsidR="0092119C" w:rsidRPr="00C14F0D">
        <w:rPr>
          <w:rFonts w:cs="Times New Roman"/>
          <w:szCs w:val="20"/>
        </w:rPr>
        <w:t xml:space="preserve">limitation </w:t>
      </w:r>
      <w:r w:rsidRPr="00C14F0D">
        <w:rPr>
          <w:rFonts w:cs="Times New Roman"/>
          <w:szCs w:val="20"/>
        </w:rPr>
        <w:t xml:space="preserve">stems from the </w:t>
      </w:r>
      <w:r w:rsidR="004A38EF" w:rsidRPr="00C14F0D">
        <w:rPr>
          <w:rFonts w:cs="Times New Roman"/>
          <w:szCs w:val="20"/>
        </w:rPr>
        <w:t>provision's requirement that the undertaking must hold a dominant position on the relevant market - a threshold that excludes situations of relative dominance where market dominance in the traditional sense may not exist</w:t>
      </w:r>
      <w:r w:rsidRPr="00C14F0D">
        <w:rPr>
          <w:rFonts w:cs="Times New Roman"/>
          <w:szCs w:val="20"/>
        </w:rPr>
        <w:t xml:space="preserve">. </w:t>
      </w:r>
    </w:p>
    <w:p w14:paraId="7D70FA93" w14:textId="7DC92CBA" w:rsidR="00D979E1" w:rsidRPr="00C14F0D" w:rsidRDefault="005B3F7B" w:rsidP="00913E7E">
      <w:pPr>
        <w:pStyle w:val="Nagwek1"/>
      </w:pPr>
      <w:r w:rsidRPr="00C14F0D">
        <w:t xml:space="preserve">Agri-food sector rules on contractual advantage </w:t>
      </w:r>
    </w:p>
    <w:p w14:paraId="30833B90" w14:textId="66C11B5A" w:rsidR="00A03517" w:rsidRPr="00C14F0D" w:rsidRDefault="00DB4C90" w:rsidP="00943660">
      <w:pPr>
        <w:rPr>
          <w:rFonts w:cs="Times New Roman"/>
          <w:szCs w:val="20"/>
        </w:rPr>
      </w:pPr>
      <w:r w:rsidRPr="00C14F0D">
        <w:rPr>
          <w:rFonts w:cs="Times New Roman"/>
          <w:szCs w:val="20"/>
        </w:rPr>
        <w:t>This section focuses on aspects of the Polish legal framework that extend beyond the harmonization standards set by the UTP Directive, rather than describing provisions that directly reflect the Directive's requirements (such as turnover thresholds or the catalogue of blacklisted and grey-listed unfair trading practices)</w:t>
      </w:r>
      <w:r w:rsidR="007D17EF" w:rsidRPr="00C14F0D">
        <w:rPr>
          <w:rFonts w:cs="Times New Roman"/>
          <w:szCs w:val="20"/>
        </w:rPr>
        <w:t>.</w:t>
      </w:r>
      <w:r w:rsidR="00F82A5A">
        <w:rPr>
          <w:rStyle w:val="Odwoanieprzypisudolnego"/>
          <w:rFonts w:cs="Times New Roman"/>
          <w:szCs w:val="20"/>
        </w:rPr>
        <w:footnoteReference w:id="5"/>
      </w:r>
      <w:r w:rsidR="007D17EF" w:rsidRPr="00C14F0D">
        <w:rPr>
          <w:rFonts w:cs="Times New Roman"/>
          <w:szCs w:val="20"/>
        </w:rPr>
        <w:t xml:space="preserve"> </w:t>
      </w:r>
      <w:r w:rsidRPr="00C14F0D">
        <w:rPr>
          <w:rFonts w:cs="Times New Roman"/>
          <w:szCs w:val="20"/>
        </w:rPr>
        <w:t>Several</w:t>
      </w:r>
      <w:r w:rsidR="004B791F" w:rsidRPr="00C14F0D">
        <w:rPr>
          <w:rFonts w:cs="Times New Roman"/>
          <w:szCs w:val="20"/>
        </w:rPr>
        <w:t xml:space="preserve"> </w:t>
      </w:r>
      <w:r w:rsidR="00AD5777" w:rsidRPr="00C14F0D">
        <w:rPr>
          <w:rFonts w:cs="Times New Roman"/>
          <w:szCs w:val="20"/>
        </w:rPr>
        <w:t>notable</w:t>
      </w:r>
      <w:r w:rsidR="00943660" w:rsidRPr="00C14F0D">
        <w:rPr>
          <w:rFonts w:cs="Times New Roman"/>
          <w:szCs w:val="20"/>
        </w:rPr>
        <w:t xml:space="preserve"> distinction</w:t>
      </w:r>
      <w:r w:rsidR="004B791F" w:rsidRPr="00C14F0D">
        <w:rPr>
          <w:rFonts w:cs="Times New Roman"/>
          <w:szCs w:val="20"/>
        </w:rPr>
        <w:t>s</w:t>
      </w:r>
      <w:r w:rsidR="00943660" w:rsidRPr="00C14F0D">
        <w:rPr>
          <w:rFonts w:cs="Times New Roman"/>
          <w:szCs w:val="20"/>
        </w:rPr>
        <w:t xml:space="preserve"> </w:t>
      </w:r>
      <w:r w:rsidR="00905040" w:rsidRPr="00C14F0D">
        <w:rPr>
          <w:rFonts w:cs="Times New Roman"/>
          <w:szCs w:val="20"/>
        </w:rPr>
        <w:t>in</w:t>
      </w:r>
      <w:r w:rsidR="00943660" w:rsidRPr="00C14F0D">
        <w:rPr>
          <w:rFonts w:cs="Times New Roman"/>
          <w:szCs w:val="20"/>
        </w:rPr>
        <w:t xml:space="preserve"> </w:t>
      </w:r>
      <w:r w:rsidR="00C13B4E" w:rsidRPr="00C14F0D">
        <w:rPr>
          <w:rFonts w:cs="Times New Roman"/>
          <w:szCs w:val="20"/>
        </w:rPr>
        <w:t>P</w:t>
      </w:r>
      <w:r w:rsidR="00943660" w:rsidRPr="00C14F0D">
        <w:rPr>
          <w:rFonts w:cs="Times New Roman"/>
          <w:szCs w:val="20"/>
        </w:rPr>
        <w:t xml:space="preserve">olish legislation </w:t>
      </w:r>
      <w:r w:rsidR="00905040" w:rsidRPr="00C14F0D">
        <w:rPr>
          <w:rFonts w:cs="Times New Roman"/>
          <w:szCs w:val="20"/>
        </w:rPr>
        <w:t>r</w:t>
      </w:r>
      <w:r w:rsidR="00305467" w:rsidRPr="00C14F0D">
        <w:rPr>
          <w:rFonts w:cs="Times New Roman"/>
          <w:szCs w:val="20"/>
        </w:rPr>
        <w:t>epresent extensions of the EU model and reflect Poland’s broader approach to addressing power imbalances in the agri</w:t>
      </w:r>
      <w:r w:rsidR="00305467" w:rsidRPr="00C14F0D">
        <w:rPr>
          <w:rFonts w:cs="Times New Roman"/>
          <w:szCs w:val="20"/>
        </w:rPr>
        <w:noBreakHyphen/>
        <w:t>food supply chain</w:t>
      </w:r>
      <w:r w:rsidR="0050592D">
        <w:rPr>
          <w:rFonts w:cs="Times New Roman"/>
          <w:szCs w:val="20"/>
        </w:rPr>
        <w:t>.</w:t>
      </w:r>
      <w:r w:rsidR="006F2159">
        <w:rPr>
          <w:rStyle w:val="Odwoanieprzypisudolnego"/>
          <w:rFonts w:cs="Times New Roman"/>
          <w:szCs w:val="20"/>
        </w:rPr>
        <w:footnoteReference w:id="6"/>
      </w:r>
    </w:p>
    <w:p w14:paraId="2A46769C" w14:textId="22E125D4" w:rsidR="00A57946" w:rsidRPr="00C14F0D" w:rsidRDefault="00A57946" w:rsidP="00A57946">
      <w:pPr>
        <w:rPr>
          <w:rFonts w:cs="Times New Roman"/>
          <w:szCs w:val="20"/>
        </w:rPr>
      </w:pPr>
      <w:r>
        <w:rPr>
          <w:rFonts w:cs="Times New Roman"/>
          <w:szCs w:val="20"/>
        </w:rPr>
        <w:t>First</w:t>
      </w:r>
      <w:r w:rsidRPr="00C14F0D">
        <w:rPr>
          <w:rFonts w:cs="Times New Roman"/>
          <w:szCs w:val="20"/>
        </w:rPr>
        <w:t>, Poland introduced a specific additional prohibited practice in its implementation of the UTP Directive. Namely the practice of unjustified reduction of payments for delivered agri-food products after they have been accepted by the buyer (in whole or in part), particularly by demanding retrospective discounts</w:t>
      </w:r>
      <w:r w:rsidR="001C6955">
        <w:rPr>
          <w:rFonts w:cs="Times New Roman"/>
          <w:szCs w:val="20"/>
        </w:rPr>
        <w:t>.</w:t>
      </w:r>
      <w:r w:rsidR="00B45AEE">
        <w:rPr>
          <w:rStyle w:val="Odwoanieprzypisudolnego"/>
          <w:rFonts w:cs="Times New Roman"/>
          <w:szCs w:val="20"/>
        </w:rPr>
        <w:footnoteReference w:id="7"/>
      </w:r>
      <w:r w:rsidRPr="00C14F0D">
        <w:rPr>
          <w:rFonts w:cs="Times New Roman"/>
          <w:szCs w:val="20"/>
        </w:rPr>
        <w:t xml:space="preserve"> This addition was </w:t>
      </w:r>
      <w:r w:rsidR="00046326">
        <w:rPr>
          <w:rFonts w:cs="Times New Roman"/>
          <w:szCs w:val="20"/>
        </w:rPr>
        <w:t>found</w:t>
      </w:r>
      <w:r w:rsidR="00214230">
        <w:rPr>
          <w:rFonts w:cs="Times New Roman"/>
          <w:szCs w:val="20"/>
        </w:rPr>
        <w:t xml:space="preserve"> in the legislative proposal of implementation</w:t>
      </w:r>
      <w:r w:rsidR="001B22FA">
        <w:rPr>
          <w:rFonts w:cs="Times New Roman"/>
          <w:szCs w:val="20"/>
        </w:rPr>
        <w:t xml:space="preserve"> of the UTP Directive</w:t>
      </w:r>
      <w:r w:rsidR="008B5377">
        <w:rPr>
          <w:rFonts w:cs="Times New Roman"/>
          <w:szCs w:val="20"/>
        </w:rPr>
        <w:t>.</w:t>
      </w:r>
      <w:r w:rsidR="001B22FA">
        <w:rPr>
          <w:rStyle w:val="Odwoanieprzypisudolnego"/>
          <w:rFonts w:cs="Times New Roman"/>
          <w:szCs w:val="20"/>
        </w:rPr>
        <w:footnoteReference w:id="8"/>
      </w:r>
      <w:r w:rsidRPr="00C14F0D">
        <w:rPr>
          <w:rFonts w:cs="Times New Roman"/>
          <w:szCs w:val="20"/>
        </w:rPr>
        <w:t xml:space="preserve"> The motivation </w:t>
      </w:r>
      <w:r w:rsidR="00214230">
        <w:rPr>
          <w:rFonts w:cs="Times New Roman"/>
          <w:szCs w:val="20"/>
        </w:rPr>
        <w:t xml:space="preserve">probably </w:t>
      </w:r>
      <w:r w:rsidRPr="00C14F0D">
        <w:rPr>
          <w:rFonts w:cs="Times New Roman"/>
          <w:szCs w:val="20"/>
        </w:rPr>
        <w:t xml:space="preserve">arose from the </w:t>
      </w:r>
      <w:r w:rsidR="00941BD0">
        <w:rPr>
          <w:rFonts w:cs="Times New Roman"/>
          <w:szCs w:val="20"/>
        </w:rPr>
        <w:t xml:space="preserve">President </w:t>
      </w:r>
      <w:r w:rsidR="00941BD0" w:rsidRPr="00941BD0">
        <w:rPr>
          <w:rFonts w:cs="Times New Roman"/>
          <w:szCs w:val="20"/>
        </w:rPr>
        <w:t xml:space="preserve">of </w:t>
      </w:r>
      <w:proofErr w:type="spellStart"/>
      <w:r w:rsidR="00941BD0" w:rsidRPr="00941BD0">
        <w:rPr>
          <w:rFonts w:cs="Times New Roman"/>
          <w:szCs w:val="20"/>
        </w:rPr>
        <w:t>UOKiK’s</w:t>
      </w:r>
      <w:proofErr w:type="spellEnd"/>
      <w:r w:rsidRPr="00941BD0">
        <w:rPr>
          <w:rFonts w:cs="Times New Roman"/>
          <w:szCs w:val="20"/>
        </w:rPr>
        <w:t xml:space="preserve"> case</w:t>
      </w:r>
      <w:r w:rsidRPr="00C14F0D">
        <w:rPr>
          <w:rFonts w:cs="Times New Roman"/>
          <w:szCs w:val="20"/>
        </w:rPr>
        <w:t xml:space="preserve"> against Jeronimo Martins Polska</w:t>
      </w:r>
      <w:r w:rsidR="008B5377">
        <w:rPr>
          <w:rStyle w:val="Odwoanieprzypisudolnego"/>
          <w:rFonts w:cs="Times New Roman"/>
          <w:szCs w:val="20"/>
        </w:rPr>
        <w:footnoteReference w:id="9"/>
      </w:r>
      <w:r w:rsidRPr="00C14F0D">
        <w:rPr>
          <w:rFonts w:cs="Times New Roman"/>
          <w:szCs w:val="20"/>
        </w:rPr>
        <w:t xml:space="preserve"> (operator of the “</w:t>
      </w:r>
      <w:proofErr w:type="spellStart"/>
      <w:r w:rsidRPr="00C14F0D">
        <w:rPr>
          <w:rFonts w:cs="Times New Roman"/>
          <w:szCs w:val="20"/>
        </w:rPr>
        <w:t>Biedronka</w:t>
      </w:r>
      <w:proofErr w:type="spellEnd"/>
      <w:r w:rsidRPr="00C14F0D">
        <w:rPr>
          <w:rFonts w:cs="Times New Roman"/>
          <w:szCs w:val="20"/>
        </w:rPr>
        <w:t>” discount chain) - a decision now under judicial review. The Authority alleged that the company had collected retroactive rebates without prior agreement on the discount amount or its conditions. Instead it approached the suppliers to request discounts for previously delivered goods only after significant period post-delivery. At the time the authority condemned this actions basing on a general prohibition clause found in current law</w:t>
      </w:r>
      <w:r w:rsidR="0050592D">
        <w:rPr>
          <w:rFonts w:cs="Times New Roman"/>
          <w:szCs w:val="20"/>
        </w:rPr>
        <w:t>.</w:t>
      </w:r>
      <w:r w:rsidR="00ED57D0">
        <w:rPr>
          <w:rStyle w:val="Odwoanieprzypisudolnego"/>
          <w:rFonts w:cs="Times New Roman"/>
          <w:szCs w:val="20"/>
        </w:rPr>
        <w:footnoteReference w:id="10"/>
      </w:r>
      <w:r w:rsidRPr="00C14F0D">
        <w:rPr>
          <w:rFonts w:cs="Times New Roman"/>
          <w:szCs w:val="20"/>
        </w:rPr>
        <w:t xml:space="preserve">  </w:t>
      </w:r>
    </w:p>
    <w:p w14:paraId="559A18FB" w14:textId="41B22389" w:rsidR="00A03517" w:rsidRPr="00C14F0D" w:rsidRDefault="00A57946" w:rsidP="00943660">
      <w:pPr>
        <w:rPr>
          <w:rFonts w:cs="Times New Roman"/>
          <w:szCs w:val="20"/>
        </w:rPr>
      </w:pPr>
      <w:r>
        <w:rPr>
          <w:rFonts w:cs="Times New Roman"/>
          <w:szCs w:val="20"/>
        </w:rPr>
        <w:t>Second</w:t>
      </w:r>
      <w:r w:rsidR="00A03517" w:rsidRPr="00C14F0D">
        <w:rPr>
          <w:rFonts w:cs="Times New Roman"/>
          <w:szCs w:val="20"/>
        </w:rPr>
        <w:t xml:space="preserve">, national legislation extends the list of prohibited practices from UTP </w:t>
      </w:r>
      <w:r w:rsidR="004A42DF" w:rsidRPr="00C14F0D">
        <w:rPr>
          <w:rFonts w:cs="Times New Roman"/>
          <w:szCs w:val="20"/>
        </w:rPr>
        <w:t>D</w:t>
      </w:r>
      <w:r w:rsidR="00A03517" w:rsidRPr="00C14F0D">
        <w:rPr>
          <w:rFonts w:cs="Times New Roman"/>
          <w:szCs w:val="20"/>
        </w:rPr>
        <w:t xml:space="preserve">irective through </w:t>
      </w:r>
      <w:r w:rsidR="00A03517" w:rsidRPr="00C74306">
        <w:rPr>
          <w:rFonts w:cs="Times New Roman"/>
          <w:i/>
          <w:iCs/>
          <w:szCs w:val="20"/>
        </w:rPr>
        <w:t xml:space="preserve">a general </w:t>
      </w:r>
      <w:r w:rsidR="004A42DF" w:rsidRPr="00C74306">
        <w:rPr>
          <w:rFonts w:cs="Times New Roman"/>
          <w:i/>
          <w:iCs/>
          <w:szCs w:val="20"/>
        </w:rPr>
        <w:t>prohibition</w:t>
      </w:r>
      <w:r w:rsidR="00A03517" w:rsidRPr="00C74306">
        <w:rPr>
          <w:rFonts w:cs="Times New Roman"/>
          <w:i/>
          <w:iCs/>
          <w:szCs w:val="20"/>
        </w:rPr>
        <w:t xml:space="preserve"> </w:t>
      </w:r>
      <w:r w:rsidR="00711003" w:rsidRPr="00C74306">
        <w:rPr>
          <w:rFonts w:cs="Times New Roman"/>
          <w:i/>
          <w:iCs/>
          <w:szCs w:val="20"/>
        </w:rPr>
        <w:t>against unfair use of contractual advantage</w:t>
      </w:r>
      <w:r w:rsidR="00EB6436">
        <w:rPr>
          <w:rFonts w:cs="Times New Roman"/>
          <w:i/>
          <w:iCs/>
          <w:szCs w:val="20"/>
        </w:rPr>
        <w:t xml:space="preserve"> </w:t>
      </w:r>
      <w:r w:rsidR="00EB6436">
        <w:rPr>
          <w:rFonts w:cs="Times New Roman"/>
          <w:szCs w:val="20"/>
        </w:rPr>
        <w:t>(a general clause)</w:t>
      </w:r>
      <w:r w:rsidR="0001667A" w:rsidRPr="00C14F0D">
        <w:rPr>
          <w:rFonts w:cs="Times New Roman"/>
          <w:szCs w:val="20"/>
        </w:rPr>
        <w:t xml:space="preserve">. The law </w:t>
      </w:r>
      <w:r w:rsidR="00493AFF" w:rsidRPr="00C14F0D">
        <w:rPr>
          <w:rFonts w:cs="Times New Roman"/>
          <w:szCs w:val="20"/>
        </w:rPr>
        <w:t>provides that use</w:t>
      </w:r>
      <w:r w:rsidR="00EB6436" w:rsidRPr="00EB6436">
        <w:t xml:space="preserve"> </w:t>
      </w:r>
      <w:r w:rsidR="00EB6436" w:rsidRPr="00EB6436">
        <w:rPr>
          <w:rFonts w:cs="Times New Roman"/>
          <w:szCs w:val="20"/>
        </w:rPr>
        <w:t>of contractual advantage</w:t>
      </w:r>
      <w:r w:rsidR="00493AFF" w:rsidRPr="00C14F0D">
        <w:rPr>
          <w:rFonts w:cs="Times New Roman"/>
          <w:szCs w:val="20"/>
        </w:rPr>
        <w:t xml:space="preserve"> is unfair if it (i) conflicts with </w:t>
      </w:r>
      <w:r w:rsidR="00493AFF" w:rsidRPr="00EB6436">
        <w:rPr>
          <w:rFonts w:cs="Times New Roman"/>
          <w:i/>
          <w:iCs/>
          <w:szCs w:val="20"/>
        </w:rPr>
        <w:t>good commercial customs</w:t>
      </w:r>
      <w:r w:rsidR="00493AFF" w:rsidRPr="00C14F0D">
        <w:rPr>
          <w:rFonts w:cs="Times New Roman"/>
          <w:szCs w:val="20"/>
        </w:rPr>
        <w:t xml:space="preserve"> and (ii) either threatens or infringes a </w:t>
      </w:r>
      <w:r w:rsidR="00493AFF" w:rsidRPr="00EB6436">
        <w:rPr>
          <w:rFonts w:cs="Times New Roman"/>
          <w:i/>
          <w:iCs/>
          <w:szCs w:val="20"/>
        </w:rPr>
        <w:t>material</w:t>
      </w:r>
      <w:r w:rsidR="00493AFF" w:rsidRPr="00C14F0D">
        <w:rPr>
          <w:rFonts w:cs="Times New Roman"/>
          <w:szCs w:val="20"/>
        </w:rPr>
        <w:t xml:space="preserve"> </w:t>
      </w:r>
      <w:r w:rsidR="00493AFF" w:rsidRPr="00EB6436">
        <w:rPr>
          <w:rFonts w:cs="Times New Roman"/>
          <w:i/>
          <w:iCs/>
          <w:szCs w:val="20"/>
        </w:rPr>
        <w:t>interest</w:t>
      </w:r>
      <w:r w:rsidR="00493AFF" w:rsidRPr="00C14F0D">
        <w:rPr>
          <w:rFonts w:cs="Times New Roman"/>
          <w:szCs w:val="20"/>
        </w:rPr>
        <w:t xml:space="preserve"> of the counterparty</w:t>
      </w:r>
      <w:r w:rsidR="0001667A" w:rsidRPr="00C14F0D">
        <w:rPr>
          <w:rFonts w:cs="Times New Roman"/>
          <w:szCs w:val="20"/>
        </w:rPr>
        <w:t>.</w:t>
      </w:r>
      <w:r w:rsidR="00E266B1">
        <w:rPr>
          <w:rStyle w:val="Odwoanieprzypisudolnego"/>
          <w:rFonts w:cs="Times New Roman"/>
          <w:szCs w:val="20"/>
        </w:rPr>
        <w:footnoteReference w:id="11"/>
      </w:r>
      <w:r w:rsidR="0001667A" w:rsidRPr="00C14F0D">
        <w:rPr>
          <w:rFonts w:cs="Times New Roman"/>
          <w:szCs w:val="20"/>
        </w:rPr>
        <w:t xml:space="preserve"> This general clause is </w:t>
      </w:r>
      <w:r w:rsidR="006B3A9F" w:rsidRPr="00C14F0D">
        <w:rPr>
          <w:rFonts w:cs="Times New Roman"/>
          <w:szCs w:val="20"/>
        </w:rPr>
        <w:t>a remainder of previous legislation on contractual advantage in agri-food sector, prior to the implementation of the UTP Directive.</w:t>
      </w:r>
      <w:r w:rsidR="0040268E">
        <w:rPr>
          <w:rStyle w:val="Odwoanieprzypisudolnego"/>
          <w:rFonts w:cs="Times New Roman"/>
          <w:szCs w:val="20"/>
        </w:rPr>
        <w:footnoteReference w:id="12"/>
      </w:r>
      <w:r w:rsidR="006B3A9F" w:rsidRPr="00C14F0D">
        <w:rPr>
          <w:rFonts w:cs="Times New Roman"/>
          <w:szCs w:val="20"/>
        </w:rPr>
        <w:t xml:space="preserve"> </w:t>
      </w:r>
      <w:r w:rsidR="00E0385E" w:rsidRPr="00C14F0D">
        <w:rPr>
          <w:rFonts w:cs="Times New Roman"/>
          <w:szCs w:val="20"/>
        </w:rPr>
        <w:t xml:space="preserve">Significantly, in public enforcement carried </w:t>
      </w:r>
      <w:r w:rsidR="00E0385E" w:rsidRPr="00C14F0D">
        <w:rPr>
          <w:rFonts w:cs="Times New Roman"/>
          <w:szCs w:val="20"/>
        </w:rPr>
        <w:lastRenderedPageBreak/>
        <w:t xml:space="preserve">out by the President of </w:t>
      </w:r>
      <w:proofErr w:type="spellStart"/>
      <w:r w:rsidR="00E0385E" w:rsidRPr="00C14F0D">
        <w:rPr>
          <w:rFonts w:cs="Times New Roman"/>
          <w:szCs w:val="20"/>
        </w:rPr>
        <w:t>UOKiK</w:t>
      </w:r>
      <w:proofErr w:type="spellEnd"/>
      <w:r w:rsidR="00E0385E" w:rsidRPr="00C14F0D">
        <w:rPr>
          <w:rFonts w:cs="Times New Roman"/>
          <w:szCs w:val="20"/>
        </w:rPr>
        <w:t xml:space="preserve">, this provision serves as the legal basis for all </w:t>
      </w:r>
      <w:r w:rsidR="002D5EAB" w:rsidRPr="00C14F0D">
        <w:rPr>
          <w:rFonts w:cs="Times New Roman"/>
          <w:szCs w:val="20"/>
        </w:rPr>
        <w:t xml:space="preserve"> - of the </w:t>
      </w:r>
      <w:r w:rsidR="00E0385E" w:rsidRPr="00C14F0D">
        <w:rPr>
          <w:rFonts w:cs="Times New Roman"/>
          <w:szCs w:val="20"/>
        </w:rPr>
        <w:t>concluded proceedings</w:t>
      </w:r>
      <w:r w:rsidR="002D5EAB" w:rsidRPr="00C14F0D">
        <w:rPr>
          <w:rFonts w:cs="Times New Roman"/>
          <w:szCs w:val="20"/>
        </w:rPr>
        <w:t xml:space="preserve"> except one that based on additional blacklisted </w:t>
      </w:r>
      <w:r w:rsidR="00CB7412" w:rsidRPr="00C14F0D">
        <w:rPr>
          <w:rFonts w:cs="Times New Roman"/>
          <w:szCs w:val="20"/>
        </w:rPr>
        <w:t>behaviour in Polish law</w:t>
      </w:r>
      <w:r>
        <w:rPr>
          <w:rFonts w:cs="Times New Roman"/>
          <w:szCs w:val="20"/>
        </w:rPr>
        <w:t xml:space="preserve"> explained </w:t>
      </w:r>
      <w:r w:rsidR="00386540">
        <w:rPr>
          <w:rFonts w:cs="Times New Roman"/>
          <w:szCs w:val="20"/>
        </w:rPr>
        <w:t xml:space="preserve">in this section </w:t>
      </w:r>
      <w:r>
        <w:rPr>
          <w:rFonts w:cs="Times New Roman"/>
          <w:szCs w:val="20"/>
        </w:rPr>
        <w:t>above</w:t>
      </w:r>
      <w:r w:rsidR="000F5F47">
        <w:rPr>
          <w:rStyle w:val="Odwoanieprzypisudolnego"/>
          <w:rFonts w:cs="Times New Roman"/>
          <w:szCs w:val="20"/>
        </w:rPr>
        <w:footnoteReference w:id="13"/>
      </w:r>
      <w:r w:rsidR="00386540">
        <w:rPr>
          <w:rFonts w:cs="Times New Roman"/>
          <w:szCs w:val="20"/>
        </w:rPr>
        <w:t>.</w:t>
      </w:r>
    </w:p>
    <w:p w14:paraId="6D4AF77E" w14:textId="09A15CC3" w:rsidR="00AD5777" w:rsidRPr="00C14F0D" w:rsidRDefault="00A57946" w:rsidP="00943660">
      <w:pPr>
        <w:rPr>
          <w:rFonts w:cs="Times New Roman"/>
          <w:szCs w:val="20"/>
        </w:rPr>
      </w:pPr>
      <w:r>
        <w:rPr>
          <w:rFonts w:cs="Times New Roman"/>
          <w:szCs w:val="20"/>
        </w:rPr>
        <w:t>Third</w:t>
      </w:r>
      <w:r w:rsidR="00655F1F" w:rsidRPr="00C14F0D">
        <w:rPr>
          <w:rFonts w:cs="Times New Roman"/>
          <w:szCs w:val="20"/>
        </w:rPr>
        <w:t xml:space="preserve">, Polish law </w:t>
      </w:r>
      <w:r w:rsidR="000B4B3D" w:rsidRPr="00C14F0D">
        <w:rPr>
          <w:rFonts w:cs="Times New Roman"/>
          <w:szCs w:val="20"/>
        </w:rPr>
        <w:t xml:space="preserve">prohibits both practices of </w:t>
      </w:r>
      <w:r w:rsidR="002B7C93" w:rsidRPr="00C14F0D">
        <w:rPr>
          <w:rFonts w:cs="Times New Roman"/>
          <w:szCs w:val="20"/>
        </w:rPr>
        <w:t xml:space="preserve">buyers towards </w:t>
      </w:r>
      <w:r w:rsidR="00093AEA" w:rsidRPr="00C14F0D">
        <w:rPr>
          <w:rFonts w:cs="Times New Roman"/>
          <w:szCs w:val="20"/>
        </w:rPr>
        <w:t xml:space="preserve">suppliers </w:t>
      </w:r>
      <w:r w:rsidR="002B7C93" w:rsidRPr="00C14F0D">
        <w:rPr>
          <w:rFonts w:cs="Times New Roman"/>
          <w:szCs w:val="20"/>
        </w:rPr>
        <w:t>but also practices of suppliers towards buyers.</w:t>
      </w:r>
      <w:r w:rsidR="00755AA3">
        <w:rPr>
          <w:rStyle w:val="Odwoanieprzypisudolnego"/>
          <w:rFonts w:cs="Times New Roman"/>
          <w:szCs w:val="20"/>
        </w:rPr>
        <w:footnoteReference w:id="14"/>
      </w:r>
      <w:r w:rsidR="002B7C93" w:rsidRPr="00C14F0D">
        <w:rPr>
          <w:rFonts w:cs="Times New Roman"/>
          <w:szCs w:val="20"/>
        </w:rPr>
        <w:t xml:space="preserve"> </w:t>
      </w:r>
      <w:r w:rsidR="00D35017" w:rsidRPr="00C14F0D">
        <w:rPr>
          <w:rFonts w:cs="Times New Roman"/>
          <w:szCs w:val="20"/>
        </w:rPr>
        <w:t xml:space="preserve">Although no specific blacklisted </w:t>
      </w:r>
      <w:r w:rsidR="00B65A1F" w:rsidRPr="00C14F0D">
        <w:rPr>
          <w:rFonts w:cs="Times New Roman"/>
          <w:szCs w:val="20"/>
        </w:rPr>
        <w:t>behaviours</w:t>
      </w:r>
      <w:r w:rsidR="00D35017" w:rsidRPr="00C14F0D">
        <w:rPr>
          <w:rFonts w:cs="Times New Roman"/>
          <w:szCs w:val="20"/>
        </w:rPr>
        <w:t xml:space="preserve"> are defined for suppliers, the general clause</w:t>
      </w:r>
      <w:r w:rsidR="001E3F67">
        <w:rPr>
          <w:rFonts w:cs="Times New Roman"/>
          <w:szCs w:val="20"/>
        </w:rPr>
        <w:t xml:space="preserve"> prohibiting </w:t>
      </w:r>
      <w:r w:rsidR="000F43CA">
        <w:rPr>
          <w:rFonts w:cs="Times New Roman"/>
          <w:szCs w:val="20"/>
        </w:rPr>
        <w:t>unfair</w:t>
      </w:r>
      <w:r w:rsidR="001E3F67">
        <w:rPr>
          <w:rFonts w:cs="Times New Roman"/>
          <w:szCs w:val="20"/>
        </w:rPr>
        <w:t xml:space="preserve"> use of contractual advantage</w:t>
      </w:r>
      <w:r w:rsidR="00D35017" w:rsidRPr="00C14F0D">
        <w:rPr>
          <w:rFonts w:cs="Times New Roman"/>
          <w:szCs w:val="20"/>
        </w:rPr>
        <w:t xml:space="preserve"> applies to them as well</w:t>
      </w:r>
      <w:r w:rsidR="008533F5" w:rsidRPr="00C14F0D">
        <w:rPr>
          <w:rFonts w:cs="Times New Roman"/>
          <w:szCs w:val="20"/>
        </w:rPr>
        <w:t xml:space="preserve">. </w:t>
      </w:r>
      <w:r w:rsidR="00D35017" w:rsidRPr="00C14F0D">
        <w:rPr>
          <w:rFonts w:cs="Times New Roman"/>
          <w:szCs w:val="20"/>
        </w:rPr>
        <w:t xml:space="preserve">To date, </w:t>
      </w:r>
      <w:r w:rsidR="00E0385E" w:rsidRPr="00C14F0D">
        <w:rPr>
          <w:rFonts w:cs="Times New Roman"/>
          <w:szCs w:val="20"/>
        </w:rPr>
        <w:t xml:space="preserve">the President of </w:t>
      </w:r>
      <w:proofErr w:type="spellStart"/>
      <w:r w:rsidR="00D35017" w:rsidRPr="00C14F0D">
        <w:rPr>
          <w:rFonts w:cs="Times New Roman"/>
          <w:szCs w:val="20"/>
        </w:rPr>
        <w:t>UOKiK</w:t>
      </w:r>
      <w:proofErr w:type="spellEnd"/>
      <w:r w:rsidR="00D35017" w:rsidRPr="00C14F0D">
        <w:rPr>
          <w:rFonts w:cs="Times New Roman"/>
          <w:szCs w:val="20"/>
        </w:rPr>
        <w:t xml:space="preserve"> has not taken enforcement action against suppliers</w:t>
      </w:r>
      <w:r w:rsidR="00701D63">
        <w:rPr>
          <w:rFonts w:cs="Times New Roman"/>
          <w:szCs w:val="20"/>
        </w:rPr>
        <w:t xml:space="preserve"> alleged for unfair use of their contractual advantage over the buyers</w:t>
      </w:r>
      <w:r w:rsidR="00504CBE" w:rsidRPr="00C14F0D">
        <w:rPr>
          <w:rFonts w:cs="Times New Roman"/>
          <w:szCs w:val="20"/>
        </w:rPr>
        <w:t xml:space="preserve">. </w:t>
      </w:r>
      <w:r w:rsidR="008533F5" w:rsidRPr="00C14F0D">
        <w:rPr>
          <w:rFonts w:cs="Times New Roman"/>
          <w:szCs w:val="20"/>
        </w:rPr>
        <w:t xml:space="preserve"> </w:t>
      </w:r>
      <w:r w:rsidR="00943660" w:rsidRPr="00C14F0D">
        <w:rPr>
          <w:rFonts w:cs="Times New Roman"/>
          <w:szCs w:val="20"/>
        </w:rPr>
        <w:t xml:space="preserve"> </w:t>
      </w:r>
    </w:p>
    <w:p w14:paraId="6A14DE49" w14:textId="309C9F33" w:rsidR="00F11817" w:rsidRPr="00C14F0D" w:rsidRDefault="00985B9C" w:rsidP="00943660">
      <w:pPr>
        <w:rPr>
          <w:rFonts w:cs="Times New Roman"/>
          <w:szCs w:val="20"/>
        </w:rPr>
      </w:pPr>
      <w:r w:rsidRPr="00C14F0D">
        <w:rPr>
          <w:rFonts w:cs="Times New Roman"/>
          <w:szCs w:val="20"/>
        </w:rPr>
        <w:t xml:space="preserve">The fourth notable specific feature of Polish law implementing the UTP Directive relates to procedural aspects. The President of </w:t>
      </w:r>
      <w:proofErr w:type="spellStart"/>
      <w:r w:rsidRPr="00C14F0D">
        <w:rPr>
          <w:rFonts w:cs="Times New Roman"/>
          <w:szCs w:val="20"/>
        </w:rPr>
        <w:t>UOKiK</w:t>
      </w:r>
      <w:proofErr w:type="spellEnd"/>
      <w:r w:rsidRPr="00C14F0D">
        <w:rPr>
          <w:rFonts w:cs="Times New Roman"/>
          <w:szCs w:val="20"/>
        </w:rPr>
        <w:t xml:space="preserve"> is empowered to close proceedings through a commitment decision similar to those found in antitrust cases</w:t>
      </w:r>
      <w:r w:rsidR="00201EC6" w:rsidRPr="00C14F0D">
        <w:rPr>
          <w:rFonts w:cs="Times New Roman"/>
          <w:szCs w:val="20"/>
        </w:rPr>
        <w:t>.</w:t>
      </w:r>
      <w:r w:rsidR="004823C1">
        <w:rPr>
          <w:rStyle w:val="Odwoanieprzypisudolnego"/>
          <w:rFonts w:cs="Times New Roman"/>
          <w:szCs w:val="20"/>
        </w:rPr>
        <w:footnoteReference w:id="15"/>
      </w:r>
      <w:r w:rsidR="00201EC6" w:rsidRPr="00C14F0D">
        <w:rPr>
          <w:rFonts w:cs="Times New Roman"/>
          <w:szCs w:val="20"/>
        </w:rPr>
        <w:t xml:space="preserve"> </w:t>
      </w:r>
      <w:r w:rsidR="000E4375" w:rsidRPr="00C14F0D">
        <w:rPr>
          <w:rFonts w:cs="Times New Roman"/>
          <w:szCs w:val="20"/>
        </w:rPr>
        <w:t>This mechanism has been a major factor in establishing industry standards by the authority. Commitment decisions enable expedited case resolution. Such decisions require a lower burden of proof, as the authority need only establish the likelihood of the infringement</w:t>
      </w:r>
      <w:r w:rsidR="008F08AC" w:rsidRPr="00C14F0D">
        <w:rPr>
          <w:rFonts w:cs="Times New Roman"/>
          <w:szCs w:val="20"/>
        </w:rPr>
        <w:t xml:space="preserve">. </w:t>
      </w:r>
      <w:r w:rsidR="000E4375" w:rsidRPr="00C14F0D">
        <w:rPr>
          <w:rFonts w:cs="Times New Roman"/>
          <w:szCs w:val="20"/>
        </w:rPr>
        <w:t xml:space="preserve">Additionally, since the outcome of a case is </w:t>
      </w:r>
      <w:r w:rsidR="00AA4B00" w:rsidRPr="00C14F0D">
        <w:rPr>
          <w:rFonts w:cs="Times New Roman"/>
          <w:szCs w:val="20"/>
        </w:rPr>
        <w:t>favourable</w:t>
      </w:r>
      <w:r w:rsidR="000E4375" w:rsidRPr="00C14F0D">
        <w:rPr>
          <w:rFonts w:cs="Times New Roman"/>
          <w:szCs w:val="20"/>
        </w:rPr>
        <w:t xml:space="preserve"> for the undertaking due to the absence of financial penalties, judicial challenges are rare, which enables the decision to become </w:t>
      </w:r>
      <w:r w:rsidR="00F11817" w:rsidRPr="00C14F0D">
        <w:rPr>
          <w:rFonts w:cs="Times New Roman"/>
          <w:szCs w:val="20"/>
        </w:rPr>
        <w:t>legally binding quickly</w:t>
      </w:r>
      <w:r w:rsidR="0004550A" w:rsidRPr="00C14F0D">
        <w:rPr>
          <w:rFonts w:cs="Times New Roman"/>
          <w:szCs w:val="20"/>
        </w:rPr>
        <w:t>.</w:t>
      </w:r>
      <w:r w:rsidR="00274E13">
        <w:rPr>
          <w:rFonts w:cs="Times New Roman"/>
          <w:szCs w:val="20"/>
        </w:rPr>
        <w:t xml:space="preserve"> Out of 22 decisions issued </w:t>
      </w:r>
      <w:r w:rsidR="00F36F53">
        <w:rPr>
          <w:rFonts w:cs="Times New Roman"/>
          <w:szCs w:val="20"/>
        </w:rPr>
        <w:t xml:space="preserve">by the authority, 10 of them were commitment decisions. </w:t>
      </w:r>
      <w:r w:rsidR="00D464AF" w:rsidRPr="00D464AF">
        <w:rPr>
          <w:rFonts w:cs="Times New Roman"/>
          <w:szCs w:val="20"/>
        </w:rPr>
        <w:t xml:space="preserve">Additionally, the President of </w:t>
      </w:r>
      <w:proofErr w:type="spellStart"/>
      <w:r w:rsidR="00D464AF" w:rsidRPr="00D464AF">
        <w:rPr>
          <w:rFonts w:cs="Times New Roman"/>
          <w:szCs w:val="20"/>
        </w:rPr>
        <w:t>UOKiK</w:t>
      </w:r>
      <w:proofErr w:type="spellEnd"/>
      <w:r w:rsidR="00D464AF" w:rsidRPr="00D464AF">
        <w:rPr>
          <w:rFonts w:cs="Times New Roman"/>
          <w:szCs w:val="20"/>
        </w:rPr>
        <w:t xml:space="preserve"> is authorised to issue so</w:t>
      </w:r>
      <w:r w:rsidR="00D464AF">
        <w:rPr>
          <w:rFonts w:cs="Times New Roman"/>
          <w:szCs w:val="20"/>
        </w:rPr>
        <w:t xml:space="preserve"> </w:t>
      </w:r>
      <w:r w:rsidR="00D464AF" w:rsidRPr="00D464AF">
        <w:rPr>
          <w:rFonts w:cs="Times New Roman"/>
          <w:szCs w:val="20"/>
        </w:rPr>
        <w:t xml:space="preserve">called </w:t>
      </w:r>
      <w:r w:rsidR="00D464AF">
        <w:rPr>
          <w:rFonts w:cs="Times New Roman"/>
          <w:szCs w:val="20"/>
        </w:rPr>
        <w:t>“</w:t>
      </w:r>
      <w:r w:rsidR="00D464AF" w:rsidRPr="00D464AF">
        <w:rPr>
          <w:rFonts w:cs="Times New Roman"/>
          <w:szCs w:val="20"/>
        </w:rPr>
        <w:t>soft intervention</w:t>
      </w:r>
      <w:r w:rsidR="00D464AF">
        <w:rPr>
          <w:rFonts w:cs="Times New Roman"/>
          <w:szCs w:val="20"/>
        </w:rPr>
        <w:t>s</w:t>
      </w:r>
      <w:r w:rsidR="00D464AF" w:rsidRPr="00D464AF">
        <w:rPr>
          <w:rFonts w:cs="Times New Roman"/>
          <w:szCs w:val="20"/>
        </w:rPr>
        <w:t>”</w:t>
      </w:r>
      <w:r w:rsidR="00D464AF">
        <w:rPr>
          <w:rFonts w:cs="Times New Roman"/>
          <w:szCs w:val="20"/>
        </w:rPr>
        <w:t xml:space="preserve">, </w:t>
      </w:r>
      <w:r w:rsidR="00D464AF" w:rsidRPr="00D464AF">
        <w:rPr>
          <w:rFonts w:cs="Times New Roman"/>
          <w:szCs w:val="20"/>
        </w:rPr>
        <w:t>which are non</w:t>
      </w:r>
      <w:r w:rsidR="00D464AF">
        <w:rPr>
          <w:rFonts w:cs="Times New Roman"/>
          <w:szCs w:val="20"/>
        </w:rPr>
        <w:t>-</w:t>
      </w:r>
      <w:r w:rsidR="00D464AF" w:rsidRPr="00D464AF">
        <w:rPr>
          <w:rFonts w:cs="Times New Roman"/>
          <w:szCs w:val="20"/>
        </w:rPr>
        <w:t xml:space="preserve">binding statements or recommendations addressed to undertakings, </w:t>
      </w:r>
      <w:r w:rsidR="00D464AF">
        <w:rPr>
          <w:rFonts w:cs="Times New Roman"/>
          <w:szCs w:val="20"/>
        </w:rPr>
        <w:t xml:space="preserve">made </w:t>
      </w:r>
      <w:r w:rsidR="00D464AF" w:rsidRPr="00D464AF">
        <w:rPr>
          <w:rFonts w:cs="Times New Roman"/>
          <w:szCs w:val="20"/>
        </w:rPr>
        <w:t>without formally opening administrative proceedings.</w:t>
      </w:r>
    </w:p>
    <w:p w14:paraId="30040B7D" w14:textId="17285ADD" w:rsidR="0024432B" w:rsidRPr="00C14F0D" w:rsidRDefault="007B6B05" w:rsidP="009800AF">
      <w:pPr>
        <w:pStyle w:val="Nagwek1"/>
      </w:pPr>
      <w:r w:rsidRPr="00C14F0D">
        <w:t xml:space="preserve">Enforcement of </w:t>
      </w:r>
      <w:r w:rsidR="00310C47" w:rsidRPr="00C14F0D">
        <w:t>the rules on contractual advantage in agri-food sector</w:t>
      </w:r>
    </w:p>
    <w:p w14:paraId="16D4DE23" w14:textId="766CEC40" w:rsidR="00654C05" w:rsidRPr="00C14F0D" w:rsidRDefault="00654C05" w:rsidP="00184FF5">
      <w:pPr>
        <w:rPr>
          <w:rFonts w:cs="Times New Roman"/>
          <w:szCs w:val="20"/>
        </w:rPr>
      </w:pPr>
      <w:r w:rsidRPr="00C14F0D">
        <w:rPr>
          <w:rFonts w:cs="Times New Roman"/>
          <w:szCs w:val="20"/>
        </w:rPr>
        <w:t xml:space="preserve">Since Polish law contains a general prohibition clause against the unfair exploitation of contractual advantage, the enforcement practice of the President of </w:t>
      </w:r>
      <w:proofErr w:type="spellStart"/>
      <w:r w:rsidRPr="00C14F0D">
        <w:rPr>
          <w:rFonts w:cs="Times New Roman"/>
          <w:szCs w:val="20"/>
        </w:rPr>
        <w:t>UOKiK</w:t>
      </w:r>
      <w:proofErr w:type="spellEnd"/>
      <w:r w:rsidRPr="00C14F0D">
        <w:rPr>
          <w:rFonts w:cs="Times New Roman"/>
          <w:szCs w:val="20"/>
        </w:rPr>
        <w:t xml:space="preserve"> and subsequent judicial </w:t>
      </w:r>
      <w:r w:rsidR="00095DB6">
        <w:rPr>
          <w:rFonts w:cs="Times New Roman"/>
          <w:szCs w:val="20"/>
        </w:rPr>
        <w:t>rulings</w:t>
      </w:r>
      <w:r w:rsidRPr="00C14F0D">
        <w:rPr>
          <w:rFonts w:cs="Times New Roman"/>
          <w:szCs w:val="20"/>
        </w:rPr>
        <w:t xml:space="preserve"> </w:t>
      </w:r>
      <w:r w:rsidR="00095DB6" w:rsidRPr="00095DB6">
        <w:rPr>
          <w:rFonts w:cs="Times New Roman"/>
          <w:szCs w:val="20"/>
        </w:rPr>
        <w:t>effectively complement the legal provisions and shape market standards within Polish jurisdiction</w:t>
      </w:r>
      <w:r w:rsidRPr="00C14F0D">
        <w:rPr>
          <w:rFonts w:cs="Times New Roman"/>
          <w:szCs w:val="20"/>
        </w:rPr>
        <w:t>.</w:t>
      </w:r>
    </w:p>
    <w:p w14:paraId="1BFF07D0" w14:textId="06C8C145" w:rsidR="00890DBC" w:rsidRPr="00C14F0D" w:rsidRDefault="00351F21" w:rsidP="00184FF5">
      <w:pPr>
        <w:rPr>
          <w:rFonts w:cs="Times New Roman"/>
          <w:szCs w:val="20"/>
        </w:rPr>
      </w:pPr>
      <w:r w:rsidRPr="00C14F0D">
        <w:rPr>
          <w:rFonts w:cs="Times New Roman"/>
          <w:szCs w:val="20"/>
        </w:rPr>
        <w:t>The</w:t>
      </w:r>
      <w:r w:rsidR="000B4B00">
        <w:rPr>
          <w:rFonts w:cs="Times New Roman"/>
          <w:szCs w:val="20"/>
        </w:rPr>
        <w:t xml:space="preserve"> </w:t>
      </w:r>
      <w:r w:rsidRPr="00C14F0D">
        <w:rPr>
          <w:rFonts w:cs="Times New Roman"/>
          <w:szCs w:val="20"/>
        </w:rPr>
        <w:t xml:space="preserve">authority's enforcement activities </w:t>
      </w:r>
      <w:r w:rsidR="00C102AD">
        <w:rPr>
          <w:rFonts w:cs="Times New Roman"/>
          <w:szCs w:val="20"/>
        </w:rPr>
        <w:t xml:space="preserve">to date </w:t>
      </w:r>
      <w:r w:rsidRPr="00C14F0D">
        <w:rPr>
          <w:rFonts w:cs="Times New Roman"/>
          <w:szCs w:val="20"/>
        </w:rPr>
        <w:t>demonstrate three principal areas of focus</w:t>
      </w:r>
      <w:r w:rsidR="00AD01B7" w:rsidRPr="00C14F0D">
        <w:rPr>
          <w:rFonts w:cs="Times New Roman"/>
          <w:szCs w:val="20"/>
        </w:rPr>
        <w:t>. First</w:t>
      </w:r>
      <w:r w:rsidR="001245D6" w:rsidRPr="00C14F0D">
        <w:rPr>
          <w:rFonts w:cs="Times New Roman"/>
          <w:szCs w:val="20"/>
        </w:rPr>
        <w:t>,</w:t>
      </w:r>
      <w:r w:rsidR="00AD01B7" w:rsidRPr="00C14F0D">
        <w:rPr>
          <w:rFonts w:cs="Times New Roman"/>
          <w:szCs w:val="20"/>
        </w:rPr>
        <w:t xml:space="preserve"> </w:t>
      </w:r>
      <w:r w:rsidR="001B2037" w:rsidRPr="00C14F0D">
        <w:rPr>
          <w:rFonts w:cs="Times New Roman"/>
          <w:szCs w:val="20"/>
        </w:rPr>
        <w:t xml:space="preserve">the authority </w:t>
      </w:r>
      <w:r w:rsidRPr="00C14F0D">
        <w:rPr>
          <w:rFonts w:cs="Times New Roman"/>
          <w:szCs w:val="20"/>
        </w:rPr>
        <w:t xml:space="preserve">has </w:t>
      </w:r>
      <w:r w:rsidR="000C04A7" w:rsidRPr="00C14F0D">
        <w:rPr>
          <w:rFonts w:cs="Times New Roman"/>
          <w:szCs w:val="20"/>
        </w:rPr>
        <w:t>challenged</w:t>
      </w:r>
      <w:r w:rsidRPr="00C14F0D">
        <w:rPr>
          <w:rFonts w:cs="Times New Roman"/>
          <w:szCs w:val="20"/>
        </w:rPr>
        <w:t xml:space="preserve"> </w:t>
      </w:r>
      <w:r w:rsidR="00870C5D" w:rsidRPr="00C14F0D">
        <w:rPr>
          <w:rFonts w:cs="Times New Roman"/>
          <w:szCs w:val="20"/>
        </w:rPr>
        <w:t xml:space="preserve">collection of undue financial benefits by the stronger party to the relationship </w:t>
      </w:r>
      <w:r w:rsidR="001B2037" w:rsidRPr="00C14F0D">
        <w:rPr>
          <w:rFonts w:cs="Times New Roman"/>
          <w:szCs w:val="20"/>
        </w:rPr>
        <w:t>(</w:t>
      </w:r>
      <w:proofErr w:type="spellStart"/>
      <w:r w:rsidR="004B42D6" w:rsidRPr="00C14F0D">
        <w:rPr>
          <w:rFonts w:cs="Times New Roman"/>
          <w:szCs w:val="20"/>
        </w:rPr>
        <w:t>i.a.</w:t>
      </w:r>
      <w:proofErr w:type="spellEnd"/>
      <w:r w:rsidR="004B42D6" w:rsidRPr="00C14F0D">
        <w:rPr>
          <w:rFonts w:cs="Times New Roman"/>
          <w:szCs w:val="20"/>
        </w:rPr>
        <w:t xml:space="preserve"> </w:t>
      </w:r>
      <w:r w:rsidR="00281787" w:rsidRPr="00C14F0D">
        <w:rPr>
          <w:rFonts w:cs="Times New Roman"/>
          <w:szCs w:val="20"/>
        </w:rPr>
        <w:t xml:space="preserve">cases: </w:t>
      </w:r>
      <w:proofErr w:type="spellStart"/>
      <w:r w:rsidR="004B42D6" w:rsidRPr="00C14F0D">
        <w:rPr>
          <w:rFonts w:cs="Times New Roman"/>
          <w:i/>
          <w:iCs/>
          <w:szCs w:val="20"/>
        </w:rPr>
        <w:t>Cykoria</w:t>
      </w:r>
      <w:proofErr w:type="spellEnd"/>
      <w:r w:rsidR="004B42D6" w:rsidRPr="00C14F0D">
        <w:rPr>
          <w:rFonts w:cs="Times New Roman"/>
          <w:i/>
          <w:iCs/>
          <w:szCs w:val="20"/>
        </w:rPr>
        <w:t>;</w:t>
      </w:r>
      <w:r w:rsidR="00561BAD">
        <w:rPr>
          <w:rStyle w:val="Odwoanieprzypisudolnego"/>
          <w:rFonts w:cs="Times New Roman"/>
          <w:i/>
          <w:iCs/>
          <w:szCs w:val="20"/>
        </w:rPr>
        <w:footnoteReference w:id="16"/>
      </w:r>
      <w:r w:rsidR="00710976" w:rsidRPr="00C14F0D">
        <w:rPr>
          <w:rFonts w:cs="Times New Roman"/>
          <w:i/>
          <w:iCs/>
          <w:szCs w:val="20"/>
        </w:rPr>
        <w:t xml:space="preserve"> Jeronimo Martins Polska;</w:t>
      </w:r>
      <w:r w:rsidR="00E041CB">
        <w:rPr>
          <w:rStyle w:val="Odwoanieprzypisudolnego"/>
          <w:rFonts w:cs="Times New Roman"/>
          <w:i/>
          <w:iCs/>
          <w:szCs w:val="20"/>
        </w:rPr>
        <w:footnoteReference w:id="17"/>
      </w:r>
      <w:r w:rsidR="00710976" w:rsidRPr="00C14F0D">
        <w:rPr>
          <w:rFonts w:cs="Times New Roman"/>
          <w:i/>
          <w:iCs/>
          <w:szCs w:val="20"/>
        </w:rPr>
        <w:t xml:space="preserve"> Auchan</w:t>
      </w:r>
      <w:r w:rsidR="00F717E6">
        <w:rPr>
          <w:rFonts w:cs="Times New Roman"/>
          <w:szCs w:val="20"/>
        </w:rPr>
        <w:t xml:space="preserve"> </w:t>
      </w:r>
      <w:r w:rsidR="00F717E6" w:rsidRPr="00F717E6">
        <w:rPr>
          <w:rFonts w:cs="Times New Roman"/>
          <w:i/>
          <w:iCs/>
          <w:szCs w:val="20"/>
        </w:rPr>
        <w:t>Polska</w:t>
      </w:r>
      <w:r w:rsidR="00C904BF" w:rsidRPr="00C14F0D">
        <w:rPr>
          <w:rFonts w:cs="Times New Roman"/>
          <w:i/>
          <w:iCs/>
          <w:szCs w:val="20"/>
        </w:rPr>
        <w:t>)</w:t>
      </w:r>
      <w:r w:rsidR="00561BAD">
        <w:rPr>
          <w:rStyle w:val="Odwoanieprzypisudolnego"/>
          <w:rFonts w:cs="Times New Roman"/>
          <w:i/>
          <w:iCs/>
          <w:szCs w:val="20"/>
        </w:rPr>
        <w:footnoteReference w:id="18"/>
      </w:r>
      <w:r w:rsidR="00C904BF" w:rsidRPr="00C14F0D">
        <w:rPr>
          <w:rFonts w:cs="Times New Roman"/>
          <w:i/>
          <w:iCs/>
          <w:szCs w:val="20"/>
        </w:rPr>
        <w:t xml:space="preserve">. </w:t>
      </w:r>
      <w:r w:rsidR="00CB0D6C" w:rsidRPr="00C14F0D">
        <w:rPr>
          <w:rFonts w:cs="Times New Roman"/>
          <w:szCs w:val="20"/>
        </w:rPr>
        <w:t xml:space="preserve">Second, there have been instances where the authority has alleged that companies imposed unjustified extensions of payment terms for delivered agricultural or food products </w:t>
      </w:r>
      <w:r w:rsidR="005A4615" w:rsidRPr="00C14F0D">
        <w:rPr>
          <w:rFonts w:cs="Times New Roman"/>
          <w:szCs w:val="20"/>
        </w:rPr>
        <w:t>(i. a</w:t>
      </w:r>
      <w:r w:rsidR="000E2DEA" w:rsidRPr="00C14F0D">
        <w:rPr>
          <w:rFonts w:cs="Times New Roman"/>
          <w:szCs w:val="20"/>
        </w:rPr>
        <w:t xml:space="preserve">. </w:t>
      </w:r>
      <w:r w:rsidR="00281787" w:rsidRPr="00C14F0D">
        <w:rPr>
          <w:rFonts w:cs="Times New Roman"/>
          <w:szCs w:val="20"/>
        </w:rPr>
        <w:lastRenderedPageBreak/>
        <w:t xml:space="preserve">cases: </w:t>
      </w:r>
      <w:r w:rsidR="000E2DEA" w:rsidRPr="00C14F0D">
        <w:rPr>
          <w:rFonts w:cs="Times New Roman"/>
          <w:i/>
          <w:iCs/>
          <w:szCs w:val="20"/>
        </w:rPr>
        <w:t>Rauch Polska</w:t>
      </w:r>
      <w:r w:rsidR="00031D0C">
        <w:rPr>
          <w:rFonts w:cs="Times New Roman"/>
          <w:i/>
          <w:iCs/>
          <w:szCs w:val="20"/>
        </w:rPr>
        <w:t>;</w:t>
      </w:r>
      <w:r w:rsidR="00031D0C">
        <w:rPr>
          <w:rStyle w:val="Odwoanieprzypisudolnego"/>
          <w:rFonts w:cs="Times New Roman"/>
          <w:i/>
          <w:iCs/>
          <w:szCs w:val="20"/>
        </w:rPr>
        <w:footnoteReference w:id="19"/>
      </w:r>
      <w:r w:rsidR="00545D07" w:rsidRPr="00C14F0D">
        <w:rPr>
          <w:rFonts w:cs="Times New Roman"/>
          <w:szCs w:val="20"/>
        </w:rPr>
        <w:t xml:space="preserve"> </w:t>
      </w:r>
      <w:proofErr w:type="spellStart"/>
      <w:r w:rsidR="00545D07" w:rsidRPr="00C14F0D">
        <w:rPr>
          <w:rFonts w:cs="Times New Roman"/>
          <w:i/>
          <w:iCs/>
          <w:szCs w:val="20"/>
          <w:u w:val="single"/>
        </w:rPr>
        <w:t>Appol</w:t>
      </w:r>
      <w:proofErr w:type="spellEnd"/>
      <w:r w:rsidR="00545D07" w:rsidRPr="00C14F0D">
        <w:rPr>
          <w:rFonts w:cs="Times New Roman"/>
          <w:szCs w:val="20"/>
        </w:rPr>
        <w:t>).</w:t>
      </w:r>
      <w:r w:rsidR="00031D0C">
        <w:rPr>
          <w:rStyle w:val="Odwoanieprzypisudolnego"/>
          <w:rFonts w:cs="Times New Roman"/>
          <w:szCs w:val="20"/>
        </w:rPr>
        <w:footnoteReference w:id="20"/>
      </w:r>
      <w:r w:rsidR="008134F6" w:rsidRPr="00C14F0D">
        <w:rPr>
          <w:rFonts w:cs="Times New Roman"/>
          <w:szCs w:val="20"/>
        </w:rPr>
        <w:t xml:space="preserve"> </w:t>
      </w:r>
      <w:r w:rsidR="00A13270" w:rsidRPr="00C14F0D">
        <w:rPr>
          <w:rFonts w:cs="Times New Roman"/>
          <w:szCs w:val="20"/>
        </w:rPr>
        <w:t xml:space="preserve">The third area of intervention concerns </w:t>
      </w:r>
      <w:r w:rsidR="00890DBC" w:rsidRPr="00C14F0D">
        <w:rPr>
          <w:rFonts w:cs="Times New Roman"/>
          <w:szCs w:val="20"/>
        </w:rPr>
        <w:t>unfair shift</w:t>
      </w:r>
      <w:r w:rsidR="00381389">
        <w:rPr>
          <w:rFonts w:cs="Times New Roman"/>
          <w:szCs w:val="20"/>
        </w:rPr>
        <w:t>s</w:t>
      </w:r>
      <w:r w:rsidR="00890DBC" w:rsidRPr="00C14F0D">
        <w:rPr>
          <w:rFonts w:cs="Times New Roman"/>
          <w:szCs w:val="20"/>
        </w:rPr>
        <w:t xml:space="preserve"> of business risks arising from the contract from the buyer towards the supplier (</w:t>
      </w:r>
      <w:proofErr w:type="spellStart"/>
      <w:r w:rsidR="00890DBC" w:rsidRPr="00C14F0D">
        <w:rPr>
          <w:rFonts w:cs="Times New Roman"/>
          <w:szCs w:val="20"/>
        </w:rPr>
        <w:t>i.a.</w:t>
      </w:r>
      <w:proofErr w:type="spellEnd"/>
      <w:r w:rsidR="00890DBC" w:rsidRPr="00C14F0D">
        <w:rPr>
          <w:rFonts w:cs="Times New Roman"/>
          <w:szCs w:val="20"/>
        </w:rPr>
        <w:t xml:space="preserve"> cases </w:t>
      </w:r>
      <w:proofErr w:type="spellStart"/>
      <w:r w:rsidR="00890DBC" w:rsidRPr="00C14F0D">
        <w:rPr>
          <w:rFonts w:cs="Times New Roman"/>
          <w:i/>
          <w:iCs/>
          <w:szCs w:val="20"/>
        </w:rPr>
        <w:t>Cefetra</w:t>
      </w:r>
      <w:proofErr w:type="spellEnd"/>
      <w:r w:rsidR="00890DBC" w:rsidRPr="00C14F0D">
        <w:rPr>
          <w:rFonts w:cs="Times New Roman"/>
          <w:i/>
          <w:iCs/>
          <w:szCs w:val="20"/>
        </w:rPr>
        <w:t xml:space="preserve"> Polska</w:t>
      </w:r>
      <w:r w:rsidR="00BE6771">
        <w:rPr>
          <w:rFonts w:cs="Times New Roman"/>
          <w:i/>
          <w:iCs/>
          <w:szCs w:val="20"/>
        </w:rPr>
        <w:t>;</w:t>
      </w:r>
      <w:r w:rsidR="00BE6771">
        <w:rPr>
          <w:rStyle w:val="Odwoanieprzypisudolnego"/>
          <w:rFonts w:cs="Times New Roman"/>
          <w:i/>
          <w:iCs/>
          <w:szCs w:val="20"/>
        </w:rPr>
        <w:footnoteReference w:id="21"/>
      </w:r>
      <w:r w:rsidR="00074E3F" w:rsidRPr="00C14F0D">
        <w:rPr>
          <w:rFonts w:cs="Times New Roman"/>
          <w:szCs w:val="20"/>
        </w:rPr>
        <w:t xml:space="preserve"> </w:t>
      </w:r>
      <w:proofErr w:type="spellStart"/>
      <w:r w:rsidR="00074E3F" w:rsidRPr="00C14F0D">
        <w:rPr>
          <w:rFonts w:cs="Times New Roman"/>
          <w:i/>
          <w:iCs/>
          <w:szCs w:val="20"/>
        </w:rPr>
        <w:t>Polish</w:t>
      </w:r>
      <w:r w:rsidR="00890DBC" w:rsidRPr="00C14F0D">
        <w:rPr>
          <w:rFonts w:cs="Times New Roman"/>
          <w:i/>
          <w:iCs/>
          <w:szCs w:val="20"/>
        </w:rPr>
        <w:t>Agri</w:t>
      </w:r>
      <w:proofErr w:type="spellEnd"/>
      <w:r w:rsidR="00023463" w:rsidRPr="00C14F0D">
        <w:rPr>
          <w:rFonts w:cs="Times New Roman"/>
          <w:szCs w:val="20"/>
        </w:rPr>
        <w:t>).</w:t>
      </w:r>
      <w:r w:rsidR="004531A4">
        <w:rPr>
          <w:rStyle w:val="Odwoanieprzypisudolnego"/>
          <w:rFonts w:cs="Times New Roman"/>
          <w:szCs w:val="20"/>
        </w:rPr>
        <w:footnoteReference w:id="22"/>
      </w:r>
    </w:p>
    <w:p w14:paraId="69936B90" w14:textId="54103DA5" w:rsidR="003848D1" w:rsidRPr="00C14F0D" w:rsidRDefault="00016425" w:rsidP="00184FF5">
      <w:pPr>
        <w:rPr>
          <w:rFonts w:cs="Times New Roman"/>
          <w:szCs w:val="20"/>
        </w:rPr>
      </w:pPr>
      <w:r w:rsidRPr="001A08BD">
        <w:rPr>
          <w:rFonts w:cs="Times New Roman"/>
          <w:szCs w:val="20"/>
        </w:rPr>
        <w:t xml:space="preserve">The cases </w:t>
      </w:r>
      <w:r w:rsidR="00551ACD" w:rsidRPr="001A08BD">
        <w:rPr>
          <w:rFonts w:cs="Times New Roman"/>
          <w:szCs w:val="20"/>
        </w:rPr>
        <w:t>concluded</w:t>
      </w:r>
      <w:r w:rsidRPr="001A08BD">
        <w:rPr>
          <w:rFonts w:cs="Times New Roman"/>
          <w:szCs w:val="20"/>
        </w:rPr>
        <w:t xml:space="preserve"> </w:t>
      </w:r>
      <w:r w:rsidR="006527F2">
        <w:rPr>
          <w:rFonts w:cs="Times New Roman"/>
          <w:szCs w:val="20"/>
        </w:rPr>
        <w:t xml:space="preserve">to date </w:t>
      </w:r>
      <w:r w:rsidRPr="001A08BD">
        <w:rPr>
          <w:rFonts w:cs="Times New Roman"/>
          <w:szCs w:val="20"/>
        </w:rPr>
        <w:t>with a decision</w:t>
      </w:r>
      <w:r w:rsidR="00C102AD">
        <w:rPr>
          <w:rFonts w:cs="Times New Roman"/>
          <w:szCs w:val="20"/>
        </w:rPr>
        <w:t xml:space="preserve"> imposing financial fine</w:t>
      </w:r>
      <w:r w:rsidRPr="001A08BD">
        <w:rPr>
          <w:rFonts w:cs="Times New Roman"/>
          <w:szCs w:val="20"/>
        </w:rPr>
        <w:t xml:space="preserve"> follow a similar pattern of reasoning. The authority</w:t>
      </w:r>
      <w:r w:rsidR="001A6890" w:rsidRPr="001A08BD">
        <w:rPr>
          <w:rFonts w:cs="Times New Roman"/>
          <w:szCs w:val="20"/>
        </w:rPr>
        <w:t xml:space="preserve"> </w:t>
      </w:r>
      <w:r w:rsidR="00551ACD" w:rsidRPr="001A08BD">
        <w:rPr>
          <w:rFonts w:cs="Times New Roman"/>
          <w:szCs w:val="20"/>
        </w:rPr>
        <w:t xml:space="preserve">first </w:t>
      </w:r>
      <w:r w:rsidR="001A6890" w:rsidRPr="001A08BD">
        <w:rPr>
          <w:rFonts w:cs="Times New Roman"/>
          <w:szCs w:val="20"/>
        </w:rPr>
        <w:t>describes the business practice</w:t>
      </w:r>
      <w:r w:rsidR="005F601C" w:rsidRPr="001A08BD">
        <w:rPr>
          <w:rFonts w:cs="Times New Roman"/>
          <w:szCs w:val="20"/>
        </w:rPr>
        <w:t xml:space="preserve"> </w:t>
      </w:r>
      <w:r w:rsidR="000B7E6C">
        <w:rPr>
          <w:rFonts w:cs="Times New Roman"/>
          <w:szCs w:val="20"/>
        </w:rPr>
        <w:t>at issue</w:t>
      </w:r>
      <w:r w:rsidR="005F601C" w:rsidRPr="001A08BD">
        <w:rPr>
          <w:rFonts w:cs="Times New Roman"/>
          <w:szCs w:val="20"/>
        </w:rPr>
        <w:t xml:space="preserve">. </w:t>
      </w:r>
      <w:r w:rsidR="00A077A0">
        <w:rPr>
          <w:rFonts w:cs="Times New Roman"/>
          <w:szCs w:val="20"/>
        </w:rPr>
        <w:t>It then</w:t>
      </w:r>
      <w:r w:rsidR="005F601C" w:rsidRPr="001A08BD">
        <w:rPr>
          <w:rFonts w:cs="Times New Roman"/>
          <w:szCs w:val="20"/>
        </w:rPr>
        <w:t xml:space="preserve"> demonstrates that </w:t>
      </w:r>
      <w:r w:rsidR="00341D1B" w:rsidRPr="001A08BD">
        <w:rPr>
          <w:rFonts w:cs="Times New Roman"/>
          <w:szCs w:val="20"/>
        </w:rPr>
        <w:t>the material grounds for intervention are met</w:t>
      </w:r>
      <w:r w:rsidR="00062EB0" w:rsidRPr="001A08BD">
        <w:rPr>
          <w:rFonts w:cs="Times New Roman"/>
          <w:szCs w:val="20"/>
        </w:rPr>
        <w:t xml:space="preserve">: </w:t>
      </w:r>
      <w:r w:rsidR="00F1482D" w:rsidRPr="001A08BD">
        <w:rPr>
          <w:rFonts w:cs="Times New Roman"/>
          <w:szCs w:val="20"/>
        </w:rPr>
        <w:t>the case</w:t>
      </w:r>
      <w:r w:rsidR="00062EB0" w:rsidRPr="001A08BD">
        <w:rPr>
          <w:rFonts w:cs="Times New Roman"/>
          <w:szCs w:val="20"/>
        </w:rPr>
        <w:t xml:space="preserve"> concerns </w:t>
      </w:r>
      <w:r w:rsidR="00A077A0" w:rsidRPr="00A077A0">
        <w:rPr>
          <w:rFonts w:cs="Times New Roman"/>
          <w:szCs w:val="20"/>
        </w:rPr>
        <w:t xml:space="preserve">relations between buyers and suppliers in the </w:t>
      </w:r>
      <w:r w:rsidR="008B043A" w:rsidRPr="001A08BD">
        <w:rPr>
          <w:rFonts w:cs="Times New Roman"/>
          <w:szCs w:val="20"/>
        </w:rPr>
        <w:t>in the agri-food sector</w:t>
      </w:r>
      <w:r w:rsidR="00DD6D12" w:rsidRPr="001A08BD">
        <w:rPr>
          <w:rFonts w:cs="Times New Roman"/>
          <w:szCs w:val="20"/>
        </w:rPr>
        <w:t>,</w:t>
      </w:r>
      <w:r w:rsidR="00C47FB9" w:rsidRPr="001A08BD">
        <w:rPr>
          <w:rFonts w:cs="Times New Roman"/>
          <w:szCs w:val="20"/>
        </w:rPr>
        <w:t xml:space="preserve"> and</w:t>
      </w:r>
      <w:r w:rsidR="008B043A" w:rsidRPr="001A08BD">
        <w:rPr>
          <w:rFonts w:cs="Times New Roman"/>
          <w:szCs w:val="20"/>
        </w:rPr>
        <w:t xml:space="preserve"> </w:t>
      </w:r>
      <w:r w:rsidR="00FD1D3A" w:rsidRPr="001A08BD">
        <w:rPr>
          <w:rFonts w:cs="Times New Roman"/>
          <w:szCs w:val="20"/>
        </w:rPr>
        <w:t xml:space="preserve">the need to protect </w:t>
      </w:r>
      <w:r w:rsidR="008B043A" w:rsidRPr="001A08BD">
        <w:rPr>
          <w:rFonts w:cs="Times New Roman"/>
          <w:szCs w:val="20"/>
        </w:rPr>
        <w:t xml:space="preserve">public interest </w:t>
      </w:r>
      <w:r w:rsidR="00FD1D3A" w:rsidRPr="001A08BD">
        <w:rPr>
          <w:rFonts w:cs="Times New Roman"/>
          <w:szCs w:val="20"/>
        </w:rPr>
        <w:t xml:space="preserve">warrants pursuing </w:t>
      </w:r>
      <w:r w:rsidR="00DD6D12" w:rsidRPr="001A08BD">
        <w:rPr>
          <w:rFonts w:cs="Times New Roman"/>
          <w:szCs w:val="20"/>
        </w:rPr>
        <w:t>the</w:t>
      </w:r>
      <w:r w:rsidR="00FD1D3A" w:rsidRPr="001A08BD">
        <w:rPr>
          <w:rFonts w:cs="Times New Roman"/>
          <w:szCs w:val="20"/>
        </w:rPr>
        <w:t xml:space="preserve"> case</w:t>
      </w:r>
      <w:r w:rsidR="00C47FB9" w:rsidRPr="001A08BD">
        <w:rPr>
          <w:rFonts w:cs="Times New Roman"/>
          <w:szCs w:val="20"/>
        </w:rPr>
        <w:t xml:space="preserve">. </w:t>
      </w:r>
      <w:r w:rsidR="00DD6D12" w:rsidRPr="001A08BD">
        <w:rPr>
          <w:rFonts w:cs="Times New Roman"/>
          <w:szCs w:val="20"/>
        </w:rPr>
        <w:t>The</w:t>
      </w:r>
      <w:r w:rsidR="00C47FB9" w:rsidRPr="001A08BD">
        <w:rPr>
          <w:rFonts w:cs="Times New Roman"/>
          <w:szCs w:val="20"/>
        </w:rPr>
        <w:t xml:space="preserve"> President of </w:t>
      </w:r>
      <w:proofErr w:type="spellStart"/>
      <w:r w:rsidR="00C47FB9" w:rsidRPr="001A08BD">
        <w:rPr>
          <w:rFonts w:cs="Times New Roman"/>
          <w:szCs w:val="20"/>
        </w:rPr>
        <w:t>UOKiK</w:t>
      </w:r>
      <w:proofErr w:type="spellEnd"/>
      <w:r w:rsidR="00C47FB9" w:rsidRPr="001A08BD">
        <w:rPr>
          <w:rFonts w:cs="Times New Roman"/>
          <w:szCs w:val="20"/>
        </w:rPr>
        <w:t xml:space="preserve"> </w:t>
      </w:r>
      <w:r w:rsidR="00DD6D12" w:rsidRPr="001A08BD">
        <w:rPr>
          <w:rFonts w:cs="Times New Roman"/>
          <w:szCs w:val="20"/>
        </w:rPr>
        <w:t>then establishes</w:t>
      </w:r>
      <w:r w:rsidR="00A1346C" w:rsidRPr="001A08BD">
        <w:rPr>
          <w:rFonts w:cs="Times New Roman"/>
          <w:szCs w:val="20"/>
        </w:rPr>
        <w:t xml:space="preserve"> that </w:t>
      </w:r>
      <w:r w:rsidR="005F601C" w:rsidRPr="001A08BD">
        <w:rPr>
          <w:rFonts w:cs="Times New Roman"/>
          <w:szCs w:val="20"/>
        </w:rPr>
        <w:t>the undertaking</w:t>
      </w:r>
      <w:r w:rsidR="00A1346C" w:rsidRPr="001A08BD">
        <w:rPr>
          <w:rFonts w:cs="Times New Roman"/>
          <w:szCs w:val="20"/>
        </w:rPr>
        <w:t xml:space="preserve"> </w:t>
      </w:r>
      <w:r w:rsidR="005F601C" w:rsidRPr="001A08BD">
        <w:rPr>
          <w:rFonts w:cs="Times New Roman"/>
          <w:szCs w:val="20"/>
        </w:rPr>
        <w:t>holds a contractual advantage over a specific group of suppliers</w:t>
      </w:r>
      <w:r w:rsidR="00700BC7" w:rsidRPr="001A08BD">
        <w:rPr>
          <w:rFonts w:cs="Times New Roman"/>
          <w:szCs w:val="20"/>
        </w:rPr>
        <w:t xml:space="preserve"> and identifies those suppliers (</w:t>
      </w:r>
      <w:r w:rsidR="0043743F">
        <w:rPr>
          <w:rFonts w:cs="Times New Roman"/>
          <w:szCs w:val="20"/>
        </w:rPr>
        <w:t>whose details</w:t>
      </w:r>
      <w:r w:rsidR="00700BC7" w:rsidRPr="001A08BD">
        <w:rPr>
          <w:rFonts w:cs="Times New Roman"/>
          <w:szCs w:val="20"/>
        </w:rPr>
        <w:t xml:space="preserve"> are </w:t>
      </w:r>
      <w:r w:rsidR="0043743F" w:rsidRPr="0043743F">
        <w:rPr>
          <w:rFonts w:cs="Times New Roman"/>
          <w:szCs w:val="20"/>
        </w:rPr>
        <w:t xml:space="preserve">withheld </w:t>
      </w:r>
      <w:r w:rsidR="00700BC7" w:rsidRPr="001A08BD">
        <w:rPr>
          <w:rFonts w:cs="Times New Roman"/>
          <w:szCs w:val="20"/>
        </w:rPr>
        <w:t>to the public)</w:t>
      </w:r>
      <w:r w:rsidR="005F601C" w:rsidRPr="001A08BD">
        <w:rPr>
          <w:rFonts w:cs="Times New Roman"/>
          <w:szCs w:val="20"/>
        </w:rPr>
        <w:t xml:space="preserve">. </w:t>
      </w:r>
      <w:r w:rsidR="00D71BA3" w:rsidRPr="001A08BD">
        <w:rPr>
          <w:rFonts w:cs="Times New Roman"/>
          <w:szCs w:val="20"/>
        </w:rPr>
        <w:t xml:space="preserve">Next, the authority declares that the business practice in question </w:t>
      </w:r>
      <w:r w:rsidR="00EE6B61" w:rsidRPr="001A08BD">
        <w:rPr>
          <w:rFonts w:cs="Times New Roman"/>
          <w:szCs w:val="20"/>
        </w:rPr>
        <w:t xml:space="preserve">conflicts with good commercial customs and either threatens or infringes a material interest of the counterparty. </w:t>
      </w:r>
      <w:r w:rsidR="0038293B">
        <w:rPr>
          <w:rFonts w:cs="Times New Roman"/>
          <w:szCs w:val="20"/>
        </w:rPr>
        <w:t>T</w:t>
      </w:r>
      <w:r w:rsidR="00AD7E82" w:rsidRPr="00AD7E82">
        <w:rPr>
          <w:rFonts w:cs="Times New Roman"/>
          <w:szCs w:val="20"/>
        </w:rPr>
        <w:t xml:space="preserve">he authority also sets out its view on what conduct would be required under good commercial customs in the specific circumstances of the case, often </w:t>
      </w:r>
      <w:r w:rsidR="00AD7E82" w:rsidRPr="00654894">
        <w:rPr>
          <w:rFonts w:cs="Times New Roman"/>
          <w:szCs w:val="20"/>
        </w:rPr>
        <w:t xml:space="preserve">using </w:t>
      </w:r>
      <w:r w:rsidR="00654894">
        <w:rPr>
          <w:rFonts w:cs="Times New Roman"/>
          <w:szCs w:val="20"/>
        </w:rPr>
        <w:t>passages</w:t>
      </w:r>
      <w:r w:rsidR="00AD7E82" w:rsidRPr="00654894">
        <w:rPr>
          <w:rFonts w:cs="Times New Roman"/>
          <w:szCs w:val="20"/>
        </w:rPr>
        <w:t xml:space="preserve"> such as “</w:t>
      </w:r>
      <w:r w:rsidR="00654894" w:rsidRPr="00654894">
        <w:rPr>
          <w:rFonts w:cs="Times New Roman"/>
          <w:szCs w:val="20"/>
        </w:rPr>
        <w:t>For the purposes of the present case, good commercial customs shall be interpreted as...</w:t>
      </w:r>
      <w:r w:rsidR="00654894">
        <w:rPr>
          <w:rFonts w:cs="Times New Roman"/>
          <w:szCs w:val="20"/>
        </w:rPr>
        <w:t xml:space="preserve">” </w:t>
      </w:r>
      <w:r w:rsidR="009A6A2C" w:rsidRPr="001A08BD">
        <w:rPr>
          <w:rFonts w:cs="Times New Roman"/>
          <w:szCs w:val="20"/>
        </w:rPr>
        <w:t xml:space="preserve">The </w:t>
      </w:r>
      <w:r w:rsidR="00023510" w:rsidRPr="001A08BD">
        <w:rPr>
          <w:rFonts w:cs="Times New Roman"/>
          <w:szCs w:val="20"/>
        </w:rPr>
        <w:t>final</w:t>
      </w:r>
      <w:r w:rsidR="009A6A2C" w:rsidRPr="001A08BD">
        <w:rPr>
          <w:rFonts w:cs="Times New Roman"/>
          <w:szCs w:val="20"/>
        </w:rPr>
        <w:t xml:space="preserve"> part of the decision contains </w:t>
      </w:r>
      <w:r w:rsidR="00F90F86" w:rsidRPr="00F90F86">
        <w:rPr>
          <w:rFonts w:cs="Times New Roman"/>
          <w:szCs w:val="20"/>
        </w:rPr>
        <w:t>the authority’s reasoning</w:t>
      </w:r>
      <w:r w:rsidR="009A6A2C" w:rsidRPr="001A08BD">
        <w:rPr>
          <w:rFonts w:cs="Times New Roman"/>
          <w:szCs w:val="20"/>
        </w:rPr>
        <w:t xml:space="preserve"> on the amount of financial fine.</w:t>
      </w:r>
      <w:r w:rsidR="009A6A2C" w:rsidRPr="00C14F0D">
        <w:rPr>
          <w:rFonts w:cs="Times New Roman"/>
          <w:szCs w:val="20"/>
        </w:rPr>
        <w:t xml:space="preserve"> </w:t>
      </w:r>
    </w:p>
    <w:p w14:paraId="7A9F53CC" w14:textId="5FD1005E" w:rsidR="001A08BD" w:rsidRPr="00C14F0D" w:rsidRDefault="001A08BD" w:rsidP="00184FF5">
      <w:pPr>
        <w:rPr>
          <w:rFonts w:cs="Times New Roman"/>
          <w:szCs w:val="20"/>
        </w:rPr>
      </w:pPr>
      <w:r w:rsidRPr="001A08BD">
        <w:rPr>
          <w:rFonts w:cs="Times New Roman"/>
          <w:szCs w:val="20"/>
        </w:rPr>
        <w:t>The following section will examine selected cases from the aforementioned focus areas in detail, explaining the behaviour</w:t>
      </w:r>
      <w:r w:rsidR="00423ACE">
        <w:rPr>
          <w:rFonts w:cs="Times New Roman"/>
          <w:szCs w:val="20"/>
        </w:rPr>
        <w:t>s</w:t>
      </w:r>
      <w:r w:rsidRPr="001A08BD">
        <w:rPr>
          <w:rFonts w:cs="Times New Roman"/>
          <w:szCs w:val="20"/>
        </w:rPr>
        <w:t xml:space="preserve"> that the authority found to be unfair and what the authority recognized as fair business practice</w:t>
      </w:r>
      <w:r w:rsidR="00423ACE">
        <w:rPr>
          <w:rFonts w:cs="Times New Roman"/>
          <w:szCs w:val="20"/>
        </w:rPr>
        <w:t>s</w:t>
      </w:r>
      <w:r w:rsidRPr="001A08BD">
        <w:rPr>
          <w:rFonts w:cs="Times New Roman"/>
          <w:szCs w:val="20"/>
        </w:rPr>
        <w:t>.</w:t>
      </w:r>
    </w:p>
    <w:p w14:paraId="2234CE62" w14:textId="077AD74B" w:rsidR="0044548E" w:rsidRPr="00C14F0D" w:rsidRDefault="002909FB" w:rsidP="009800AF">
      <w:pPr>
        <w:pStyle w:val="Nagwek2"/>
      </w:pPr>
      <w:r w:rsidRPr="00C14F0D">
        <w:t>Cases on collection of undue financial benefits</w:t>
      </w:r>
    </w:p>
    <w:p w14:paraId="5A2C8E90" w14:textId="4D86F7FB" w:rsidR="00060A5D" w:rsidRPr="00C14F0D" w:rsidRDefault="00CC078D" w:rsidP="00530660">
      <w:pPr>
        <w:rPr>
          <w:rFonts w:cs="Times New Roman"/>
          <w:szCs w:val="20"/>
        </w:rPr>
      </w:pPr>
      <w:r w:rsidRPr="00C14F0D">
        <w:rPr>
          <w:rFonts w:cs="Times New Roman"/>
          <w:szCs w:val="20"/>
        </w:rPr>
        <w:t xml:space="preserve">The </w:t>
      </w:r>
      <w:proofErr w:type="spellStart"/>
      <w:r w:rsidR="00783945" w:rsidRPr="0059460B">
        <w:rPr>
          <w:rFonts w:cs="Times New Roman"/>
          <w:i/>
          <w:iCs/>
          <w:szCs w:val="20"/>
        </w:rPr>
        <w:t>Cykoria</w:t>
      </w:r>
      <w:proofErr w:type="spellEnd"/>
      <w:r w:rsidR="00783945" w:rsidRPr="00C14F0D">
        <w:rPr>
          <w:rFonts w:cs="Times New Roman"/>
          <w:szCs w:val="20"/>
        </w:rPr>
        <w:t xml:space="preserve"> case concerned </w:t>
      </w:r>
      <w:r w:rsidR="000A6E97" w:rsidRPr="000A6E97">
        <w:rPr>
          <w:rFonts w:cs="Times New Roman"/>
          <w:szCs w:val="20"/>
        </w:rPr>
        <w:t>relationship</w:t>
      </w:r>
      <w:r w:rsidR="00E0734A">
        <w:rPr>
          <w:rFonts w:cs="Times New Roman"/>
          <w:szCs w:val="20"/>
        </w:rPr>
        <w:t>s</w:t>
      </w:r>
      <w:r w:rsidR="000A6E97" w:rsidRPr="000A6E97">
        <w:rPr>
          <w:rFonts w:cs="Times New Roman"/>
          <w:szCs w:val="20"/>
        </w:rPr>
        <w:t xml:space="preserve"> between </w:t>
      </w:r>
      <w:proofErr w:type="spellStart"/>
      <w:r w:rsidR="000A6E97" w:rsidRPr="000A6E97">
        <w:rPr>
          <w:rFonts w:cs="Times New Roman"/>
          <w:szCs w:val="20"/>
        </w:rPr>
        <w:t>Cykoria</w:t>
      </w:r>
      <w:proofErr w:type="spellEnd"/>
      <w:r w:rsidR="000A6E97" w:rsidRPr="000A6E97">
        <w:rPr>
          <w:rFonts w:cs="Times New Roman"/>
          <w:szCs w:val="20"/>
        </w:rPr>
        <w:t xml:space="preserve"> S.A., a company engaged in the procurement and processing of carrot roots, </w:t>
      </w:r>
      <w:r w:rsidR="00530660" w:rsidRPr="00C14F0D">
        <w:rPr>
          <w:rFonts w:cs="Times New Roman"/>
          <w:szCs w:val="20"/>
        </w:rPr>
        <w:t>and its suppliers</w:t>
      </w:r>
      <w:r w:rsidR="00654894">
        <w:rPr>
          <w:rFonts w:cs="Times New Roman"/>
          <w:szCs w:val="20"/>
        </w:rPr>
        <w:t xml:space="preserve"> - </w:t>
      </w:r>
      <w:r w:rsidR="000C5615" w:rsidRPr="00C14F0D">
        <w:rPr>
          <w:rFonts w:cs="Times New Roman"/>
          <w:szCs w:val="20"/>
        </w:rPr>
        <w:t xml:space="preserve">carrot farmers. </w:t>
      </w:r>
      <w:r w:rsidR="00E31A0B" w:rsidRPr="00E31A0B">
        <w:rPr>
          <w:rFonts w:cs="Times New Roman"/>
          <w:szCs w:val="20"/>
        </w:rPr>
        <w:t xml:space="preserve">Under </w:t>
      </w:r>
      <w:proofErr w:type="spellStart"/>
      <w:r w:rsidR="00E31A0B" w:rsidRPr="00E31A0B">
        <w:rPr>
          <w:rFonts w:cs="Times New Roman"/>
          <w:szCs w:val="20"/>
        </w:rPr>
        <w:t>Cykoria’s</w:t>
      </w:r>
      <w:proofErr w:type="spellEnd"/>
      <w:r w:rsidR="00E31A0B" w:rsidRPr="00E31A0B">
        <w:rPr>
          <w:rFonts w:cs="Times New Roman"/>
          <w:szCs w:val="20"/>
        </w:rPr>
        <w:t xml:space="preserve"> standard contract farming agreement</w:t>
      </w:r>
      <w:r w:rsidR="00E31A0B">
        <w:rPr>
          <w:rFonts w:cs="Times New Roman"/>
          <w:szCs w:val="20"/>
        </w:rPr>
        <w:t xml:space="preserve"> </w:t>
      </w:r>
      <w:r w:rsidR="00857E73" w:rsidRPr="00C14F0D">
        <w:rPr>
          <w:rFonts w:cs="Times New Roman"/>
          <w:szCs w:val="20"/>
        </w:rPr>
        <w:t xml:space="preserve">carrot producers </w:t>
      </w:r>
      <w:r w:rsidR="00E31A0B">
        <w:rPr>
          <w:rFonts w:cs="Times New Roman"/>
          <w:szCs w:val="20"/>
        </w:rPr>
        <w:t>were required to</w:t>
      </w:r>
      <w:r w:rsidR="0005281E" w:rsidRPr="00C14F0D">
        <w:rPr>
          <w:rFonts w:cs="Times New Roman"/>
          <w:szCs w:val="20"/>
        </w:rPr>
        <w:t xml:space="preserve"> </w:t>
      </w:r>
      <w:r w:rsidR="00857E73" w:rsidRPr="00C14F0D">
        <w:rPr>
          <w:rFonts w:cs="Times New Roman"/>
          <w:szCs w:val="20"/>
        </w:rPr>
        <w:t>consent to the deduction</w:t>
      </w:r>
      <w:r w:rsidR="0005281E" w:rsidRPr="00C14F0D">
        <w:rPr>
          <w:rFonts w:cs="Times New Roman"/>
          <w:szCs w:val="20"/>
        </w:rPr>
        <w:t xml:space="preserve"> of the so-called plantation fee (membership fee)</w:t>
      </w:r>
      <w:r w:rsidR="00857E73" w:rsidRPr="00C14F0D">
        <w:rPr>
          <w:rFonts w:cs="Times New Roman"/>
          <w:szCs w:val="20"/>
        </w:rPr>
        <w:t xml:space="preserve"> </w:t>
      </w:r>
      <w:r w:rsidR="007F78F9">
        <w:rPr>
          <w:rFonts w:cs="Times New Roman"/>
          <w:szCs w:val="20"/>
        </w:rPr>
        <w:t>amounting to</w:t>
      </w:r>
      <w:r w:rsidR="00857E73" w:rsidRPr="00C14F0D">
        <w:rPr>
          <w:rFonts w:cs="Times New Roman"/>
          <w:szCs w:val="20"/>
        </w:rPr>
        <w:t xml:space="preserve"> 0.5% of the remuneration </w:t>
      </w:r>
      <w:r w:rsidR="007F78F9">
        <w:rPr>
          <w:rFonts w:cs="Times New Roman"/>
          <w:szCs w:val="20"/>
        </w:rPr>
        <w:t>paid by</w:t>
      </w:r>
      <w:r w:rsidR="00857E73" w:rsidRPr="00C14F0D">
        <w:rPr>
          <w:rFonts w:cs="Times New Roman"/>
          <w:szCs w:val="20"/>
        </w:rPr>
        <w:t xml:space="preserve"> </w:t>
      </w:r>
      <w:proofErr w:type="spellStart"/>
      <w:r w:rsidR="00857E73" w:rsidRPr="00C14F0D">
        <w:rPr>
          <w:rFonts w:cs="Times New Roman"/>
          <w:szCs w:val="20"/>
        </w:rPr>
        <w:t>Cykoria</w:t>
      </w:r>
      <w:proofErr w:type="spellEnd"/>
      <w:r w:rsidR="00857E73" w:rsidRPr="00C14F0D">
        <w:rPr>
          <w:rFonts w:cs="Times New Roman"/>
          <w:szCs w:val="20"/>
        </w:rPr>
        <w:t xml:space="preserve"> for </w:t>
      </w:r>
      <w:r w:rsidR="007F78F9">
        <w:rPr>
          <w:rFonts w:cs="Times New Roman"/>
          <w:szCs w:val="20"/>
        </w:rPr>
        <w:t xml:space="preserve">the carrots </w:t>
      </w:r>
      <w:r w:rsidR="00857E73" w:rsidRPr="00C14F0D">
        <w:rPr>
          <w:rFonts w:cs="Times New Roman"/>
          <w:szCs w:val="20"/>
        </w:rPr>
        <w:t>purchased</w:t>
      </w:r>
      <w:r w:rsidR="007F78F9">
        <w:rPr>
          <w:rFonts w:cs="Times New Roman"/>
          <w:szCs w:val="20"/>
        </w:rPr>
        <w:t xml:space="preserve">. These </w:t>
      </w:r>
      <w:r w:rsidR="00066970" w:rsidRPr="00C14F0D">
        <w:rPr>
          <w:rFonts w:cs="Times New Roman"/>
          <w:szCs w:val="20"/>
        </w:rPr>
        <w:t>deductions</w:t>
      </w:r>
      <w:r w:rsidR="007F78F9">
        <w:rPr>
          <w:rFonts w:cs="Times New Roman"/>
          <w:szCs w:val="20"/>
        </w:rPr>
        <w:t xml:space="preserve"> were</w:t>
      </w:r>
      <w:r w:rsidR="00066970" w:rsidRPr="00C14F0D">
        <w:rPr>
          <w:rFonts w:cs="Times New Roman"/>
          <w:szCs w:val="20"/>
        </w:rPr>
        <w:t xml:space="preserve"> made on behalf of the Association of Industrial Chicory and Vegetable Producers</w:t>
      </w:r>
      <w:r w:rsidR="00857E73" w:rsidRPr="00C14F0D">
        <w:rPr>
          <w:rFonts w:cs="Times New Roman"/>
          <w:szCs w:val="20"/>
        </w:rPr>
        <w:t xml:space="preserve">. The association was </w:t>
      </w:r>
      <w:r w:rsidR="00060A5D" w:rsidRPr="00C14F0D">
        <w:rPr>
          <w:rFonts w:cs="Times New Roman"/>
          <w:szCs w:val="20"/>
        </w:rPr>
        <w:t>a</w:t>
      </w:r>
      <w:r w:rsidR="00553856">
        <w:rPr>
          <w:rFonts w:cs="Times New Roman"/>
          <w:szCs w:val="20"/>
        </w:rPr>
        <w:t xml:space="preserve">n independent </w:t>
      </w:r>
      <w:r w:rsidR="00060A5D" w:rsidRPr="00C14F0D">
        <w:rPr>
          <w:rFonts w:cs="Times New Roman"/>
          <w:szCs w:val="20"/>
        </w:rPr>
        <w:t xml:space="preserve">third-party entity, with which </w:t>
      </w:r>
      <w:proofErr w:type="spellStart"/>
      <w:r w:rsidR="00060A5D" w:rsidRPr="00C14F0D">
        <w:rPr>
          <w:rFonts w:cs="Times New Roman"/>
          <w:szCs w:val="20"/>
        </w:rPr>
        <w:t>Cykoria</w:t>
      </w:r>
      <w:proofErr w:type="spellEnd"/>
      <w:r w:rsidR="00060A5D" w:rsidRPr="00C14F0D">
        <w:rPr>
          <w:rFonts w:cs="Times New Roman"/>
          <w:szCs w:val="20"/>
        </w:rPr>
        <w:t xml:space="preserve"> maintained a cooperative relationship</w:t>
      </w:r>
      <w:r w:rsidR="00D565F3" w:rsidRPr="00C14F0D">
        <w:rPr>
          <w:rFonts w:cs="Times New Roman"/>
          <w:szCs w:val="20"/>
        </w:rPr>
        <w:t>.</w:t>
      </w:r>
      <w:r w:rsidR="009F7BC5">
        <w:rPr>
          <w:rStyle w:val="Odwoanieprzypisudolnego"/>
          <w:rFonts w:cs="Times New Roman"/>
          <w:szCs w:val="20"/>
        </w:rPr>
        <w:footnoteReference w:id="23"/>
      </w:r>
      <w:r w:rsidR="00D565F3" w:rsidRPr="00C14F0D">
        <w:rPr>
          <w:rFonts w:cs="Times New Roman"/>
          <w:szCs w:val="20"/>
        </w:rPr>
        <w:t xml:space="preserve"> </w:t>
      </w:r>
    </w:p>
    <w:p w14:paraId="798BCB2B" w14:textId="1B9CFCA0" w:rsidR="002909FB" w:rsidRPr="00C14F0D" w:rsidRDefault="009650D5" w:rsidP="00530660">
      <w:pPr>
        <w:rPr>
          <w:rFonts w:cs="Times New Roman"/>
          <w:szCs w:val="20"/>
        </w:rPr>
      </w:pPr>
      <w:r w:rsidRPr="00C14F0D">
        <w:rPr>
          <w:rFonts w:cs="Times New Roman"/>
          <w:szCs w:val="20"/>
        </w:rPr>
        <w:t xml:space="preserve">In the assessment of the President of </w:t>
      </w:r>
      <w:proofErr w:type="spellStart"/>
      <w:r w:rsidRPr="00C14F0D">
        <w:rPr>
          <w:rFonts w:cs="Times New Roman"/>
          <w:szCs w:val="20"/>
        </w:rPr>
        <w:t>UOKiK</w:t>
      </w:r>
      <w:proofErr w:type="spellEnd"/>
      <w:r w:rsidRPr="00C14F0D">
        <w:rPr>
          <w:rFonts w:cs="Times New Roman"/>
          <w:szCs w:val="20"/>
        </w:rPr>
        <w:t xml:space="preserve">, </w:t>
      </w:r>
      <w:proofErr w:type="spellStart"/>
      <w:r w:rsidRPr="00C14F0D">
        <w:rPr>
          <w:rFonts w:cs="Times New Roman"/>
          <w:szCs w:val="20"/>
        </w:rPr>
        <w:t>Cykoria</w:t>
      </w:r>
      <w:proofErr w:type="spellEnd"/>
      <w:r w:rsidRPr="00C14F0D">
        <w:rPr>
          <w:rFonts w:cs="Times New Roman"/>
          <w:szCs w:val="20"/>
        </w:rPr>
        <w:t xml:space="preserve"> should not </w:t>
      </w:r>
      <w:r w:rsidR="00025AD2" w:rsidRPr="00C14F0D">
        <w:rPr>
          <w:rFonts w:cs="Times New Roman"/>
          <w:szCs w:val="20"/>
        </w:rPr>
        <w:t xml:space="preserve">have </w:t>
      </w:r>
      <w:r w:rsidR="00553856">
        <w:rPr>
          <w:rFonts w:cs="Times New Roman"/>
          <w:szCs w:val="20"/>
        </w:rPr>
        <w:t>required</w:t>
      </w:r>
      <w:r w:rsidR="00025AD2" w:rsidRPr="00C14F0D">
        <w:rPr>
          <w:rFonts w:cs="Times New Roman"/>
          <w:szCs w:val="20"/>
        </w:rPr>
        <w:t xml:space="preserve"> producers to consent to such deductions </w:t>
      </w:r>
      <w:r w:rsidR="00952F78">
        <w:rPr>
          <w:rFonts w:cs="Times New Roman"/>
          <w:szCs w:val="20"/>
        </w:rPr>
        <w:t>as part of</w:t>
      </w:r>
      <w:r w:rsidR="00025AD2" w:rsidRPr="00C14F0D">
        <w:rPr>
          <w:rFonts w:cs="Times New Roman"/>
          <w:szCs w:val="20"/>
        </w:rPr>
        <w:t xml:space="preserve"> standard contract terms. </w:t>
      </w:r>
      <w:r w:rsidRPr="00C14F0D">
        <w:rPr>
          <w:rFonts w:cs="Times New Roman"/>
          <w:szCs w:val="20"/>
        </w:rPr>
        <w:t xml:space="preserve">The decision </w:t>
      </w:r>
      <w:r w:rsidR="00025AD2" w:rsidRPr="00C14F0D">
        <w:rPr>
          <w:rFonts w:cs="Times New Roman"/>
          <w:szCs w:val="20"/>
        </w:rPr>
        <w:t xml:space="preserve">whether or not to participate </w:t>
      </w:r>
      <w:r w:rsidRPr="00C14F0D">
        <w:rPr>
          <w:rFonts w:cs="Times New Roman"/>
          <w:szCs w:val="20"/>
        </w:rPr>
        <w:t xml:space="preserve">in the </w:t>
      </w:r>
      <w:r w:rsidR="00025AD2" w:rsidRPr="00C14F0D">
        <w:rPr>
          <w:rFonts w:cs="Times New Roman"/>
          <w:szCs w:val="20"/>
        </w:rPr>
        <w:t>a</w:t>
      </w:r>
      <w:r w:rsidRPr="00C14F0D">
        <w:rPr>
          <w:rFonts w:cs="Times New Roman"/>
          <w:szCs w:val="20"/>
        </w:rPr>
        <w:t xml:space="preserve">ssociation and pay membership fees should rest with individual carrot producers. </w:t>
      </w:r>
      <w:r w:rsidR="00F6769B" w:rsidRPr="00C14F0D">
        <w:rPr>
          <w:rFonts w:cs="Times New Roman"/>
          <w:szCs w:val="20"/>
        </w:rPr>
        <w:t xml:space="preserve">The authority emphasized that its concerns </w:t>
      </w:r>
      <w:r w:rsidR="00EB3812" w:rsidRPr="00C14F0D">
        <w:rPr>
          <w:rFonts w:cs="Times New Roman"/>
          <w:szCs w:val="20"/>
        </w:rPr>
        <w:t>are not raised by the mere fact of deductions on behalf of the Association, which</w:t>
      </w:r>
      <w:r w:rsidR="00DE716D">
        <w:rPr>
          <w:rFonts w:cs="Times New Roman"/>
          <w:szCs w:val="20"/>
        </w:rPr>
        <w:t xml:space="preserve"> may </w:t>
      </w:r>
      <w:r w:rsidR="00EB3812" w:rsidRPr="00C14F0D">
        <w:rPr>
          <w:rFonts w:cs="Times New Roman"/>
          <w:szCs w:val="20"/>
        </w:rPr>
        <w:t>depend on the parties' contractual arrangements, but rather by the top-down imposition of such a provision</w:t>
      </w:r>
      <w:r w:rsidR="00DE716D">
        <w:rPr>
          <w:rFonts w:cs="Times New Roman"/>
          <w:szCs w:val="20"/>
        </w:rPr>
        <w:t xml:space="preserve"> through </w:t>
      </w:r>
      <w:r w:rsidR="00EB3812" w:rsidRPr="00C14F0D">
        <w:rPr>
          <w:rFonts w:cs="Times New Roman"/>
          <w:szCs w:val="20"/>
        </w:rPr>
        <w:t>standard</w:t>
      </w:r>
      <w:r w:rsidR="00DE716D">
        <w:rPr>
          <w:rFonts w:cs="Times New Roman"/>
          <w:szCs w:val="20"/>
        </w:rPr>
        <w:t>ised</w:t>
      </w:r>
      <w:r w:rsidR="00EB3812" w:rsidRPr="00C14F0D">
        <w:rPr>
          <w:rFonts w:cs="Times New Roman"/>
          <w:szCs w:val="20"/>
        </w:rPr>
        <w:t xml:space="preserve"> contract</w:t>
      </w:r>
      <w:r w:rsidR="00DE716D">
        <w:rPr>
          <w:rFonts w:cs="Times New Roman"/>
          <w:szCs w:val="20"/>
        </w:rPr>
        <w:t>s</w:t>
      </w:r>
      <w:r w:rsidR="00EB3812" w:rsidRPr="00C14F0D">
        <w:rPr>
          <w:rFonts w:cs="Times New Roman"/>
          <w:szCs w:val="20"/>
        </w:rPr>
        <w:t>.</w:t>
      </w:r>
      <w:r w:rsidR="00C77EC2">
        <w:rPr>
          <w:rFonts w:cs="Times New Roman"/>
          <w:szCs w:val="20"/>
        </w:rPr>
        <w:t xml:space="preserve"> In the </w:t>
      </w:r>
      <w:proofErr w:type="spellStart"/>
      <w:r w:rsidR="00C77EC2">
        <w:rPr>
          <w:rFonts w:cs="Times New Roman"/>
          <w:szCs w:val="20"/>
        </w:rPr>
        <w:t>President’s</w:t>
      </w:r>
      <w:proofErr w:type="spellEnd"/>
      <w:r w:rsidR="00C77EC2">
        <w:rPr>
          <w:rFonts w:cs="Times New Roman"/>
          <w:szCs w:val="20"/>
        </w:rPr>
        <w:t xml:space="preserve"> of </w:t>
      </w:r>
      <w:proofErr w:type="spellStart"/>
      <w:r w:rsidR="00C77EC2">
        <w:rPr>
          <w:rFonts w:cs="Times New Roman"/>
          <w:szCs w:val="20"/>
        </w:rPr>
        <w:t>UOKiK</w:t>
      </w:r>
      <w:proofErr w:type="spellEnd"/>
      <w:r w:rsidR="00C77EC2">
        <w:rPr>
          <w:rFonts w:cs="Times New Roman"/>
          <w:szCs w:val="20"/>
        </w:rPr>
        <w:t xml:space="preserve"> view </w:t>
      </w:r>
      <w:r w:rsidR="00F638F4">
        <w:rPr>
          <w:rFonts w:cs="Times New Roman"/>
          <w:szCs w:val="20"/>
        </w:rPr>
        <w:t>good commercial customs require that the suppliers receives full remuneration for the delivered goods.</w:t>
      </w:r>
      <w:r w:rsidR="007B7260">
        <w:rPr>
          <w:rStyle w:val="Odwoanieprzypisudolnego"/>
          <w:rFonts w:cs="Times New Roman"/>
          <w:szCs w:val="20"/>
        </w:rPr>
        <w:footnoteReference w:id="24"/>
      </w:r>
    </w:p>
    <w:p w14:paraId="67B5C651" w14:textId="0F46EC3A" w:rsidR="00545D07" w:rsidRPr="00C14F0D" w:rsidRDefault="00621E20" w:rsidP="00193E33">
      <w:pPr>
        <w:rPr>
          <w:rFonts w:cs="Times New Roman"/>
          <w:szCs w:val="20"/>
        </w:rPr>
      </w:pPr>
      <w:r w:rsidRPr="00C14F0D">
        <w:rPr>
          <w:rFonts w:cs="Times New Roman"/>
          <w:szCs w:val="20"/>
        </w:rPr>
        <w:t xml:space="preserve">It was a first case in Poland </w:t>
      </w:r>
      <w:r w:rsidR="0022633A" w:rsidRPr="00C14F0D">
        <w:rPr>
          <w:rFonts w:cs="Times New Roman"/>
          <w:szCs w:val="20"/>
        </w:rPr>
        <w:t xml:space="preserve">in the field of contractual advantage. It was resolved through commitment decision. </w:t>
      </w:r>
    </w:p>
    <w:p w14:paraId="0BC4A264" w14:textId="2C56DE5D" w:rsidR="0022633A" w:rsidRPr="00C14F0D" w:rsidRDefault="00D916F0" w:rsidP="00193E33">
      <w:pPr>
        <w:rPr>
          <w:rFonts w:cs="Times New Roman"/>
          <w:szCs w:val="20"/>
        </w:rPr>
      </w:pPr>
      <w:r w:rsidRPr="00C14F0D">
        <w:rPr>
          <w:rFonts w:cs="Times New Roman"/>
          <w:szCs w:val="20"/>
        </w:rPr>
        <w:lastRenderedPageBreak/>
        <w:t>The</w:t>
      </w:r>
      <w:r w:rsidR="00302415" w:rsidRPr="00C14F0D">
        <w:rPr>
          <w:rFonts w:cs="Times New Roman"/>
          <w:szCs w:val="20"/>
        </w:rPr>
        <w:t xml:space="preserve"> </w:t>
      </w:r>
      <w:r w:rsidR="00302415" w:rsidRPr="0059460B">
        <w:rPr>
          <w:rFonts w:cs="Times New Roman"/>
          <w:i/>
          <w:iCs/>
          <w:szCs w:val="20"/>
        </w:rPr>
        <w:t>Auchan</w:t>
      </w:r>
      <w:r w:rsidR="00302415" w:rsidRPr="00C14F0D">
        <w:rPr>
          <w:rFonts w:cs="Times New Roman"/>
          <w:szCs w:val="20"/>
        </w:rPr>
        <w:t xml:space="preserve"> case relates to the </w:t>
      </w:r>
      <w:r w:rsidR="0094520B" w:rsidRPr="00C14F0D">
        <w:rPr>
          <w:rFonts w:cs="Times New Roman"/>
          <w:szCs w:val="20"/>
        </w:rPr>
        <w:t xml:space="preserve">organization of </w:t>
      </w:r>
      <w:r w:rsidR="00447BEE" w:rsidRPr="00C14F0D">
        <w:rPr>
          <w:rFonts w:cs="Times New Roman"/>
          <w:szCs w:val="20"/>
        </w:rPr>
        <w:t>logistics operation</w:t>
      </w:r>
      <w:r w:rsidR="009B1E0A" w:rsidRPr="00C14F0D">
        <w:rPr>
          <w:rFonts w:cs="Times New Roman"/>
          <w:szCs w:val="20"/>
        </w:rPr>
        <w:t>s</w:t>
      </w:r>
      <w:r w:rsidR="00447BEE" w:rsidRPr="00C14F0D">
        <w:rPr>
          <w:rFonts w:cs="Times New Roman"/>
          <w:szCs w:val="20"/>
        </w:rPr>
        <w:t xml:space="preserve"> in </w:t>
      </w:r>
      <w:r w:rsidR="0059460B">
        <w:rPr>
          <w:rFonts w:cs="Times New Roman"/>
          <w:szCs w:val="20"/>
        </w:rPr>
        <w:t>a super- and hypermarket chain</w:t>
      </w:r>
      <w:r w:rsidR="0094520B" w:rsidRPr="00C14F0D">
        <w:rPr>
          <w:rFonts w:cs="Times New Roman"/>
          <w:szCs w:val="20"/>
        </w:rPr>
        <w:t xml:space="preserve">. </w:t>
      </w:r>
      <w:r w:rsidR="008E2425" w:rsidRPr="00C14F0D">
        <w:rPr>
          <w:rFonts w:cs="Times New Roman"/>
          <w:szCs w:val="20"/>
        </w:rPr>
        <w:t>Its background</w:t>
      </w:r>
      <w:r w:rsidR="00083D1F" w:rsidRPr="00C14F0D">
        <w:rPr>
          <w:rFonts w:cs="Times New Roman"/>
          <w:szCs w:val="20"/>
        </w:rPr>
        <w:t xml:space="preserve"> </w:t>
      </w:r>
      <w:r w:rsidR="007C73A0" w:rsidRPr="00C14F0D">
        <w:rPr>
          <w:rFonts w:cs="Times New Roman"/>
          <w:szCs w:val="20"/>
        </w:rPr>
        <w:t xml:space="preserve">involves a commonly adopted practice in </w:t>
      </w:r>
      <w:r w:rsidR="009B1E0A" w:rsidRPr="00C14F0D">
        <w:rPr>
          <w:rFonts w:cs="Times New Roman"/>
          <w:szCs w:val="20"/>
        </w:rPr>
        <w:t xml:space="preserve">food </w:t>
      </w:r>
      <w:r w:rsidR="007C73A0" w:rsidRPr="00C14F0D">
        <w:rPr>
          <w:rFonts w:cs="Times New Roman"/>
          <w:szCs w:val="20"/>
        </w:rPr>
        <w:t>retail, whereby stores are supplied mainly through central warehouses</w:t>
      </w:r>
      <w:r w:rsidR="00E63A9F" w:rsidRPr="00C14F0D">
        <w:rPr>
          <w:rFonts w:cs="Times New Roman"/>
          <w:szCs w:val="20"/>
        </w:rPr>
        <w:t xml:space="preserve">. </w:t>
      </w:r>
      <w:r w:rsidR="00F41BD3" w:rsidRPr="00C14F0D">
        <w:rPr>
          <w:rFonts w:cs="Times New Roman"/>
          <w:szCs w:val="20"/>
        </w:rPr>
        <w:t>With regard to Auchan</w:t>
      </w:r>
      <w:r w:rsidR="009C78AD" w:rsidRPr="00C14F0D">
        <w:rPr>
          <w:rFonts w:cs="Times New Roman"/>
          <w:szCs w:val="20"/>
        </w:rPr>
        <w:t>,</w:t>
      </w:r>
      <w:r w:rsidR="00F41BD3" w:rsidRPr="00C14F0D">
        <w:rPr>
          <w:rFonts w:cs="Times New Roman"/>
          <w:szCs w:val="20"/>
        </w:rPr>
        <w:t xml:space="preserve"> the authority established that </w:t>
      </w:r>
      <w:r w:rsidR="00E63A9F" w:rsidRPr="00C14F0D">
        <w:rPr>
          <w:rFonts w:cs="Times New Roman"/>
          <w:szCs w:val="20"/>
        </w:rPr>
        <w:t xml:space="preserve">suppliers </w:t>
      </w:r>
      <w:r w:rsidR="00E95351" w:rsidRPr="00C14F0D">
        <w:rPr>
          <w:rFonts w:cs="Times New Roman"/>
          <w:szCs w:val="20"/>
        </w:rPr>
        <w:t>could deliver goods</w:t>
      </w:r>
      <w:r w:rsidR="00B42EF7" w:rsidRPr="00C14F0D">
        <w:rPr>
          <w:rFonts w:cs="Times New Roman"/>
          <w:szCs w:val="20"/>
        </w:rPr>
        <w:t xml:space="preserve"> </w:t>
      </w:r>
      <w:r w:rsidR="00E95351" w:rsidRPr="00C14F0D">
        <w:rPr>
          <w:rFonts w:cs="Times New Roman"/>
          <w:szCs w:val="20"/>
        </w:rPr>
        <w:t>either</w:t>
      </w:r>
      <w:r w:rsidR="00B42EF7" w:rsidRPr="00C14F0D">
        <w:rPr>
          <w:rFonts w:cs="Times New Roman"/>
          <w:szCs w:val="20"/>
        </w:rPr>
        <w:t xml:space="preserve"> directly</w:t>
      </w:r>
      <w:r w:rsidR="00E95351" w:rsidRPr="00C14F0D">
        <w:rPr>
          <w:rFonts w:cs="Times New Roman"/>
          <w:szCs w:val="20"/>
        </w:rPr>
        <w:t xml:space="preserve"> to stores or to central warehouses</w:t>
      </w:r>
      <w:r w:rsidR="009C4FE6" w:rsidRPr="00C14F0D">
        <w:rPr>
          <w:rFonts w:cs="Times New Roman"/>
          <w:szCs w:val="20"/>
        </w:rPr>
        <w:t xml:space="preserve">. </w:t>
      </w:r>
      <w:r w:rsidR="00CE3028" w:rsidRPr="00C14F0D">
        <w:rPr>
          <w:rFonts w:cs="Times New Roman"/>
          <w:szCs w:val="20"/>
        </w:rPr>
        <w:t>The</w:t>
      </w:r>
      <w:r w:rsidR="009C4FE6" w:rsidRPr="00C14F0D">
        <w:rPr>
          <w:rFonts w:cs="Times New Roman"/>
          <w:szCs w:val="20"/>
        </w:rPr>
        <w:t xml:space="preserve"> latter scenario</w:t>
      </w:r>
      <w:r w:rsidR="00CE3028" w:rsidRPr="00C14F0D">
        <w:rPr>
          <w:rFonts w:cs="Times New Roman"/>
          <w:szCs w:val="20"/>
        </w:rPr>
        <w:t xml:space="preserve"> was</w:t>
      </w:r>
      <w:r w:rsidR="009B1E0A" w:rsidRPr="00C14F0D">
        <w:rPr>
          <w:rFonts w:cs="Times New Roman"/>
          <w:szCs w:val="20"/>
        </w:rPr>
        <w:t>,</w:t>
      </w:r>
      <w:r w:rsidR="00CE3028" w:rsidRPr="00C14F0D">
        <w:rPr>
          <w:rFonts w:cs="Times New Roman"/>
          <w:szCs w:val="20"/>
        </w:rPr>
        <w:t xml:space="preserve"> however</w:t>
      </w:r>
      <w:r w:rsidR="009B1E0A" w:rsidRPr="00C14F0D">
        <w:rPr>
          <w:rFonts w:cs="Times New Roman"/>
          <w:szCs w:val="20"/>
        </w:rPr>
        <w:t>,</w:t>
      </w:r>
      <w:r w:rsidR="00CE3028" w:rsidRPr="00C14F0D">
        <w:rPr>
          <w:rFonts w:cs="Times New Roman"/>
          <w:szCs w:val="20"/>
        </w:rPr>
        <w:t xml:space="preserve"> preferred</w:t>
      </w:r>
      <w:r w:rsidR="009B1E0A" w:rsidRPr="00C14F0D">
        <w:rPr>
          <w:rFonts w:cs="Times New Roman"/>
          <w:szCs w:val="20"/>
        </w:rPr>
        <w:t xml:space="preserve"> by the retailer</w:t>
      </w:r>
      <w:r w:rsidR="0059460B">
        <w:rPr>
          <w:rFonts w:cs="Times New Roman"/>
          <w:szCs w:val="20"/>
        </w:rPr>
        <w:t>, also for efficiency reasons</w:t>
      </w:r>
      <w:r w:rsidR="00CE3028" w:rsidRPr="00C14F0D">
        <w:rPr>
          <w:rFonts w:cs="Times New Roman"/>
          <w:szCs w:val="20"/>
        </w:rPr>
        <w:t>.</w:t>
      </w:r>
      <w:r w:rsidR="007715A6">
        <w:rPr>
          <w:rStyle w:val="Odwoanieprzypisudolnego"/>
          <w:rFonts w:cs="Times New Roman"/>
          <w:szCs w:val="20"/>
        </w:rPr>
        <w:footnoteReference w:id="25"/>
      </w:r>
      <w:r w:rsidR="00CE3028" w:rsidRPr="00C14F0D">
        <w:rPr>
          <w:rFonts w:cs="Times New Roman"/>
          <w:szCs w:val="20"/>
        </w:rPr>
        <w:t xml:space="preserve"> </w:t>
      </w:r>
      <w:r w:rsidR="0059460B">
        <w:rPr>
          <w:rFonts w:cs="Times New Roman"/>
          <w:szCs w:val="20"/>
        </w:rPr>
        <w:t>However, w</w:t>
      </w:r>
      <w:r w:rsidR="00CE3028" w:rsidRPr="00C14F0D">
        <w:rPr>
          <w:rFonts w:cs="Times New Roman"/>
          <w:szCs w:val="20"/>
        </w:rPr>
        <w:t>hen</w:t>
      </w:r>
      <w:r w:rsidR="00382AC4" w:rsidRPr="00C14F0D">
        <w:rPr>
          <w:rFonts w:cs="Times New Roman"/>
          <w:szCs w:val="20"/>
        </w:rPr>
        <w:t xml:space="preserve"> delivering to central warehouses</w:t>
      </w:r>
      <w:r w:rsidR="009C4FE6" w:rsidRPr="00C14F0D">
        <w:rPr>
          <w:rFonts w:cs="Times New Roman"/>
          <w:szCs w:val="20"/>
        </w:rPr>
        <w:t xml:space="preserve"> the supplier</w:t>
      </w:r>
      <w:r w:rsidR="005937A0" w:rsidRPr="00C14F0D">
        <w:rPr>
          <w:rFonts w:cs="Times New Roman"/>
          <w:szCs w:val="20"/>
        </w:rPr>
        <w:t>s</w:t>
      </w:r>
      <w:r w:rsidR="009C4FE6" w:rsidRPr="00C14F0D">
        <w:rPr>
          <w:rFonts w:cs="Times New Roman"/>
          <w:szCs w:val="20"/>
        </w:rPr>
        <w:t xml:space="preserve"> </w:t>
      </w:r>
      <w:r w:rsidR="005937A0" w:rsidRPr="00C14F0D">
        <w:rPr>
          <w:rFonts w:cs="Times New Roman"/>
          <w:szCs w:val="20"/>
        </w:rPr>
        <w:t>were</w:t>
      </w:r>
      <w:r w:rsidR="009C4FE6" w:rsidRPr="00C14F0D">
        <w:rPr>
          <w:rFonts w:cs="Times New Roman"/>
          <w:szCs w:val="20"/>
        </w:rPr>
        <w:t xml:space="preserve"> requested to pay </w:t>
      </w:r>
      <w:r w:rsidR="004F2D34" w:rsidRPr="00C14F0D">
        <w:rPr>
          <w:rFonts w:cs="Times New Roman"/>
          <w:szCs w:val="20"/>
        </w:rPr>
        <w:t xml:space="preserve">additional </w:t>
      </w:r>
      <w:r w:rsidR="009B1E0A" w:rsidRPr="00C14F0D">
        <w:rPr>
          <w:rFonts w:cs="Times New Roman"/>
          <w:szCs w:val="20"/>
        </w:rPr>
        <w:t>compensation</w:t>
      </w:r>
      <w:r w:rsidR="004F2D34" w:rsidRPr="00C14F0D">
        <w:rPr>
          <w:rFonts w:cs="Times New Roman"/>
          <w:szCs w:val="20"/>
        </w:rPr>
        <w:t xml:space="preserve"> to the buyer for the </w:t>
      </w:r>
      <w:r w:rsidR="005937A0" w:rsidRPr="00C14F0D">
        <w:rPr>
          <w:rFonts w:cs="Times New Roman"/>
          <w:szCs w:val="20"/>
        </w:rPr>
        <w:t>distribution of goods from</w:t>
      </w:r>
      <w:r w:rsidR="002F205F" w:rsidRPr="00C14F0D">
        <w:rPr>
          <w:rFonts w:cs="Times New Roman"/>
          <w:szCs w:val="20"/>
        </w:rPr>
        <w:t xml:space="preserve"> central warehouse to </w:t>
      </w:r>
      <w:r w:rsidR="005937A0" w:rsidRPr="00C14F0D">
        <w:rPr>
          <w:rFonts w:cs="Times New Roman"/>
          <w:szCs w:val="20"/>
        </w:rPr>
        <w:t xml:space="preserve">individual </w:t>
      </w:r>
      <w:r w:rsidR="002F205F" w:rsidRPr="00C14F0D">
        <w:rPr>
          <w:rFonts w:cs="Times New Roman"/>
          <w:szCs w:val="20"/>
        </w:rPr>
        <w:t>stores. Th</w:t>
      </w:r>
      <w:r w:rsidR="00F26928" w:rsidRPr="00C14F0D">
        <w:rPr>
          <w:rFonts w:cs="Times New Roman"/>
          <w:szCs w:val="20"/>
        </w:rPr>
        <w:t>is</w:t>
      </w:r>
      <w:r w:rsidR="002F205F" w:rsidRPr="00C14F0D">
        <w:rPr>
          <w:rFonts w:cs="Times New Roman"/>
          <w:szCs w:val="20"/>
        </w:rPr>
        <w:t xml:space="preserve"> </w:t>
      </w:r>
      <w:r w:rsidR="00F26928" w:rsidRPr="00C14F0D">
        <w:rPr>
          <w:rFonts w:cs="Times New Roman"/>
          <w:szCs w:val="20"/>
        </w:rPr>
        <w:t>compensation</w:t>
      </w:r>
      <w:r w:rsidR="002F205F" w:rsidRPr="00C14F0D">
        <w:rPr>
          <w:rFonts w:cs="Times New Roman"/>
          <w:szCs w:val="20"/>
        </w:rPr>
        <w:t xml:space="preserve"> </w:t>
      </w:r>
      <w:r w:rsidR="002452AB" w:rsidRPr="00C14F0D">
        <w:rPr>
          <w:rFonts w:cs="Times New Roman"/>
          <w:szCs w:val="20"/>
        </w:rPr>
        <w:t>could</w:t>
      </w:r>
      <w:r w:rsidR="002F205F" w:rsidRPr="00C14F0D">
        <w:rPr>
          <w:rFonts w:cs="Times New Roman"/>
          <w:szCs w:val="20"/>
        </w:rPr>
        <w:t xml:space="preserve"> also take a form of a discount (e.g. fixed </w:t>
      </w:r>
      <w:r w:rsidR="001360AA" w:rsidRPr="00C14F0D">
        <w:rPr>
          <w:rFonts w:cs="Times New Roman"/>
          <w:szCs w:val="20"/>
        </w:rPr>
        <w:t>percentage</w:t>
      </w:r>
      <w:r w:rsidR="00460EA3" w:rsidRPr="00C14F0D">
        <w:rPr>
          <w:rFonts w:cs="Times New Roman"/>
          <w:szCs w:val="20"/>
        </w:rPr>
        <w:t xml:space="preserve"> </w:t>
      </w:r>
      <w:r w:rsidR="00C90515" w:rsidRPr="00C14F0D">
        <w:rPr>
          <w:rFonts w:cs="Times New Roman"/>
          <w:szCs w:val="20"/>
        </w:rPr>
        <w:t>of purchase volume</w:t>
      </w:r>
      <w:r w:rsidR="001360AA" w:rsidRPr="00C14F0D">
        <w:rPr>
          <w:rFonts w:cs="Times New Roman"/>
          <w:szCs w:val="20"/>
        </w:rPr>
        <w:t>)</w:t>
      </w:r>
      <w:r w:rsidR="00E92CE5" w:rsidRPr="00C14F0D">
        <w:rPr>
          <w:rFonts w:cs="Times New Roman"/>
          <w:szCs w:val="20"/>
        </w:rPr>
        <w:t>.</w:t>
      </w:r>
      <w:r w:rsidR="00B42EF7" w:rsidRPr="00C14F0D">
        <w:rPr>
          <w:rFonts w:cs="Times New Roman"/>
          <w:szCs w:val="20"/>
        </w:rPr>
        <w:t xml:space="preserve"> </w:t>
      </w:r>
      <w:r w:rsidRPr="00C14F0D">
        <w:rPr>
          <w:rFonts w:cs="Times New Roman"/>
          <w:szCs w:val="20"/>
        </w:rPr>
        <w:t xml:space="preserve"> </w:t>
      </w:r>
    </w:p>
    <w:p w14:paraId="395C0E06" w14:textId="40E0FE15" w:rsidR="007E4692" w:rsidRPr="00B34685" w:rsidRDefault="0093597B" w:rsidP="00193E33">
      <w:pPr>
        <w:rPr>
          <w:rFonts w:cs="Times New Roman"/>
          <w:szCs w:val="20"/>
          <w:lang w:val="en-US"/>
        </w:rPr>
      </w:pPr>
      <w:r w:rsidRPr="00C14F0D">
        <w:rPr>
          <w:rFonts w:cs="Times New Roman"/>
          <w:szCs w:val="20"/>
        </w:rPr>
        <w:t>The P</w:t>
      </w:r>
      <w:r w:rsidR="00025357" w:rsidRPr="00C14F0D">
        <w:rPr>
          <w:rFonts w:cs="Times New Roman"/>
          <w:szCs w:val="20"/>
        </w:rPr>
        <w:t xml:space="preserve">resident of </w:t>
      </w:r>
      <w:proofErr w:type="spellStart"/>
      <w:r w:rsidR="00025357" w:rsidRPr="00C14F0D">
        <w:rPr>
          <w:rFonts w:cs="Times New Roman"/>
          <w:szCs w:val="20"/>
        </w:rPr>
        <w:t>UOKiK</w:t>
      </w:r>
      <w:proofErr w:type="spellEnd"/>
      <w:r w:rsidR="00025357" w:rsidRPr="00C14F0D">
        <w:rPr>
          <w:rFonts w:cs="Times New Roman"/>
          <w:szCs w:val="20"/>
        </w:rPr>
        <w:t xml:space="preserve"> found such organization scheme to be </w:t>
      </w:r>
      <w:r w:rsidR="00EE238F" w:rsidRPr="00C14F0D">
        <w:rPr>
          <w:rFonts w:cs="Times New Roman"/>
          <w:szCs w:val="20"/>
        </w:rPr>
        <w:t xml:space="preserve">against good commercial customs. </w:t>
      </w:r>
      <w:r w:rsidR="008F6767" w:rsidRPr="00C14F0D">
        <w:rPr>
          <w:rFonts w:cs="Times New Roman"/>
          <w:szCs w:val="20"/>
        </w:rPr>
        <w:t>The authority argued, that logistics operations</w:t>
      </w:r>
      <w:r w:rsidR="00BF3E22">
        <w:rPr>
          <w:rFonts w:cs="Times New Roman"/>
          <w:szCs w:val="20"/>
        </w:rPr>
        <w:t xml:space="preserve"> of moving goods from warehouses to stores</w:t>
      </w:r>
      <w:r w:rsidR="008F6767" w:rsidRPr="00C14F0D">
        <w:rPr>
          <w:rFonts w:cs="Times New Roman"/>
          <w:szCs w:val="20"/>
        </w:rPr>
        <w:t xml:space="preserve"> were not services provided for the benefit of suppliers, but rather an integral part</w:t>
      </w:r>
      <w:r w:rsidR="00EE238F" w:rsidRPr="00C14F0D">
        <w:rPr>
          <w:rFonts w:cs="Times New Roman"/>
          <w:szCs w:val="20"/>
        </w:rPr>
        <w:t xml:space="preserve"> </w:t>
      </w:r>
      <w:r w:rsidR="008F6767" w:rsidRPr="00C14F0D">
        <w:rPr>
          <w:rFonts w:cs="Times New Roman"/>
          <w:szCs w:val="20"/>
        </w:rPr>
        <w:t>of Auchan’s internal distribution system</w:t>
      </w:r>
      <w:r w:rsidR="00E50BDB" w:rsidRPr="00C14F0D">
        <w:rPr>
          <w:rFonts w:cs="Times New Roman"/>
          <w:szCs w:val="20"/>
        </w:rPr>
        <w:t xml:space="preserve"> and a result of it </w:t>
      </w:r>
      <w:r w:rsidR="00294A05" w:rsidRPr="00C14F0D">
        <w:rPr>
          <w:rFonts w:cs="Times New Roman"/>
          <w:szCs w:val="20"/>
        </w:rPr>
        <w:t>organizational philosophy</w:t>
      </w:r>
      <w:r w:rsidR="008F6767" w:rsidRPr="00C14F0D">
        <w:rPr>
          <w:rFonts w:cs="Times New Roman"/>
          <w:szCs w:val="20"/>
        </w:rPr>
        <w:t xml:space="preserve">. </w:t>
      </w:r>
      <w:r w:rsidR="002A199D" w:rsidRPr="00C14F0D">
        <w:rPr>
          <w:rFonts w:cs="Times New Roman"/>
          <w:szCs w:val="20"/>
        </w:rPr>
        <w:t>Therefore the costs associated with these operations should have been borne by Auchan itself, not passed on to suppliers.</w:t>
      </w:r>
      <w:r w:rsidR="00A23204" w:rsidRPr="00C14F0D">
        <w:rPr>
          <w:rFonts w:cs="Times New Roman"/>
          <w:szCs w:val="20"/>
        </w:rPr>
        <w:t xml:space="preserve"> </w:t>
      </w:r>
      <w:r w:rsidR="00843D5A" w:rsidRPr="00C14F0D">
        <w:rPr>
          <w:rFonts w:cs="Times New Roman"/>
          <w:szCs w:val="20"/>
        </w:rPr>
        <w:t xml:space="preserve">Moreover, the investigation revealed that the calculation of the logistics fee lacked transparency and consistency. </w:t>
      </w:r>
      <w:r w:rsidR="00264F85" w:rsidRPr="00B34685">
        <w:rPr>
          <w:rFonts w:cs="Times New Roman"/>
          <w:szCs w:val="20"/>
          <w:lang w:val="en-US"/>
        </w:rPr>
        <w:t xml:space="preserve">In this case the authority </w:t>
      </w:r>
      <w:r w:rsidR="00C062FC" w:rsidRPr="00B34685">
        <w:rPr>
          <w:rFonts w:cs="Times New Roman"/>
          <w:szCs w:val="20"/>
          <w:lang w:val="en-US"/>
        </w:rPr>
        <w:t xml:space="preserve">indicated that </w:t>
      </w:r>
      <w:r w:rsidR="00B34685" w:rsidRPr="00B34685">
        <w:rPr>
          <w:rFonts w:cs="Times New Roman"/>
          <w:szCs w:val="20"/>
          <w:lang w:val="en-US"/>
        </w:rPr>
        <w:t xml:space="preserve">under </w:t>
      </w:r>
      <w:r w:rsidR="00C062FC" w:rsidRPr="00B34685">
        <w:rPr>
          <w:rFonts w:cs="Times New Roman"/>
          <w:szCs w:val="20"/>
          <w:lang w:val="en-US"/>
        </w:rPr>
        <w:t xml:space="preserve">good commercial customs </w:t>
      </w:r>
      <w:r w:rsidR="00B34685" w:rsidRPr="00B34685">
        <w:rPr>
          <w:rFonts w:cs="Times New Roman"/>
          <w:szCs w:val="20"/>
        </w:rPr>
        <w:t>buyers should propose only those additional services that meet the suppliers’ needs and relate to the products they deliver, and not services aimed mainly at improving the buyer’s retail network operations</w:t>
      </w:r>
      <w:r w:rsidR="001D5A36" w:rsidRPr="00B34685">
        <w:rPr>
          <w:rFonts w:cs="Times New Roman"/>
          <w:szCs w:val="20"/>
          <w:lang w:val="en-US"/>
        </w:rPr>
        <w:t>.</w:t>
      </w:r>
      <w:r w:rsidR="001D5A36">
        <w:rPr>
          <w:rStyle w:val="Odwoanieprzypisudolnego"/>
          <w:rFonts w:cs="Times New Roman"/>
          <w:szCs w:val="20"/>
          <w:lang w:val="pl-PL"/>
        </w:rPr>
        <w:footnoteReference w:id="26"/>
      </w:r>
    </w:p>
    <w:p w14:paraId="65588844" w14:textId="31BB2D36" w:rsidR="00195FD6" w:rsidRPr="00C14F0D" w:rsidRDefault="00EB198D" w:rsidP="00193E33">
      <w:pPr>
        <w:rPr>
          <w:rFonts w:cs="Times New Roman"/>
          <w:szCs w:val="20"/>
        </w:rPr>
      </w:pPr>
      <w:r w:rsidRPr="00C14F0D">
        <w:rPr>
          <w:rFonts w:cs="Times New Roman"/>
          <w:szCs w:val="20"/>
        </w:rPr>
        <w:t xml:space="preserve">In the authority’s view, </w:t>
      </w:r>
      <w:r w:rsidR="00843D5A" w:rsidRPr="00C14F0D">
        <w:rPr>
          <w:rFonts w:cs="Times New Roman"/>
          <w:szCs w:val="20"/>
        </w:rPr>
        <w:t>Auchan</w:t>
      </w:r>
      <w:r w:rsidR="00485F13" w:rsidRPr="00C14F0D">
        <w:rPr>
          <w:rFonts w:cs="Times New Roman"/>
          <w:szCs w:val="20"/>
        </w:rPr>
        <w:t>’s</w:t>
      </w:r>
      <w:r w:rsidR="00843D5A" w:rsidRPr="00C14F0D">
        <w:rPr>
          <w:rFonts w:cs="Times New Roman"/>
          <w:szCs w:val="20"/>
        </w:rPr>
        <w:t xml:space="preserve"> </w:t>
      </w:r>
      <w:r w:rsidRPr="00C14F0D">
        <w:rPr>
          <w:rFonts w:cs="Times New Roman"/>
          <w:szCs w:val="20"/>
        </w:rPr>
        <w:t xml:space="preserve">contractual advantage over suppliers </w:t>
      </w:r>
      <w:r w:rsidR="00485F13" w:rsidRPr="00C14F0D">
        <w:rPr>
          <w:rFonts w:cs="Times New Roman"/>
          <w:szCs w:val="20"/>
        </w:rPr>
        <w:t xml:space="preserve">enabled it to transfer </w:t>
      </w:r>
      <w:r w:rsidR="00643D65" w:rsidRPr="00C14F0D">
        <w:rPr>
          <w:rFonts w:cs="Times New Roman"/>
          <w:szCs w:val="20"/>
        </w:rPr>
        <w:t>logistic</w:t>
      </w:r>
      <w:r w:rsidR="00485F13" w:rsidRPr="00C14F0D">
        <w:rPr>
          <w:rFonts w:cs="Times New Roman"/>
          <w:szCs w:val="20"/>
        </w:rPr>
        <w:t xml:space="preserve"> costs</w:t>
      </w:r>
      <w:r w:rsidR="005461AC" w:rsidRPr="00C14F0D">
        <w:rPr>
          <w:rFonts w:cs="Times New Roman"/>
          <w:szCs w:val="20"/>
        </w:rPr>
        <w:t xml:space="preserve">. </w:t>
      </w:r>
      <w:r w:rsidR="0098488B" w:rsidRPr="00C14F0D">
        <w:rPr>
          <w:rFonts w:cs="Times New Roman"/>
          <w:szCs w:val="20"/>
        </w:rPr>
        <w:t>In a</w:t>
      </w:r>
      <w:r w:rsidR="001C4391" w:rsidRPr="00C14F0D">
        <w:rPr>
          <w:rFonts w:cs="Times New Roman"/>
          <w:szCs w:val="20"/>
        </w:rPr>
        <w:t>n</w:t>
      </w:r>
      <w:r w:rsidR="0098488B" w:rsidRPr="00C14F0D">
        <w:rPr>
          <w:rFonts w:cs="Times New Roman"/>
          <w:szCs w:val="20"/>
        </w:rPr>
        <w:t xml:space="preserve"> </w:t>
      </w:r>
      <w:r w:rsidR="00AC4E9D" w:rsidRPr="00C14F0D">
        <w:rPr>
          <w:rFonts w:cs="Times New Roman"/>
          <w:szCs w:val="20"/>
        </w:rPr>
        <w:t xml:space="preserve">equal relationship the buyer would cover its own transport expenses </w:t>
      </w:r>
      <w:r w:rsidR="001C4391" w:rsidRPr="00C14F0D">
        <w:rPr>
          <w:rFonts w:cs="Times New Roman"/>
          <w:szCs w:val="20"/>
        </w:rPr>
        <w:t>rather than requiring</w:t>
      </w:r>
      <w:r w:rsidR="00930180" w:rsidRPr="00C14F0D">
        <w:rPr>
          <w:rFonts w:cs="Times New Roman"/>
          <w:szCs w:val="20"/>
        </w:rPr>
        <w:t xml:space="preserve"> them to be paid by the counterparty. </w:t>
      </w:r>
      <w:r w:rsidR="00EC3267" w:rsidRPr="00C14F0D">
        <w:rPr>
          <w:rFonts w:cs="Times New Roman"/>
          <w:szCs w:val="20"/>
        </w:rPr>
        <w:t>The decision imposed a fine of approx</w:t>
      </w:r>
      <w:r w:rsidR="00AC6C9B" w:rsidRPr="00C14F0D">
        <w:rPr>
          <w:rFonts w:cs="Times New Roman"/>
          <w:szCs w:val="20"/>
        </w:rPr>
        <w:t>imately</w:t>
      </w:r>
      <w:r w:rsidR="00EC3267" w:rsidRPr="00C14F0D">
        <w:rPr>
          <w:rFonts w:cs="Times New Roman"/>
          <w:szCs w:val="20"/>
        </w:rPr>
        <w:t xml:space="preserve"> PLN 87 million (</w:t>
      </w:r>
      <w:r w:rsidR="00AC6C9B" w:rsidRPr="00C14F0D">
        <w:rPr>
          <w:rFonts w:cs="Times New Roman"/>
          <w:szCs w:val="20"/>
        </w:rPr>
        <w:t>EUR 20 million)</w:t>
      </w:r>
      <w:r w:rsidR="00786102">
        <w:rPr>
          <w:rFonts w:cs="Times New Roman"/>
          <w:szCs w:val="20"/>
        </w:rPr>
        <w:t>.</w:t>
      </w:r>
      <w:r w:rsidR="00D704B2">
        <w:rPr>
          <w:rStyle w:val="Odwoanieprzypisudolnego"/>
          <w:rFonts w:cs="Times New Roman"/>
          <w:szCs w:val="20"/>
        </w:rPr>
        <w:footnoteReference w:id="27"/>
      </w:r>
      <w:r w:rsidR="00AC6C9B" w:rsidRPr="00C14F0D">
        <w:rPr>
          <w:rFonts w:cs="Times New Roman"/>
          <w:szCs w:val="20"/>
        </w:rPr>
        <w:t xml:space="preserve"> </w:t>
      </w:r>
      <w:r w:rsidR="00195FD6" w:rsidRPr="00C14F0D">
        <w:rPr>
          <w:rFonts w:cs="Times New Roman"/>
          <w:szCs w:val="20"/>
        </w:rPr>
        <w:t xml:space="preserve">The case is currently under judicial review. </w:t>
      </w:r>
    </w:p>
    <w:p w14:paraId="681B25FE" w14:textId="3AF6FD63" w:rsidR="00B02D65" w:rsidRPr="00C14F0D" w:rsidRDefault="00F864F9" w:rsidP="00193E33">
      <w:pPr>
        <w:rPr>
          <w:rFonts w:cs="Times New Roman"/>
          <w:szCs w:val="20"/>
        </w:rPr>
      </w:pPr>
      <w:r w:rsidRPr="00C14F0D">
        <w:rPr>
          <w:rFonts w:cs="Times New Roman"/>
          <w:szCs w:val="20"/>
        </w:rPr>
        <w:t xml:space="preserve">The </w:t>
      </w:r>
      <w:proofErr w:type="spellStart"/>
      <w:r w:rsidRPr="0059460B">
        <w:rPr>
          <w:rFonts w:cs="Times New Roman"/>
          <w:i/>
          <w:iCs/>
          <w:szCs w:val="20"/>
        </w:rPr>
        <w:t>Eurocash</w:t>
      </w:r>
      <w:proofErr w:type="spellEnd"/>
      <w:r w:rsidRPr="00C14F0D">
        <w:rPr>
          <w:rFonts w:cs="Times New Roman"/>
          <w:szCs w:val="20"/>
        </w:rPr>
        <w:t xml:space="preserve"> case also revolves around additional services performed by the buyer </w:t>
      </w:r>
      <w:r w:rsidR="00812584" w:rsidRPr="00C14F0D">
        <w:rPr>
          <w:rFonts w:cs="Times New Roman"/>
          <w:szCs w:val="20"/>
        </w:rPr>
        <w:t xml:space="preserve">for their suppliers. </w:t>
      </w:r>
      <w:proofErr w:type="spellStart"/>
      <w:r w:rsidR="00021449" w:rsidRPr="00C14F0D">
        <w:rPr>
          <w:rFonts w:cs="Times New Roman"/>
          <w:szCs w:val="20"/>
        </w:rPr>
        <w:t>Eurocash</w:t>
      </w:r>
      <w:proofErr w:type="spellEnd"/>
      <w:r w:rsidR="00021449" w:rsidRPr="00C14F0D">
        <w:rPr>
          <w:rFonts w:cs="Times New Roman"/>
          <w:szCs w:val="20"/>
        </w:rPr>
        <w:t xml:space="preserve"> Group operates primarily as a business-to-business wholesaler and franchisor within Poland's</w:t>
      </w:r>
      <w:r w:rsidR="00B4125D" w:rsidRPr="00C14F0D">
        <w:rPr>
          <w:rFonts w:cs="Times New Roman"/>
          <w:szCs w:val="20"/>
        </w:rPr>
        <w:t xml:space="preserve"> FMCG sector. </w:t>
      </w:r>
      <w:r w:rsidR="00136475" w:rsidRPr="00C14F0D">
        <w:rPr>
          <w:rFonts w:cs="Times New Roman"/>
          <w:szCs w:val="20"/>
        </w:rPr>
        <w:t xml:space="preserve">Unlike traditional supermarket chains that operate in Poland, </w:t>
      </w:r>
      <w:proofErr w:type="spellStart"/>
      <w:r w:rsidR="00136475" w:rsidRPr="00C14F0D">
        <w:rPr>
          <w:rFonts w:cs="Times New Roman"/>
          <w:szCs w:val="20"/>
        </w:rPr>
        <w:t>Eurocash</w:t>
      </w:r>
      <w:proofErr w:type="spellEnd"/>
      <w:r w:rsidR="00136475" w:rsidRPr="00C14F0D">
        <w:rPr>
          <w:rFonts w:cs="Times New Roman"/>
          <w:szCs w:val="20"/>
        </w:rPr>
        <w:t xml:space="preserve"> serves </w:t>
      </w:r>
      <w:r w:rsidR="00AC6C9B" w:rsidRPr="00C14F0D">
        <w:rPr>
          <w:rFonts w:cs="Times New Roman"/>
          <w:szCs w:val="20"/>
        </w:rPr>
        <w:t>primarily</w:t>
      </w:r>
      <w:r w:rsidR="00136475" w:rsidRPr="00C14F0D">
        <w:rPr>
          <w:rFonts w:cs="Times New Roman"/>
          <w:szCs w:val="20"/>
        </w:rPr>
        <w:t xml:space="preserve"> a</w:t>
      </w:r>
      <w:r w:rsidR="00B42BDD" w:rsidRPr="00C14F0D">
        <w:rPr>
          <w:rFonts w:cs="Times New Roman"/>
          <w:szCs w:val="20"/>
        </w:rPr>
        <w:t xml:space="preserve">s a franchisor </w:t>
      </w:r>
      <w:r w:rsidR="002846CD" w:rsidRPr="00C14F0D">
        <w:rPr>
          <w:rFonts w:cs="Times New Roman"/>
          <w:szCs w:val="20"/>
        </w:rPr>
        <w:t>with the majority of retail stores of its brands (</w:t>
      </w:r>
      <w:proofErr w:type="spellStart"/>
      <w:r w:rsidR="002846CD" w:rsidRPr="00C14F0D">
        <w:rPr>
          <w:rFonts w:cs="Times New Roman"/>
          <w:szCs w:val="20"/>
        </w:rPr>
        <w:t>e.g</w:t>
      </w:r>
      <w:proofErr w:type="spellEnd"/>
      <w:r w:rsidR="00522B9F" w:rsidRPr="00C14F0D">
        <w:rPr>
          <w:rFonts w:cs="Times New Roman"/>
          <w:szCs w:val="20"/>
        </w:rPr>
        <w:t>,</w:t>
      </w:r>
      <w:r w:rsidR="002846CD" w:rsidRPr="00C14F0D">
        <w:rPr>
          <w:rFonts w:cs="Times New Roman"/>
          <w:szCs w:val="20"/>
        </w:rPr>
        <w:t xml:space="preserve"> Delikatesy Centrum, ABC, </w:t>
      </w:r>
      <w:proofErr w:type="spellStart"/>
      <w:r w:rsidR="002846CD" w:rsidRPr="00C14F0D">
        <w:rPr>
          <w:rFonts w:cs="Times New Roman"/>
          <w:szCs w:val="20"/>
        </w:rPr>
        <w:t>Lewiatan</w:t>
      </w:r>
      <w:proofErr w:type="spellEnd"/>
      <w:r w:rsidR="002846CD" w:rsidRPr="00C14F0D">
        <w:rPr>
          <w:rFonts w:cs="Times New Roman"/>
          <w:szCs w:val="20"/>
        </w:rPr>
        <w:t>) independently owned and operated by franchisees</w:t>
      </w:r>
      <w:r w:rsidR="00AC779D" w:rsidRPr="00C14F0D">
        <w:rPr>
          <w:rFonts w:cs="Times New Roman"/>
          <w:szCs w:val="20"/>
        </w:rPr>
        <w:t>.</w:t>
      </w:r>
      <w:r w:rsidR="004B1410" w:rsidRPr="00C14F0D">
        <w:rPr>
          <w:rFonts w:cs="Times New Roman"/>
          <w:szCs w:val="20"/>
        </w:rPr>
        <w:t xml:space="preserve"> This organisation philosophy influences the </w:t>
      </w:r>
      <w:r w:rsidR="00F21B9B" w:rsidRPr="00C14F0D">
        <w:rPr>
          <w:rFonts w:cs="Times New Roman"/>
          <w:szCs w:val="20"/>
        </w:rPr>
        <w:t xml:space="preserve">scope of services offered by </w:t>
      </w:r>
      <w:proofErr w:type="spellStart"/>
      <w:r w:rsidR="00F21B9B" w:rsidRPr="00C14F0D">
        <w:rPr>
          <w:rFonts w:cs="Times New Roman"/>
          <w:szCs w:val="20"/>
        </w:rPr>
        <w:t>Eurocash</w:t>
      </w:r>
      <w:proofErr w:type="spellEnd"/>
      <w:r w:rsidR="00F21B9B" w:rsidRPr="00C14F0D">
        <w:rPr>
          <w:rFonts w:cs="Times New Roman"/>
          <w:szCs w:val="20"/>
        </w:rPr>
        <w:t xml:space="preserve"> to its suppliers. </w:t>
      </w:r>
    </w:p>
    <w:p w14:paraId="5D656F22" w14:textId="5F666D53" w:rsidR="001D68F0" w:rsidRPr="00C14F0D" w:rsidRDefault="001D68F0" w:rsidP="00193E33">
      <w:pPr>
        <w:rPr>
          <w:rFonts w:cs="Times New Roman"/>
          <w:szCs w:val="20"/>
        </w:rPr>
      </w:pPr>
      <w:r w:rsidRPr="00C14F0D">
        <w:rPr>
          <w:rFonts w:cs="Times New Roman"/>
          <w:szCs w:val="20"/>
        </w:rPr>
        <w:t xml:space="preserve">The investigation revealed that </w:t>
      </w:r>
      <w:proofErr w:type="spellStart"/>
      <w:r w:rsidRPr="00C14F0D">
        <w:rPr>
          <w:rFonts w:cs="Times New Roman"/>
          <w:szCs w:val="20"/>
        </w:rPr>
        <w:t>Eurocash</w:t>
      </w:r>
      <w:proofErr w:type="spellEnd"/>
      <w:r w:rsidRPr="00C14F0D">
        <w:rPr>
          <w:rFonts w:cs="Times New Roman"/>
          <w:szCs w:val="20"/>
        </w:rPr>
        <w:t xml:space="preserve"> offered </w:t>
      </w:r>
      <w:r w:rsidR="004F5AAB" w:rsidRPr="00C14F0D">
        <w:rPr>
          <w:rFonts w:cs="Times New Roman"/>
          <w:szCs w:val="20"/>
        </w:rPr>
        <w:t xml:space="preserve">a wide array of </w:t>
      </w:r>
      <w:r w:rsidR="006F2D9A" w:rsidRPr="00C14F0D">
        <w:rPr>
          <w:rFonts w:cs="Times New Roman"/>
          <w:szCs w:val="20"/>
        </w:rPr>
        <w:t xml:space="preserve">“basic intra-network services” and </w:t>
      </w:r>
      <w:r w:rsidR="0079435B" w:rsidRPr="00C14F0D">
        <w:rPr>
          <w:rFonts w:cs="Times New Roman"/>
          <w:szCs w:val="20"/>
        </w:rPr>
        <w:t>“</w:t>
      </w:r>
      <w:r w:rsidR="004F5AAB" w:rsidRPr="00C14F0D">
        <w:rPr>
          <w:rFonts w:cs="Times New Roman"/>
          <w:szCs w:val="20"/>
        </w:rPr>
        <w:t>sales support services</w:t>
      </w:r>
      <w:r w:rsidR="0079435B" w:rsidRPr="00C14F0D">
        <w:rPr>
          <w:rFonts w:cs="Times New Roman"/>
          <w:szCs w:val="20"/>
        </w:rPr>
        <w:t>”</w:t>
      </w:r>
      <w:r w:rsidR="00FA0EEB" w:rsidRPr="00C14F0D">
        <w:rPr>
          <w:rFonts w:cs="Times New Roman"/>
          <w:szCs w:val="20"/>
        </w:rPr>
        <w:t xml:space="preserve">. </w:t>
      </w:r>
      <w:r w:rsidR="006F2D9A" w:rsidRPr="00C14F0D">
        <w:rPr>
          <w:rFonts w:cs="Times New Roman"/>
          <w:szCs w:val="20"/>
        </w:rPr>
        <w:t>The first group</w:t>
      </w:r>
      <w:r w:rsidR="00FA0EEB" w:rsidRPr="00C14F0D">
        <w:rPr>
          <w:rFonts w:cs="Times New Roman"/>
          <w:szCs w:val="20"/>
        </w:rPr>
        <w:t xml:space="preserve"> included inter alia </w:t>
      </w:r>
      <w:r w:rsidR="00BB47C0" w:rsidRPr="00C14F0D">
        <w:rPr>
          <w:rFonts w:cs="Times New Roman"/>
          <w:szCs w:val="20"/>
        </w:rPr>
        <w:t>ensuring suppliers’ products retention in the commercial portfolio</w:t>
      </w:r>
      <w:r w:rsidR="00E844F0" w:rsidRPr="00C14F0D">
        <w:rPr>
          <w:rFonts w:cs="Times New Roman"/>
          <w:szCs w:val="20"/>
        </w:rPr>
        <w:t xml:space="preserve">, </w:t>
      </w:r>
      <w:r w:rsidR="006948E5" w:rsidRPr="00C14F0D">
        <w:rPr>
          <w:rFonts w:cs="Times New Roman"/>
          <w:szCs w:val="20"/>
        </w:rPr>
        <w:t>supervision and coordination of orders placed by stores</w:t>
      </w:r>
      <w:r w:rsidR="00E844F0" w:rsidRPr="00C14F0D">
        <w:rPr>
          <w:rFonts w:cs="Times New Roman"/>
          <w:szCs w:val="20"/>
        </w:rPr>
        <w:t xml:space="preserve">. Both groups </w:t>
      </w:r>
      <w:r w:rsidR="00B02D65" w:rsidRPr="00C14F0D">
        <w:rPr>
          <w:rFonts w:cs="Times New Roman"/>
          <w:szCs w:val="20"/>
        </w:rPr>
        <w:t xml:space="preserve">also </w:t>
      </w:r>
      <w:r w:rsidR="00E844F0" w:rsidRPr="00C14F0D">
        <w:rPr>
          <w:rFonts w:cs="Times New Roman"/>
          <w:szCs w:val="20"/>
        </w:rPr>
        <w:t xml:space="preserve">included </w:t>
      </w:r>
      <w:r w:rsidR="006948E5" w:rsidRPr="00C14F0D">
        <w:rPr>
          <w:rFonts w:cs="Times New Roman"/>
          <w:szCs w:val="20"/>
        </w:rPr>
        <w:t>services such as</w:t>
      </w:r>
      <w:r w:rsidR="00E844F0" w:rsidRPr="00C14F0D">
        <w:rPr>
          <w:rFonts w:cs="Times New Roman"/>
          <w:szCs w:val="20"/>
        </w:rPr>
        <w:t xml:space="preserve"> </w:t>
      </w:r>
      <w:r w:rsidR="00E05B27" w:rsidRPr="00C14F0D">
        <w:rPr>
          <w:rFonts w:cs="Times New Roman"/>
          <w:szCs w:val="20"/>
        </w:rPr>
        <w:t xml:space="preserve">reporting on the distribution of suppliers’ products, </w:t>
      </w:r>
      <w:r w:rsidR="00480933" w:rsidRPr="00C14F0D">
        <w:rPr>
          <w:rFonts w:cs="Times New Roman"/>
          <w:szCs w:val="20"/>
        </w:rPr>
        <w:t xml:space="preserve">market demand and trends monitoring, educating </w:t>
      </w:r>
      <w:proofErr w:type="spellStart"/>
      <w:r w:rsidR="00480933" w:rsidRPr="00C14F0D">
        <w:rPr>
          <w:rFonts w:cs="Times New Roman"/>
          <w:szCs w:val="20"/>
        </w:rPr>
        <w:t>Eurocash’</w:t>
      </w:r>
      <w:r w:rsidR="00B02D65" w:rsidRPr="00C14F0D">
        <w:rPr>
          <w:rFonts w:cs="Times New Roman"/>
          <w:szCs w:val="20"/>
        </w:rPr>
        <w:t>s</w:t>
      </w:r>
      <w:proofErr w:type="spellEnd"/>
      <w:r w:rsidR="00480933" w:rsidRPr="00C14F0D">
        <w:rPr>
          <w:rFonts w:cs="Times New Roman"/>
          <w:szCs w:val="20"/>
        </w:rPr>
        <w:t xml:space="preserve"> franchisees on suppliers’ products</w:t>
      </w:r>
      <w:r w:rsidR="008B6AC5" w:rsidRPr="00C14F0D">
        <w:rPr>
          <w:rFonts w:cs="Times New Roman"/>
          <w:szCs w:val="20"/>
        </w:rPr>
        <w:t>, organizing</w:t>
      </w:r>
      <w:r w:rsidR="00AE3B83" w:rsidRPr="00C14F0D">
        <w:rPr>
          <w:rFonts w:cs="Times New Roman"/>
          <w:szCs w:val="20"/>
        </w:rPr>
        <w:t xml:space="preserve"> promotional campaigns </w:t>
      </w:r>
      <w:r w:rsidR="00E47DB2" w:rsidRPr="00C14F0D">
        <w:rPr>
          <w:rFonts w:cs="Times New Roman"/>
          <w:szCs w:val="20"/>
        </w:rPr>
        <w:t xml:space="preserve">and </w:t>
      </w:r>
      <w:r w:rsidR="00771765" w:rsidRPr="00C14F0D">
        <w:rPr>
          <w:rFonts w:cs="Times New Roman"/>
          <w:szCs w:val="20"/>
        </w:rPr>
        <w:t>coordinating</w:t>
      </w:r>
      <w:r w:rsidR="00E47DB2" w:rsidRPr="00C14F0D">
        <w:rPr>
          <w:rFonts w:cs="Times New Roman"/>
          <w:szCs w:val="20"/>
        </w:rPr>
        <w:t xml:space="preserve"> marketing activities</w:t>
      </w:r>
      <w:r w:rsidR="003A6C20">
        <w:rPr>
          <w:rFonts w:cs="Times New Roman"/>
          <w:szCs w:val="20"/>
        </w:rPr>
        <w:t>.</w:t>
      </w:r>
      <w:r w:rsidR="003B66D4">
        <w:rPr>
          <w:rStyle w:val="Odwoanieprzypisudolnego"/>
          <w:rFonts w:cs="Times New Roman"/>
          <w:szCs w:val="20"/>
        </w:rPr>
        <w:footnoteReference w:id="28"/>
      </w:r>
    </w:p>
    <w:p w14:paraId="0902CA02" w14:textId="77777777" w:rsidR="00D8409D" w:rsidRPr="00C14F0D" w:rsidRDefault="00D8409D" w:rsidP="00D8409D">
      <w:pPr>
        <w:rPr>
          <w:rFonts w:cs="Times New Roman"/>
          <w:szCs w:val="20"/>
        </w:rPr>
      </w:pPr>
      <w:r w:rsidRPr="00C14F0D">
        <w:rPr>
          <w:rFonts w:cs="Times New Roman"/>
          <w:szCs w:val="20"/>
        </w:rPr>
        <w:t xml:space="preserve">In its decision, the President of </w:t>
      </w:r>
      <w:proofErr w:type="spellStart"/>
      <w:r w:rsidRPr="00C14F0D">
        <w:rPr>
          <w:rFonts w:cs="Times New Roman"/>
          <w:szCs w:val="20"/>
        </w:rPr>
        <w:t>UOKiK</w:t>
      </w:r>
      <w:proofErr w:type="spellEnd"/>
      <w:r w:rsidRPr="00C14F0D">
        <w:rPr>
          <w:rFonts w:cs="Times New Roman"/>
          <w:szCs w:val="20"/>
        </w:rPr>
        <w:t xml:space="preserve"> established that </w:t>
      </w:r>
      <w:proofErr w:type="spellStart"/>
      <w:r w:rsidRPr="00C14F0D">
        <w:rPr>
          <w:rFonts w:cs="Times New Roman"/>
          <w:szCs w:val="20"/>
        </w:rPr>
        <w:t>Eurocash</w:t>
      </w:r>
      <w:proofErr w:type="spellEnd"/>
      <w:r w:rsidRPr="00C14F0D">
        <w:rPr>
          <w:rFonts w:cs="Times New Roman"/>
          <w:szCs w:val="20"/>
        </w:rPr>
        <w:t xml:space="preserve"> had abused its contractual advantage over suppliers because it demanded compensation for services that actually were not performed on their behalf. Alternatively it demanded compensation for services that were indeed performed, but suppliers were not informed about their implementation, costs, and results. </w:t>
      </w:r>
    </w:p>
    <w:p w14:paraId="14C66023" w14:textId="0E7787DD" w:rsidR="00D8409D" w:rsidRPr="00C14F0D" w:rsidRDefault="009410A8" w:rsidP="00193E33">
      <w:pPr>
        <w:rPr>
          <w:rFonts w:cs="Times New Roman"/>
          <w:szCs w:val="20"/>
        </w:rPr>
      </w:pPr>
      <w:r w:rsidRPr="00C14F0D">
        <w:rPr>
          <w:rFonts w:cs="Times New Roman"/>
          <w:szCs w:val="20"/>
        </w:rPr>
        <w:lastRenderedPageBreak/>
        <w:t xml:space="preserve">With regard to </w:t>
      </w:r>
      <w:r w:rsidR="00361126" w:rsidRPr="00C14F0D">
        <w:rPr>
          <w:rFonts w:cs="Times New Roman"/>
          <w:szCs w:val="20"/>
        </w:rPr>
        <w:t>some</w:t>
      </w:r>
      <w:r w:rsidRPr="00C14F0D">
        <w:rPr>
          <w:rFonts w:cs="Times New Roman"/>
          <w:szCs w:val="20"/>
        </w:rPr>
        <w:t xml:space="preserve"> of those services</w:t>
      </w:r>
      <w:r w:rsidR="00BE37F9" w:rsidRPr="00C14F0D">
        <w:rPr>
          <w:rFonts w:cs="Times New Roman"/>
          <w:szCs w:val="20"/>
        </w:rPr>
        <w:t xml:space="preserve"> (</w:t>
      </w:r>
      <w:r w:rsidR="000122FE" w:rsidRPr="00C14F0D">
        <w:rPr>
          <w:rFonts w:cs="Times New Roman"/>
          <w:szCs w:val="20"/>
        </w:rPr>
        <w:t>supervision and coordination of orders)</w:t>
      </w:r>
      <w:r w:rsidRPr="00C14F0D">
        <w:rPr>
          <w:rFonts w:cs="Times New Roman"/>
          <w:szCs w:val="20"/>
        </w:rPr>
        <w:t xml:space="preserve"> t</w:t>
      </w:r>
      <w:r w:rsidR="001349FB" w:rsidRPr="00C14F0D">
        <w:rPr>
          <w:rFonts w:cs="Times New Roman"/>
          <w:szCs w:val="20"/>
        </w:rPr>
        <w:t xml:space="preserve">he authority alleged that </w:t>
      </w:r>
      <w:r w:rsidR="00ED176A" w:rsidRPr="00C14F0D">
        <w:rPr>
          <w:rFonts w:cs="Times New Roman"/>
          <w:szCs w:val="20"/>
        </w:rPr>
        <w:t xml:space="preserve">actions for which </w:t>
      </w:r>
      <w:proofErr w:type="spellStart"/>
      <w:r w:rsidR="00ED176A" w:rsidRPr="00C14F0D">
        <w:rPr>
          <w:rFonts w:cs="Times New Roman"/>
          <w:szCs w:val="20"/>
        </w:rPr>
        <w:t>Eurocash</w:t>
      </w:r>
      <w:proofErr w:type="spellEnd"/>
      <w:r w:rsidR="00ED176A" w:rsidRPr="00C14F0D">
        <w:rPr>
          <w:rFonts w:cs="Times New Roman"/>
          <w:szCs w:val="20"/>
        </w:rPr>
        <w:t xml:space="preserve"> was demanding compensation </w:t>
      </w:r>
      <w:r w:rsidR="000E1505" w:rsidRPr="00C14F0D">
        <w:rPr>
          <w:rFonts w:cs="Times New Roman"/>
          <w:szCs w:val="20"/>
        </w:rPr>
        <w:t xml:space="preserve">were </w:t>
      </w:r>
      <w:r w:rsidR="00ED176A" w:rsidRPr="00C14F0D">
        <w:rPr>
          <w:rFonts w:cs="Times New Roman"/>
          <w:szCs w:val="20"/>
        </w:rPr>
        <w:t xml:space="preserve">in fact </w:t>
      </w:r>
      <w:r w:rsidR="00836607" w:rsidRPr="00C14F0D">
        <w:rPr>
          <w:rFonts w:cs="Times New Roman"/>
          <w:szCs w:val="20"/>
        </w:rPr>
        <w:t xml:space="preserve">activities </w:t>
      </w:r>
      <w:r w:rsidR="000E1505" w:rsidRPr="00C14F0D">
        <w:rPr>
          <w:rFonts w:cs="Times New Roman"/>
          <w:szCs w:val="20"/>
        </w:rPr>
        <w:t>that constitute an integral part of store organization. Therefore</w:t>
      </w:r>
      <w:r w:rsidR="00771765" w:rsidRPr="00C14F0D">
        <w:rPr>
          <w:rFonts w:cs="Times New Roman"/>
          <w:szCs w:val="20"/>
        </w:rPr>
        <w:t>,</w:t>
      </w:r>
      <w:r w:rsidR="000E1505" w:rsidRPr="00C14F0D">
        <w:rPr>
          <w:rFonts w:cs="Times New Roman"/>
          <w:szCs w:val="20"/>
        </w:rPr>
        <w:t xml:space="preserve"> the responsibility for and cost of such activities should be borne by the owner of the store.</w:t>
      </w:r>
      <w:r w:rsidR="002A0DCB">
        <w:rPr>
          <w:rStyle w:val="Odwoanieprzypisudolnego"/>
          <w:rFonts w:cs="Times New Roman"/>
          <w:szCs w:val="20"/>
        </w:rPr>
        <w:footnoteReference w:id="29"/>
      </w:r>
      <w:r w:rsidR="000E1505" w:rsidRPr="00C14F0D">
        <w:rPr>
          <w:rFonts w:cs="Times New Roman"/>
          <w:szCs w:val="20"/>
        </w:rPr>
        <w:t xml:space="preserve"> </w:t>
      </w:r>
    </w:p>
    <w:p w14:paraId="2868AD97" w14:textId="670B971E" w:rsidR="007B0188" w:rsidRPr="00C14F0D" w:rsidRDefault="003812F4" w:rsidP="00193E33">
      <w:pPr>
        <w:rPr>
          <w:rFonts w:cs="Times New Roman"/>
          <w:szCs w:val="20"/>
        </w:rPr>
      </w:pPr>
      <w:r w:rsidRPr="00C14F0D">
        <w:rPr>
          <w:rFonts w:cs="Times New Roman"/>
          <w:szCs w:val="20"/>
        </w:rPr>
        <w:t>With regard to the demand monitoring services</w:t>
      </w:r>
      <w:r w:rsidR="00B5405E" w:rsidRPr="00C14F0D">
        <w:rPr>
          <w:rFonts w:cs="Times New Roman"/>
          <w:szCs w:val="20"/>
        </w:rPr>
        <w:t>, the</w:t>
      </w:r>
      <w:r w:rsidRPr="00C14F0D">
        <w:rPr>
          <w:rFonts w:cs="Times New Roman"/>
          <w:szCs w:val="20"/>
        </w:rPr>
        <w:t xml:space="preserve"> President of </w:t>
      </w:r>
      <w:proofErr w:type="spellStart"/>
      <w:r w:rsidRPr="00C14F0D">
        <w:rPr>
          <w:rFonts w:cs="Times New Roman"/>
          <w:szCs w:val="20"/>
        </w:rPr>
        <w:t>UOKiK</w:t>
      </w:r>
      <w:proofErr w:type="spellEnd"/>
      <w:r w:rsidRPr="00C14F0D">
        <w:rPr>
          <w:rFonts w:cs="Times New Roman"/>
          <w:szCs w:val="20"/>
        </w:rPr>
        <w:t xml:space="preserve"> found that the suppliers </w:t>
      </w:r>
      <w:r w:rsidR="00863E84" w:rsidRPr="00C14F0D">
        <w:rPr>
          <w:rFonts w:cs="Times New Roman"/>
          <w:szCs w:val="20"/>
        </w:rPr>
        <w:t>had no</w:t>
      </w:r>
      <w:r w:rsidRPr="00C14F0D">
        <w:rPr>
          <w:rFonts w:cs="Times New Roman"/>
          <w:szCs w:val="20"/>
        </w:rPr>
        <w:t xml:space="preserve"> influence over</w:t>
      </w:r>
      <w:r w:rsidR="00E7720C" w:rsidRPr="00C14F0D">
        <w:rPr>
          <w:rFonts w:cs="Times New Roman"/>
          <w:szCs w:val="20"/>
        </w:rPr>
        <w:t xml:space="preserve"> </w:t>
      </w:r>
      <w:r w:rsidR="00B5405E" w:rsidRPr="00C14F0D">
        <w:rPr>
          <w:rFonts w:cs="Times New Roman"/>
          <w:szCs w:val="20"/>
        </w:rPr>
        <w:t xml:space="preserve">the </w:t>
      </w:r>
      <w:r w:rsidR="00E7720C" w:rsidRPr="00C14F0D">
        <w:rPr>
          <w:rFonts w:cs="Times New Roman"/>
          <w:szCs w:val="20"/>
        </w:rPr>
        <w:t>market monitoring process, its scope, or duration</w:t>
      </w:r>
      <w:r w:rsidR="00A2764C" w:rsidRPr="00C14F0D">
        <w:rPr>
          <w:rFonts w:cs="Times New Roman"/>
          <w:szCs w:val="20"/>
        </w:rPr>
        <w:t xml:space="preserve">. The company also failed to provide </w:t>
      </w:r>
      <w:r w:rsidR="00E11E05">
        <w:rPr>
          <w:rFonts w:cs="Times New Roman"/>
          <w:szCs w:val="20"/>
        </w:rPr>
        <w:t>the suppliers with reports</w:t>
      </w:r>
      <w:r w:rsidR="00A2764C" w:rsidRPr="00C14F0D">
        <w:rPr>
          <w:rFonts w:cs="Times New Roman"/>
          <w:szCs w:val="20"/>
        </w:rPr>
        <w:t xml:space="preserve"> about the results of the conducted monitoring.</w:t>
      </w:r>
      <w:r w:rsidR="0027509A">
        <w:rPr>
          <w:rStyle w:val="Odwoanieprzypisudolnego"/>
          <w:rFonts w:cs="Times New Roman"/>
          <w:szCs w:val="20"/>
        </w:rPr>
        <w:footnoteReference w:id="30"/>
      </w:r>
      <w:r w:rsidR="00702F3E" w:rsidRPr="00C14F0D">
        <w:rPr>
          <w:rFonts w:cs="Times New Roman"/>
          <w:szCs w:val="20"/>
        </w:rPr>
        <w:t xml:space="preserve"> </w:t>
      </w:r>
    </w:p>
    <w:p w14:paraId="1BC4909F" w14:textId="4EA00626" w:rsidR="001349FB" w:rsidRPr="00C14F0D" w:rsidRDefault="00702F3E" w:rsidP="00193E33">
      <w:pPr>
        <w:rPr>
          <w:rFonts w:cs="Times New Roman"/>
          <w:szCs w:val="20"/>
        </w:rPr>
      </w:pPr>
      <w:r w:rsidRPr="00C14F0D">
        <w:rPr>
          <w:rFonts w:cs="Times New Roman"/>
          <w:szCs w:val="20"/>
        </w:rPr>
        <w:t>The authorit</w:t>
      </w:r>
      <w:r w:rsidR="00B5405E" w:rsidRPr="00C14F0D">
        <w:rPr>
          <w:rFonts w:cs="Times New Roman"/>
          <w:szCs w:val="20"/>
        </w:rPr>
        <w:t>y</w:t>
      </w:r>
      <w:r w:rsidRPr="00C14F0D">
        <w:rPr>
          <w:rFonts w:cs="Times New Roman"/>
          <w:szCs w:val="20"/>
        </w:rPr>
        <w:t>’</w:t>
      </w:r>
      <w:r w:rsidR="00B5405E" w:rsidRPr="00C14F0D">
        <w:rPr>
          <w:rFonts w:cs="Times New Roman"/>
          <w:szCs w:val="20"/>
        </w:rPr>
        <w:t>s</w:t>
      </w:r>
      <w:r w:rsidRPr="00C14F0D">
        <w:rPr>
          <w:rFonts w:cs="Times New Roman"/>
          <w:szCs w:val="20"/>
        </w:rPr>
        <w:t xml:space="preserve"> reservations </w:t>
      </w:r>
      <w:r w:rsidR="00B5405E" w:rsidRPr="00C14F0D">
        <w:rPr>
          <w:rFonts w:cs="Times New Roman"/>
          <w:szCs w:val="20"/>
        </w:rPr>
        <w:t>regarding</w:t>
      </w:r>
      <w:r w:rsidRPr="00C14F0D">
        <w:rPr>
          <w:rFonts w:cs="Times New Roman"/>
          <w:szCs w:val="20"/>
        </w:rPr>
        <w:t xml:space="preserve"> </w:t>
      </w:r>
      <w:r w:rsidR="00E47DB2" w:rsidRPr="00C14F0D">
        <w:rPr>
          <w:rFonts w:cs="Times New Roman"/>
          <w:szCs w:val="20"/>
        </w:rPr>
        <w:t>marketing</w:t>
      </w:r>
      <w:r w:rsidR="005720D3" w:rsidRPr="00C14F0D">
        <w:rPr>
          <w:rFonts w:cs="Times New Roman"/>
          <w:szCs w:val="20"/>
        </w:rPr>
        <w:t xml:space="preserve"> activities</w:t>
      </w:r>
      <w:r w:rsidR="00557BB3" w:rsidRPr="00C14F0D">
        <w:rPr>
          <w:rFonts w:cs="Times New Roman"/>
          <w:szCs w:val="20"/>
        </w:rPr>
        <w:t xml:space="preserve"> involved the fact that </w:t>
      </w:r>
      <w:r w:rsidR="001C33FC" w:rsidRPr="00C14F0D">
        <w:rPr>
          <w:rFonts w:cs="Times New Roman"/>
          <w:szCs w:val="20"/>
        </w:rPr>
        <w:t xml:space="preserve">suppliers were </w:t>
      </w:r>
      <w:r w:rsidR="00B01B37" w:rsidRPr="00C14F0D">
        <w:rPr>
          <w:rFonts w:cs="Times New Roman"/>
          <w:szCs w:val="20"/>
        </w:rPr>
        <w:t xml:space="preserve">sometimes </w:t>
      </w:r>
      <w:r w:rsidR="001C33FC" w:rsidRPr="00C14F0D">
        <w:rPr>
          <w:rFonts w:cs="Times New Roman"/>
          <w:szCs w:val="20"/>
        </w:rPr>
        <w:t xml:space="preserve">required to pay for </w:t>
      </w:r>
      <w:r w:rsidR="00B01B37" w:rsidRPr="00C14F0D">
        <w:rPr>
          <w:rFonts w:cs="Times New Roman"/>
          <w:szCs w:val="20"/>
        </w:rPr>
        <w:t xml:space="preserve">promotional activities twice: </w:t>
      </w:r>
      <w:r w:rsidR="00500B35" w:rsidRPr="00C14F0D">
        <w:rPr>
          <w:rFonts w:cs="Times New Roman"/>
          <w:szCs w:val="20"/>
        </w:rPr>
        <w:t xml:space="preserve">first in </w:t>
      </w:r>
      <w:r w:rsidR="00B5405E" w:rsidRPr="00C14F0D">
        <w:rPr>
          <w:rFonts w:cs="Times New Roman"/>
          <w:szCs w:val="20"/>
        </w:rPr>
        <w:t xml:space="preserve">the </w:t>
      </w:r>
      <w:r w:rsidR="00500B35" w:rsidRPr="00C14F0D">
        <w:rPr>
          <w:rFonts w:cs="Times New Roman"/>
          <w:szCs w:val="20"/>
        </w:rPr>
        <w:t>form of a fee for</w:t>
      </w:r>
      <w:r w:rsidR="005720D3" w:rsidRPr="00C14F0D">
        <w:rPr>
          <w:rFonts w:cs="Times New Roman"/>
          <w:szCs w:val="20"/>
        </w:rPr>
        <w:t xml:space="preserve"> a service of </w:t>
      </w:r>
      <w:r w:rsidR="00980EDD" w:rsidRPr="00C14F0D">
        <w:rPr>
          <w:rFonts w:cs="Times New Roman"/>
          <w:szCs w:val="20"/>
        </w:rPr>
        <w:t xml:space="preserve">organizing promotional campaigns and second for </w:t>
      </w:r>
      <w:r w:rsidR="00253D43" w:rsidRPr="00C14F0D">
        <w:rPr>
          <w:rFonts w:cs="Times New Roman"/>
          <w:szCs w:val="20"/>
        </w:rPr>
        <w:t xml:space="preserve">a service of </w:t>
      </w:r>
      <w:r w:rsidR="00A70FCE" w:rsidRPr="00C14F0D">
        <w:rPr>
          <w:rFonts w:cs="Times New Roman"/>
          <w:szCs w:val="20"/>
        </w:rPr>
        <w:t>coordinating</w:t>
      </w:r>
      <w:r w:rsidR="00253D43" w:rsidRPr="00C14F0D">
        <w:rPr>
          <w:rFonts w:cs="Times New Roman"/>
          <w:szCs w:val="20"/>
        </w:rPr>
        <w:t xml:space="preserve"> marketing activities. According to </w:t>
      </w:r>
      <w:r w:rsidR="00A70FCE" w:rsidRPr="00C14F0D">
        <w:rPr>
          <w:rFonts w:cs="Times New Roman"/>
          <w:szCs w:val="20"/>
        </w:rPr>
        <w:t xml:space="preserve">the </w:t>
      </w:r>
      <w:r w:rsidR="00253D43" w:rsidRPr="00C14F0D">
        <w:rPr>
          <w:rFonts w:cs="Times New Roman"/>
          <w:szCs w:val="20"/>
        </w:rPr>
        <w:t xml:space="preserve">President of </w:t>
      </w:r>
      <w:proofErr w:type="spellStart"/>
      <w:r w:rsidR="00253D43" w:rsidRPr="00C14F0D">
        <w:rPr>
          <w:rFonts w:cs="Times New Roman"/>
          <w:szCs w:val="20"/>
        </w:rPr>
        <w:t>UOKiK</w:t>
      </w:r>
      <w:proofErr w:type="spellEnd"/>
      <w:r w:rsidR="00A70FCE" w:rsidRPr="00C14F0D">
        <w:rPr>
          <w:rFonts w:cs="Times New Roman"/>
          <w:szCs w:val="20"/>
        </w:rPr>
        <w:t>,</w:t>
      </w:r>
      <w:r w:rsidR="00253D43" w:rsidRPr="00C14F0D">
        <w:rPr>
          <w:rFonts w:cs="Times New Roman"/>
          <w:szCs w:val="20"/>
        </w:rPr>
        <w:t xml:space="preserve"> both of those services involved </w:t>
      </w:r>
      <w:r w:rsidR="00947797" w:rsidRPr="00C14F0D">
        <w:rPr>
          <w:rFonts w:cs="Times New Roman"/>
          <w:szCs w:val="20"/>
        </w:rPr>
        <w:t>the same activities. Furthermore</w:t>
      </w:r>
      <w:r w:rsidR="00A70FCE" w:rsidRPr="00C14F0D">
        <w:rPr>
          <w:rFonts w:cs="Times New Roman"/>
          <w:szCs w:val="20"/>
        </w:rPr>
        <w:t>,</w:t>
      </w:r>
      <w:r w:rsidR="00947797" w:rsidRPr="00C14F0D">
        <w:rPr>
          <w:rFonts w:cs="Times New Roman"/>
          <w:szCs w:val="20"/>
        </w:rPr>
        <w:t xml:space="preserve"> the authority </w:t>
      </w:r>
      <w:r w:rsidR="006B0971" w:rsidRPr="00C14F0D">
        <w:rPr>
          <w:rFonts w:cs="Times New Roman"/>
          <w:szCs w:val="20"/>
        </w:rPr>
        <w:t>found that in order to participate in a specific promotional campaign</w:t>
      </w:r>
      <w:r w:rsidR="00A70FCE" w:rsidRPr="00C14F0D">
        <w:rPr>
          <w:rFonts w:cs="Times New Roman"/>
          <w:szCs w:val="20"/>
        </w:rPr>
        <w:t>, the</w:t>
      </w:r>
      <w:r w:rsidR="006B0971" w:rsidRPr="00C14F0D">
        <w:rPr>
          <w:rFonts w:cs="Times New Roman"/>
          <w:szCs w:val="20"/>
        </w:rPr>
        <w:t xml:space="preserve"> supplier was required to bore additional</w:t>
      </w:r>
      <w:r w:rsidR="00E11E05">
        <w:rPr>
          <w:rFonts w:cs="Times New Roman"/>
          <w:szCs w:val="20"/>
        </w:rPr>
        <w:t xml:space="preserve"> cost</w:t>
      </w:r>
      <w:r w:rsidR="006B0971" w:rsidRPr="00C14F0D">
        <w:rPr>
          <w:rFonts w:cs="Times New Roman"/>
          <w:szCs w:val="20"/>
        </w:rPr>
        <w:t xml:space="preserve"> by giving a</w:t>
      </w:r>
      <w:r w:rsidR="00AD0CFB" w:rsidRPr="00C14F0D">
        <w:rPr>
          <w:rFonts w:cs="Times New Roman"/>
          <w:szCs w:val="20"/>
        </w:rPr>
        <w:t xml:space="preserve"> further discount to the buyer so that it </w:t>
      </w:r>
      <w:r w:rsidR="00A70FCE" w:rsidRPr="00C14F0D">
        <w:rPr>
          <w:rFonts w:cs="Times New Roman"/>
          <w:szCs w:val="20"/>
        </w:rPr>
        <w:t>could</w:t>
      </w:r>
      <w:r w:rsidR="00AD0CFB" w:rsidRPr="00C14F0D">
        <w:rPr>
          <w:rFonts w:cs="Times New Roman"/>
          <w:szCs w:val="20"/>
        </w:rPr>
        <w:t xml:space="preserve"> be transferred to </w:t>
      </w:r>
      <w:r w:rsidR="00A70FCE" w:rsidRPr="00C14F0D">
        <w:rPr>
          <w:rFonts w:cs="Times New Roman"/>
          <w:szCs w:val="20"/>
        </w:rPr>
        <w:t>the</w:t>
      </w:r>
      <w:r w:rsidR="00AD0CFB" w:rsidRPr="00C14F0D">
        <w:rPr>
          <w:rFonts w:cs="Times New Roman"/>
          <w:szCs w:val="20"/>
        </w:rPr>
        <w:t xml:space="preserve"> final consumer</w:t>
      </w:r>
      <w:r w:rsidR="00C55AD1" w:rsidRPr="00C14F0D">
        <w:rPr>
          <w:rFonts w:cs="Times New Roman"/>
          <w:szCs w:val="20"/>
        </w:rPr>
        <w:t xml:space="preserve">. This meant that the suppliers who </w:t>
      </w:r>
      <w:r w:rsidR="0045079A" w:rsidRPr="00C14F0D">
        <w:rPr>
          <w:rFonts w:cs="Times New Roman"/>
          <w:szCs w:val="20"/>
        </w:rPr>
        <w:t xml:space="preserve">paid for services related to promotional campaign </w:t>
      </w:r>
      <w:r w:rsidR="006F6F08" w:rsidRPr="00C14F0D">
        <w:rPr>
          <w:rFonts w:cs="Times New Roman"/>
          <w:szCs w:val="20"/>
        </w:rPr>
        <w:t>were</w:t>
      </w:r>
      <w:r w:rsidR="0045079A" w:rsidRPr="00C14F0D">
        <w:rPr>
          <w:rFonts w:cs="Times New Roman"/>
          <w:szCs w:val="20"/>
        </w:rPr>
        <w:t xml:space="preserve"> not always able to </w:t>
      </w:r>
      <w:r w:rsidR="008E24BD" w:rsidRPr="00C14F0D">
        <w:rPr>
          <w:rFonts w:cs="Times New Roman"/>
          <w:szCs w:val="20"/>
        </w:rPr>
        <w:t xml:space="preserve">participate in </w:t>
      </w:r>
      <w:r w:rsidR="009B3115">
        <w:rPr>
          <w:rFonts w:cs="Times New Roman"/>
          <w:szCs w:val="20"/>
        </w:rPr>
        <w:t>this campaign</w:t>
      </w:r>
      <w:r w:rsidR="008E24BD" w:rsidRPr="00C14F0D">
        <w:rPr>
          <w:rFonts w:cs="Times New Roman"/>
          <w:szCs w:val="20"/>
        </w:rPr>
        <w:t xml:space="preserve"> since they could not afford additional discounts at </w:t>
      </w:r>
      <w:r w:rsidR="006F6F08" w:rsidRPr="00C14F0D">
        <w:rPr>
          <w:rFonts w:cs="Times New Roman"/>
          <w:szCs w:val="20"/>
        </w:rPr>
        <w:t xml:space="preserve">the </w:t>
      </w:r>
      <w:r w:rsidR="008E24BD" w:rsidRPr="00C14F0D">
        <w:rPr>
          <w:rFonts w:cs="Times New Roman"/>
          <w:szCs w:val="20"/>
        </w:rPr>
        <w:t>time of the campaign.</w:t>
      </w:r>
      <w:r w:rsidR="00827208">
        <w:rPr>
          <w:rStyle w:val="Odwoanieprzypisudolnego"/>
          <w:rFonts w:cs="Times New Roman"/>
          <w:szCs w:val="20"/>
        </w:rPr>
        <w:footnoteReference w:id="31"/>
      </w:r>
      <w:r w:rsidR="00AD0CFB" w:rsidRPr="00C14F0D">
        <w:rPr>
          <w:rFonts w:cs="Times New Roman"/>
          <w:szCs w:val="20"/>
        </w:rPr>
        <w:t xml:space="preserve"> </w:t>
      </w:r>
    </w:p>
    <w:p w14:paraId="39FA703E" w14:textId="57EA1D3C" w:rsidR="001A6EAF" w:rsidRPr="00C14F0D" w:rsidRDefault="00651A0C" w:rsidP="00193E33">
      <w:pPr>
        <w:rPr>
          <w:rFonts w:cs="Times New Roman"/>
          <w:szCs w:val="20"/>
        </w:rPr>
      </w:pPr>
      <w:r w:rsidRPr="00C14F0D">
        <w:rPr>
          <w:rFonts w:cs="Times New Roman"/>
          <w:szCs w:val="20"/>
        </w:rPr>
        <w:t xml:space="preserve">With regard to services pertaining to educational activities </w:t>
      </w:r>
      <w:r w:rsidR="00716C53" w:rsidRPr="00C14F0D">
        <w:rPr>
          <w:rFonts w:cs="Times New Roman"/>
          <w:szCs w:val="20"/>
        </w:rPr>
        <w:t>provided by</w:t>
      </w:r>
      <w:r w:rsidRPr="00C14F0D">
        <w:rPr>
          <w:rFonts w:cs="Times New Roman"/>
          <w:szCs w:val="20"/>
        </w:rPr>
        <w:t xml:space="preserve"> </w:t>
      </w:r>
      <w:proofErr w:type="spellStart"/>
      <w:r w:rsidRPr="00C14F0D">
        <w:rPr>
          <w:rFonts w:cs="Times New Roman"/>
          <w:szCs w:val="20"/>
        </w:rPr>
        <w:t>Eurocash</w:t>
      </w:r>
      <w:proofErr w:type="spellEnd"/>
      <w:r w:rsidRPr="00C14F0D">
        <w:rPr>
          <w:rFonts w:cs="Times New Roman"/>
          <w:szCs w:val="20"/>
        </w:rPr>
        <w:t xml:space="preserve">, </w:t>
      </w:r>
      <w:r w:rsidR="006F6F08" w:rsidRPr="00C14F0D">
        <w:rPr>
          <w:rFonts w:cs="Times New Roman"/>
          <w:szCs w:val="20"/>
        </w:rPr>
        <w:t xml:space="preserve">the </w:t>
      </w:r>
      <w:r w:rsidRPr="00C14F0D">
        <w:rPr>
          <w:rFonts w:cs="Times New Roman"/>
          <w:szCs w:val="20"/>
        </w:rPr>
        <w:t xml:space="preserve">President of </w:t>
      </w:r>
      <w:proofErr w:type="spellStart"/>
      <w:r w:rsidRPr="00C14F0D">
        <w:rPr>
          <w:rFonts w:cs="Times New Roman"/>
          <w:szCs w:val="20"/>
        </w:rPr>
        <w:t>UOKiK</w:t>
      </w:r>
      <w:proofErr w:type="spellEnd"/>
      <w:r w:rsidRPr="00C14F0D">
        <w:rPr>
          <w:rFonts w:cs="Times New Roman"/>
          <w:szCs w:val="20"/>
        </w:rPr>
        <w:t xml:space="preserve"> </w:t>
      </w:r>
      <w:r w:rsidR="00F6157A" w:rsidRPr="00C14F0D">
        <w:rPr>
          <w:rFonts w:cs="Times New Roman"/>
          <w:szCs w:val="20"/>
        </w:rPr>
        <w:t xml:space="preserve">established that </w:t>
      </w:r>
      <w:proofErr w:type="spellStart"/>
      <w:r w:rsidR="00F6157A" w:rsidRPr="00C14F0D">
        <w:rPr>
          <w:rFonts w:cs="Times New Roman"/>
          <w:szCs w:val="20"/>
        </w:rPr>
        <w:t>Eurocash</w:t>
      </w:r>
      <w:proofErr w:type="spellEnd"/>
      <w:r w:rsidR="00F6157A" w:rsidRPr="00C14F0D">
        <w:rPr>
          <w:rFonts w:cs="Times New Roman"/>
          <w:szCs w:val="20"/>
        </w:rPr>
        <w:t xml:space="preserve"> </w:t>
      </w:r>
      <w:r w:rsidR="002B23F4" w:rsidRPr="00C14F0D">
        <w:rPr>
          <w:rFonts w:cs="Times New Roman"/>
          <w:szCs w:val="20"/>
        </w:rPr>
        <w:t>periodically</w:t>
      </w:r>
      <w:r w:rsidR="00716C53" w:rsidRPr="00C14F0D">
        <w:rPr>
          <w:rFonts w:cs="Times New Roman"/>
          <w:szCs w:val="20"/>
        </w:rPr>
        <w:t xml:space="preserve"> issued</w:t>
      </w:r>
      <w:r w:rsidR="002B23F4" w:rsidRPr="00C14F0D">
        <w:rPr>
          <w:rFonts w:cs="Times New Roman"/>
          <w:szCs w:val="20"/>
        </w:rPr>
        <w:t xml:space="preserve"> a</w:t>
      </w:r>
      <w:r w:rsidR="00F6157A" w:rsidRPr="00C14F0D">
        <w:rPr>
          <w:rFonts w:cs="Times New Roman"/>
          <w:szCs w:val="20"/>
        </w:rPr>
        <w:t xml:space="preserve"> “retailer guideline” that </w:t>
      </w:r>
      <w:r w:rsidR="002B23F4" w:rsidRPr="00C14F0D">
        <w:rPr>
          <w:rFonts w:cs="Times New Roman"/>
          <w:szCs w:val="20"/>
        </w:rPr>
        <w:t xml:space="preserve">was disseminated among franchisees. </w:t>
      </w:r>
      <w:r w:rsidR="00906123" w:rsidRPr="00C14F0D">
        <w:rPr>
          <w:rFonts w:cs="Times New Roman"/>
          <w:szCs w:val="20"/>
        </w:rPr>
        <w:t xml:space="preserve">The actual </w:t>
      </w:r>
      <w:r w:rsidR="00423BE3" w:rsidRPr="00C14F0D">
        <w:rPr>
          <w:rFonts w:cs="Times New Roman"/>
          <w:szCs w:val="20"/>
        </w:rPr>
        <w:t>purpose</w:t>
      </w:r>
      <w:r w:rsidR="00906123" w:rsidRPr="00C14F0D">
        <w:rPr>
          <w:rFonts w:cs="Times New Roman"/>
          <w:szCs w:val="20"/>
        </w:rPr>
        <w:t xml:space="preserve"> of this document was </w:t>
      </w:r>
      <w:r w:rsidR="00423BE3" w:rsidRPr="00C14F0D">
        <w:rPr>
          <w:rFonts w:cs="Times New Roman"/>
          <w:szCs w:val="20"/>
        </w:rPr>
        <w:t>merely</w:t>
      </w:r>
      <w:r w:rsidR="00906123" w:rsidRPr="00C14F0D">
        <w:rPr>
          <w:rFonts w:cs="Times New Roman"/>
          <w:szCs w:val="20"/>
        </w:rPr>
        <w:t xml:space="preserve"> to</w:t>
      </w:r>
      <w:r w:rsidR="00765BFF" w:rsidRPr="00C14F0D">
        <w:rPr>
          <w:rFonts w:cs="Times New Roman"/>
          <w:szCs w:val="20"/>
        </w:rPr>
        <w:t xml:space="preserve"> inform the franchisees about products available for them to order. </w:t>
      </w:r>
      <w:r w:rsidR="00906123" w:rsidRPr="00C14F0D">
        <w:rPr>
          <w:rFonts w:cs="Times New Roman"/>
          <w:szCs w:val="20"/>
        </w:rPr>
        <w:t>It had no educational value. Additionally</w:t>
      </w:r>
      <w:r w:rsidR="006F6F08" w:rsidRPr="00C14F0D">
        <w:rPr>
          <w:rFonts w:cs="Times New Roman"/>
          <w:szCs w:val="20"/>
        </w:rPr>
        <w:t>,</w:t>
      </w:r>
      <w:r w:rsidR="00906123" w:rsidRPr="00C14F0D">
        <w:rPr>
          <w:rFonts w:cs="Times New Roman"/>
          <w:szCs w:val="20"/>
        </w:rPr>
        <w:t xml:space="preserve"> the suppliers were able to </w:t>
      </w:r>
      <w:r w:rsidR="00423BE3" w:rsidRPr="00C14F0D">
        <w:rPr>
          <w:rFonts w:cs="Times New Roman"/>
          <w:szCs w:val="20"/>
        </w:rPr>
        <w:t>include</w:t>
      </w:r>
      <w:r w:rsidR="00906123" w:rsidRPr="00C14F0D">
        <w:rPr>
          <w:rFonts w:cs="Times New Roman"/>
          <w:szCs w:val="20"/>
        </w:rPr>
        <w:t xml:space="preserve"> their products in the retailer guideline </w:t>
      </w:r>
      <w:r w:rsidR="001A6EAF" w:rsidRPr="00C14F0D">
        <w:rPr>
          <w:rFonts w:cs="Times New Roman"/>
          <w:szCs w:val="20"/>
        </w:rPr>
        <w:t>regardless of whether they paid compensation for the service or not.</w:t>
      </w:r>
      <w:r w:rsidR="008053F0">
        <w:rPr>
          <w:rStyle w:val="Odwoanieprzypisudolnego"/>
          <w:rFonts w:cs="Times New Roman"/>
          <w:szCs w:val="20"/>
        </w:rPr>
        <w:footnoteReference w:id="32"/>
      </w:r>
      <w:r w:rsidR="001A6EAF" w:rsidRPr="00C14F0D">
        <w:rPr>
          <w:rFonts w:cs="Times New Roman"/>
          <w:szCs w:val="20"/>
        </w:rPr>
        <w:t xml:space="preserve"> </w:t>
      </w:r>
    </w:p>
    <w:p w14:paraId="334342D1" w14:textId="2C98F7BF" w:rsidR="001A6EAF" w:rsidRPr="00C14F0D" w:rsidRDefault="008623C4" w:rsidP="00193E33">
      <w:pPr>
        <w:rPr>
          <w:rFonts w:cs="Times New Roman"/>
          <w:szCs w:val="20"/>
        </w:rPr>
      </w:pPr>
      <w:r w:rsidRPr="00C14F0D">
        <w:rPr>
          <w:rFonts w:cs="Times New Roman"/>
          <w:szCs w:val="20"/>
        </w:rPr>
        <w:t xml:space="preserve">Based on its findings, the </w:t>
      </w:r>
      <w:r w:rsidR="00244CB2" w:rsidRPr="00C14F0D">
        <w:rPr>
          <w:rFonts w:cs="Times New Roman"/>
          <w:szCs w:val="20"/>
        </w:rPr>
        <w:t>a</w:t>
      </w:r>
      <w:r w:rsidRPr="00C14F0D">
        <w:rPr>
          <w:rFonts w:cs="Times New Roman"/>
          <w:szCs w:val="20"/>
        </w:rPr>
        <w:t xml:space="preserve">uthority </w:t>
      </w:r>
      <w:r w:rsidR="003429A0" w:rsidRPr="00C14F0D">
        <w:rPr>
          <w:rFonts w:cs="Times New Roman"/>
          <w:szCs w:val="20"/>
        </w:rPr>
        <w:t xml:space="preserve">has determined that the </w:t>
      </w:r>
      <w:r w:rsidR="003003DD" w:rsidRPr="00C14F0D">
        <w:rPr>
          <w:rFonts w:cs="Times New Roman"/>
          <w:szCs w:val="20"/>
        </w:rPr>
        <w:t>behaviour</w:t>
      </w:r>
      <w:r w:rsidR="003429A0" w:rsidRPr="00C14F0D">
        <w:rPr>
          <w:rFonts w:cs="Times New Roman"/>
          <w:szCs w:val="20"/>
        </w:rPr>
        <w:t xml:space="preserve"> of </w:t>
      </w:r>
      <w:proofErr w:type="spellStart"/>
      <w:r w:rsidR="003429A0" w:rsidRPr="00C14F0D">
        <w:rPr>
          <w:rFonts w:cs="Times New Roman"/>
          <w:szCs w:val="20"/>
        </w:rPr>
        <w:t>Eurocash</w:t>
      </w:r>
      <w:proofErr w:type="spellEnd"/>
      <w:r w:rsidR="003429A0" w:rsidRPr="00C14F0D">
        <w:rPr>
          <w:rFonts w:cs="Times New Roman"/>
          <w:szCs w:val="20"/>
        </w:rPr>
        <w:t xml:space="preserve"> was against good commercial customs. Th</w:t>
      </w:r>
      <w:r w:rsidR="00244CB2" w:rsidRPr="00C14F0D">
        <w:rPr>
          <w:rFonts w:cs="Times New Roman"/>
          <w:szCs w:val="20"/>
        </w:rPr>
        <w:t>e</w:t>
      </w:r>
      <w:r w:rsidR="003429A0" w:rsidRPr="00C14F0D">
        <w:rPr>
          <w:rFonts w:cs="Times New Roman"/>
          <w:szCs w:val="20"/>
        </w:rPr>
        <w:t>se</w:t>
      </w:r>
      <w:r w:rsidR="003003DD">
        <w:rPr>
          <w:rFonts w:cs="Times New Roman"/>
          <w:szCs w:val="20"/>
        </w:rPr>
        <w:t xml:space="preserve">, according to the President of </w:t>
      </w:r>
      <w:proofErr w:type="spellStart"/>
      <w:r w:rsidR="003003DD">
        <w:rPr>
          <w:rFonts w:cs="Times New Roman"/>
          <w:szCs w:val="20"/>
        </w:rPr>
        <w:t>UOKiK</w:t>
      </w:r>
      <w:proofErr w:type="spellEnd"/>
      <w:r w:rsidR="003003DD">
        <w:rPr>
          <w:rFonts w:cs="Times New Roman"/>
          <w:szCs w:val="20"/>
        </w:rPr>
        <w:t xml:space="preserve"> </w:t>
      </w:r>
      <w:r w:rsidR="003429A0" w:rsidRPr="00C14F0D">
        <w:rPr>
          <w:rFonts w:cs="Times New Roman"/>
          <w:szCs w:val="20"/>
        </w:rPr>
        <w:t xml:space="preserve">require that the buyer </w:t>
      </w:r>
      <w:r w:rsidR="005E2920" w:rsidRPr="00C14F0D">
        <w:rPr>
          <w:rFonts w:cs="Times New Roman"/>
          <w:szCs w:val="20"/>
        </w:rPr>
        <w:t xml:space="preserve">who offers additional services to its </w:t>
      </w:r>
      <w:r w:rsidR="00616335" w:rsidRPr="00C14F0D">
        <w:rPr>
          <w:rFonts w:cs="Times New Roman"/>
          <w:szCs w:val="20"/>
        </w:rPr>
        <w:t>supplier</w:t>
      </w:r>
      <w:r w:rsidR="005E2920" w:rsidRPr="00C14F0D">
        <w:rPr>
          <w:rFonts w:cs="Times New Roman"/>
          <w:szCs w:val="20"/>
        </w:rPr>
        <w:t xml:space="preserve"> should </w:t>
      </w:r>
      <w:r w:rsidR="00616335" w:rsidRPr="00C14F0D">
        <w:rPr>
          <w:rFonts w:cs="Times New Roman"/>
          <w:szCs w:val="20"/>
        </w:rPr>
        <w:t xml:space="preserve">precisely declare what activities </w:t>
      </w:r>
      <w:r w:rsidR="00E42CAA" w:rsidRPr="00C14F0D">
        <w:rPr>
          <w:rFonts w:cs="Times New Roman"/>
          <w:szCs w:val="20"/>
        </w:rPr>
        <w:t>it performs,</w:t>
      </w:r>
      <w:r w:rsidR="005E2920" w:rsidRPr="00C14F0D">
        <w:rPr>
          <w:rFonts w:cs="Times New Roman"/>
          <w:szCs w:val="20"/>
        </w:rPr>
        <w:t xml:space="preserve"> </w:t>
      </w:r>
      <w:r w:rsidR="00E42CAA" w:rsidRPr="00C14F0D">
        <w:rPr>
          <w:rFonts w:cs="Times New Roman"/>
          <w:szCs w:val="20"/>
        </w:rPr>
        <w:t>what should be their scope or frequency</w:t>
      </w:r>
      <w:r w:rsidR="00244CB2" w:rsidRPr="00C14F0D">
        <w:rPr>
          <w:rFonts w:cs="Times New Roman"/>
          <w:szCs w:val="20"/>
        </w:rPr>
        <w:t>,</w:t>
      </w:r>
      <w:r w:rsidR="00F2114A" w:rsidRPr="00C14F0D">
        <w:rPr>
          <w:rFonts w:cs="Times New Roman"/>
          <w:szCs w:val="20"/>
        </w:rPr>
        <w:t xml:space="preserve"> and against which compensation. </w:t>
      </w:r>
      <w:r w:rsidR="008032E5" w:rsidRPr="00C14F0D">
        <w:rPr>
          <w:rFonts w:cs="Times New Roman"/>
          <w:szCs w:val="20"/>
        </w:rPr>
        <w:t xml:space="preserve">The suppliers should have all the necessary information on parameters of the services so that they can reach an informed decision whether to </w:t>
      </w:r>
      <w:r w:rsidR="00870C44">
        <w:rPr>
          <w:rFonts w:cs="Times New Roman"/>
          <w:szCs w:val="20"/>
        </w:rPr>
        <w:t>purchase them</w:t>
      </w:r>
      <w:r w:rsidR="00863A6E" w:rsidRPr="00C14F0D">
        <w:rPr>
          <w:rFonts w:cs="Times New Roman"/>
          <w:szCs w:val="20"/>
        </w:rPr>
        <w:t>.</w:t>
      </w:r>
      <w:r w:rsidR="00F92398">
        <w:rPr>
          <w:rStyle w:val="Odwoanieprzypisudolnego"/>
          <w:rFonts w:cs="Times New Roman"/>
          <w:szCs w:val="20"/>
        </w:rPr>
        <w:footnoteReference w:id="33"/>
      </w:r>
      <w:r w:rsidR="00863A6E" w:rsidRPr="00C14F0D">
        <w:rPr>
          <w:rFonts w:cs="Times New Roman"/>
          <w:szCs w:val="20"/>
        </w:rPr>
        <w:t xml:space="preserve"> </w:t>
      </w:r>
      <w:r w:rsidR="007E71D7" w:rsidRPr="00C14F0D">
        <w:rPr>
          <w:rFonts w:cs="Times New Roman"/>
          <w:szCs w:val="20"/>
        </w:rPr>
        <w:t>Additionally, chargeable services should extend beyond standard retail network organization activities.</w:t>
      </w:r>
      <w:r w:rsidR="00F92398">
        <w:rPr>
          <w:rStyle w:val="Odwoanieprzypisudolnego"/>
          <w:rFonts w:cs="Times New Roman"/>
          <w:szCs w:val="20"/>
        </w:rPr>
        <w:footnoteReference w:id="34"/>
      </w:r>
    </w:p>
    <w:p w14:paraId="56A5F862" w14:textId="4719F101" w:rsidR="00BC52F4" w:rsidRPr="00C14F0D" w:rsidRDefault="00F15C42" w:rsidP="00193E33">
      <w:pPr>
        <w:rPr>
          <w:rFonts w:cs="Times New Roman"/>
          <w:szCs w:val="20"/>
        </w:rPr>
      </w:pPr>
      <w:r w:rsidRPr="00C14F0D">
        <w:rPr>
          <w:rFonts w:cs="Times New Roman"/>
          <w:szCs w:val="20"/>
        </w:rPr>
        <w:t xml:space="preserve">The decision of </w:t>
      </w:r>
      <w:r w:rsidR="00244CB2" w:rsidRPr="00C14F0D">
        <w:rPr>
          <w:rFonts w:cs="Times New Roman"/>
          <w:szCs w:val="20"/>
        </w:rPr>
        <w:t xml:space="preserve">the </w:t>
      </w:r>
      <w:r w:rsidRPr="00C14F0D">
        <w:rPr>
          <w:rFonts w:cs="Times New Roman"/>
          <w:szCs w:val="20"/>
        </w:rPr>
        <w:t xml:space="preserve">President of </w:t>
      </w:r>
      <w:proofErr w:type="spellStart"/>
      <w:r w:rsidRPr="00C14F0D">
        <w:rPr>
          <w:rFonts w:cs="Times New Roman"/>
          <w:szCs w:val="20"/>
        </w:rPr>
        <w:t>UOKiK</w:t>
      </w:r>
      <w:proofErr w:type="spellEnd"/>
      <w:r w:rsidRPr="00C14F0D">
        <w:rPr>
          <w:rFonts w:cs="Times New Roman"/>
          <w:szCs w:val="20"/>
        </w:rPr>
        <w:t xml:space="preserve"> </w:t>
      </w:r>
      <w:r w:rsidR="00FB2C50" w:rsidRPr="00C14F0D">
        <w:rPr>
          <w:rFonts w:cs="Times New Roman"/>
          <w:szCs w:val="20"/>
        </w:rPr>
        <w:t xml:space="preserve">imposed a fine of approximately PLN 76 million (EUR 18 million). The company appealed to the court. The court of first instance overturned the decision. </w:t>
      </w:r>
      <w:r w:rsidR="00B1160B" w:rsidRPr="00C14F0D">
        <w:rPr>
          <w:rFonts w:cs="Times New Roman"/>
          <w:szCs w:val="20"/>
        </w:rPr>
        <w:t xml:space="preserve">The reason for this ruling was procedural errors. The court found that the decision’s operative part was incorrect because it was expressed in alternative form. </w:t>
      </w:r>
      <w:r w:rsidR="00BC52F4" w:rsidRPr="00C14F0D">
        <w:rPr>
          <w:rFonts w:cs="Times New Roman"/>
          <w:szCs w:val="20"/>
        </w:rPr>
        <w:t xml:space="preserve">The court additionally noted that in its assessment, the President of </w:t>
      </w:r>
      <w:proofErr w:type="spellStart"/>
      <w:r w:rsidR="00BC52F4" w:rsidRPr="00C14F0D">
        <w:rPr>
          <w:rFonts w:cs="Times New Roman"/>
          <w:szCs w:val="20"/>
        </w:rPr>
        <w:t>UOKiK</w:t>
      </w:r>
      <w:proofErr w:type="spellEnd"/>
      <w:r w:rsidR="00BC52F4" w:rsidRPr="00C14F0D">
        <w:rPr>
          <w:rFonts w:cs="Times New Roman"/>
          <w:szCs w:val="20"/>
        </w:rPr>
        <w:t xml:space="preserve"> had not demonstrated that </w:t>
      </w:r>
      <w:proofErr w:type="spellStart"/>
      <w:r w:rsidR="00BC52F4" w:rsidRPr="00C14F0D">
        <w:rPr>
          <w:rFonts w:cs="Times New Roman"/>
          <w:szCs w:val="20"/>
        </w:rPr>
        <w:t>Eurocash’s</w:t>
      </w:r>
      <w:proofErr w:type="spellEnd"/>
      <w:r w:rsidR="00BC52F4" w:rsidRPr="00C14F0D">
        <w:rPr>
          <w:rFonts w:cs="Times New Roman"/>
          <w:szCs w:val="20"/>
        </w:rPr>
        <w:t xml:space="preserve"> practices </w:t>
      </w:r>
      <w:r w:rsidR="004066D8" w:rsidRPr="00C14F0D">
        <w:rPr>
          <w:rFonts w:cs="Times New Roman"/>
          <w:szCs w:val="20"/>
        </w:rPr>
        <w:t xml:space="preserve">threatened or infringed a </w:t>
      </w:r>
      <w:r w:rsidR="004066D8" w:rsidRPr="00C14F0D">
        <w:rPr>
          <w:rFonts w:cs="Times New Roman"/>
          <w:i/>
          <w:iCs/>
          <w:szCs w:val="20"/>
        </w:rPr>
        <w:t>material</w:t>
      </w:r>
      <w:r w:rsidR="004066D8" w:rsidRPr="00C14F0D">
        <w:rPr>
          <w:rFonts w:cs="Times New Roman"/>
          <w:szCs w:val="20"/>
        </w:rPr>
        <w:t xml:space="preserve"> interest of the counterparty</w:t>
      </w:r>
      <w:r w:rsidR="00BC52F4" w:rsidRPr="00C14F0D">
        <w:rPr>
          <w:rFonts w:cs="Times New Roman"/>
          <w:szCs w:val="20"/>
        </w:rPr>
        <w:t xml:space="preserve">. The </w:t>
      </w:r>
      <w:r w:rsidR="00F150C8" w:rsidRPr="00C14F0D">
        <w:rPr>
          <w:rFonts w:cs="Times New Roman"/>
          <w:szCs w:val="20"/>
        </w:rPr>
        <w:t xml:space="preserve">law </w:t>
      </w:r>
      <w:r w:rsidR="00DA4DE1" w:rsidRPr="00C14F0D">
        <w:rPr>
          <w:rFonts w:cs="Times New Roman"/>
          <w:szCs w:val="20"/>
        </w:rPr>
        <w:t>allows</w:t>
      </w:r>
      <w:r w:rsidR="00F150C8" w:rsidRPr="00C14F0D">
        <w:rPr>
          <w:rFonts w:cs="Times New Roman"/>
          <w:szCs w:val="20"/>
        </w:rPr>
        <w:t xml:space="preserve"> the</w:t>
      </w:r>
      <w:r w:rsidR="005041E3" w:rsidRPr="00C14F0D">
        <w:rPr>
          <w:rFonts w:cs="Times New Roman"/>
          <w:szCs w:val="20"/>
        </w:rPr>
        <w:t xml:space="preserve"> </w:t>
      </w:r>
      <w:r w:rsidR="005041E3" w:rsidRPr="00C14F0D">
        <w:rPr>
          <w:rFonts w:cs="Times New Roman"/>
          <w:szCs w:val="20"/>
        </w:rPr>
        <w:lastRenderedPageBreak/>
        <w:t xml:space="preserve">President of </w:t>
      </w:r>
      <w:proofErr w:type="spellStart"/>
      <w:r w:rsidR="005041E3" w:rsidRPr="00C14F0D">
        <w:rPr>
          <w:rFonts w:cs="Times New Roman"/>
          <w:szCs w:val="20"/>
        </w:rPr>
        <w:t>UOKiK</w:t>
      </w:r>
      <w:proofErr w:type="spellEnd"/>
      <w:r w:rsidR="005041E3" w:rsidRPr="00C14F0D">
        <w:rPr>
          <w:rFonts w:cs="Times New Roman"/>
          <w:szCs w:val="20"/>
        </w:rPr>
        <w:t xml:space="preserve"> </w:t>
      </w:r>
      <w:r w:rsidR="00F150C8" w:rsidRPr="00C14F0D">
        <w:rPr>
          <w:rFonts w:cs="Times New Roman"/>
          <w:szCs w:val="20"/>
        </w:rPr>
        <w:t xml:space="preserve">to </w:t>
      </w:r>
      <w:r w:rsidR="00DA4DE1" w:rsidRPr="00C14F0D">
        <w:rPr>
          <w:rFonts w:cs="Times New Roman"/>
          <w:szCs w:val="20"/>
        </w:rPr>
        <w:t>prohibit certain practices under the general rule</w:t>
      </w:r>
      <w:r w:rsidR="00F150C8" w:rsidRPr="00C14F0D">
        <w:rPr>
          <w:rFonts w:cs="Times New Roman"/>
          <w:szCs w:val="20"/>
        </w:rPr>
        <w:t xml:space="preserve"> only when </w:t>
      </w:r>
      <w:r w:rsidR="00F150C8" w:rsidRPr="00C14F0D">
        <w:rPr>
          <w:rFonts w:cs="Times New Roman"/>
          <w:i/>
          <w:iCs/>
          <w:szCs w:val="20"/>
        </w:rPr>
        <w:t>material</w:t>
      </w:r>
      <w:r w:rsidR="00F150C8" w:rsidRPr="00C14F0D">
        <w:rPr>
          <w:rFonts w:cs="Times New Roman"/>
          <w:szCs w:val="20"/>
        </w:rPr>
        <w:t xml:space="preserve"> interests of suppliers are infr</w:t>
      </w:r>
      <w:r w:rsidR="00B12D79" w:rsidRPr="00C14F0D">
        <w:rPr>
          <w:rFonts w:cs="Times New Roman"/>
          <w:szCs w:val="20"/>
        </w:rPr>
        <w:t>inged or threatened which raises the standard of proof.</w:t>
      </w:r>
      <w:r w:rsidR="00F92398">
        <w:rPr>
          <w:rStyle w:val="Odwoanieprzypisudolnego"/>
          <w:rFonts w:cs="Times New Roman"/>
          <w:szCs w:val="20"/>
        </w:rPr>
        <w:footnoteReference w:id="35"/>
      </w:r>
      <w:r w:rsidR="00B12D79" w:rsidRPr="00C14F0D">
        <w:rPr>
          <w:rFonts w:cs="Times New Roman"/>
          <w:szCs w:val="20"/>
        </w:rPr>
        <w:t xml:space="preserve"> </w:t>
      </w:r>
    </w:p>
    <w:p w14:paraId="2EF6D395" w14:textId="50EBC545" w:rsidR="008D73C1" w:rsidRDefault="00D67710" w:rsidP="009800AF">
      <w:pPr>
        <w:pStyle w:val="Nagwek2"/>
        <w:rPr>
          <w:rFonts w:cs="Times New Roman"/>
          <w:szCs w:val="20"/>
        </w:rPr>
      </w:pPr>
      <w:r>
        <w:t xml:space="preserve">Imposition of </w:t>
      </w:r>
      <w:r w:rsidRPr="00C14F0D">
        <w:rPr>
          <w:rFonts w:cs="Times New Roman"/>
          <w:szCs w:val="20"/>
        </w:rPr>
        <w:t>unjustified extensions of payment terms for delivered agricultural or food products</w:t>
      </w:r>
    </w:p>
    <w:p w14:paraId="7F5006BD" w14:textId="3E416760" w:rsidR="00C07CCA" w:rsidRDefault="00D67710" w:rsidP="00D67710">
      <w:r>
        <w:t xml:space="preserve">There is a significant body of case law prior to the </w:t>
      </w:r>
      <w:r w:rsidR="00E14314">
        <w:t>implementation of the UTP Directive</w:t>
      </w:r>
      <w:r w:rsidR="009C2C80">
        <w:t xml:space="preserve"> in which</w:t>
      </w:r>
      <w:r w:rsidR="00E14314">
        <w:t xml:space="preserve"> the President of the </w:t>
      </w:r>
      <w:proofErr w:type="spellStart"/>
      <w:r w:rsidR="00E14314">
        <w:t>UOKiK</w:t>
      </w:r>
      <w:proofErr w:type="spellEnd"/>
      <w:r w:rsidR="00E14314">
        <w:t xml:space="preserve"> has intervened </w:t>
      </w:r>
      <w:r w:rsidR="009C2C80">
        <w:t>in relation</w:t>
      </w:r>
      <w:r w:rsidR="00E14314">
        <w:t xml:space="preserve"> to </w:t>
      </w:r>
      <w:r w:rsidR="00D21AF1">
        <w:t>unfair</w:t>
      </w:r>
      <w:r w:rsidR="009C2C80">
        <w:t xml:space="preserve"> payment</w:t>
      </w:r>
      <w:r w:rsidR="00D21AF1">
        <w:t xml:space="preserve"> </w:t>
      </w:r>
      <w:r w:rsidR="00E14314">
        <w:t xml:space="preserve">terms </w:t>
      </w:r>
      <w:r w:rsidR="00D21AF1">
        <w:t>applied in buyer-supplier relations</w:t>
      </w:r>
      <w:r w:rsidR="009C2C80">
        <w:t>,</w:t>
      </w:r>
      <w:r w:rsidR="00682268">
        <w:t xml:space="preserve"> or simply the practice of </w:t>
      </w:r>
      <w:r w:rsidR="00205379">
        <w:t>substantial delays in payments</w:t>
      </w:r>
      <w:r w:rsidR="00BD6219">
        <w:t>.</w:t>
      </w:r>
      <w:r w:rsidR="0012210D">
        <w:rPr>
          <w:rStyle w:val="Odwoanieprzypisudolnego"/>
        </w:rPr>
        <w:footnoteReference w:id="36"/>
      </w:r>
      <w:r w:rsidR="00D21AF1">
        <w:t xml:space="preserve"> Most of these cases involved companies </w:t>
      </w:r>
      <w:r w:rsidR="009C2C80">
        <w:t>procuring</w:t>
      </w:r>
      <w:r w:rsidR="00D21AF1">
        <w:t xml:space="preserve"> </w:t>
      </w:r>
      <w:r w:rsidR="000432F1" w:rsidRPr="000432F1">
        <w:t>agricultural products</w:t>
      </w:r>
      <w:r w:rsidR="00D765FE">
        <w:t xml:space="preserve"> (</w:t>
      </w:r>
      <w:r w:rsidR="005C0657">
        <w:t>s</w:t>
      </w:r>
      <w:r w:rsidR="00D765FE">
        <w:t>uch us apples, sugar beets, carrots</w:t>
      </w:r>
      <w:r w:rsidR="005C0657">
        <w:t>)</w:t>
      </w:r>
      <w:r w:rsidR="00205379">
        <w:t xml:space="preserve">. </w:t>
      </w:r>
      <w:r w:rsidR="00F91842" w:rsidRPr="00C07CCA">
        <w:rPr>
          <w:lang w:val="en-US"/>
        </w:rPr>
        <w:t>In those cases t</w:t>
      </w:r>
      <w:r w:rsidR="003075DC" w:rsidRPr="00C07CCA">
        <w:rPr>
          <w:lang w:val="en-US"/>
        </w:rPr>
        <w:t xml:space="preserve">he president of </w:t>
      </w:r>
      <w:proofErr w:type="spellStart"/>
      <w:r w:rsidR="003075DC" w:rsidRPr="00C07CCA">
        <w:rPr>
          <w:lang w:val="en-US"/>
        </w:rPr>
        <w:t>UOKiK</w:t>
      </w:r>
      <w:proofErr w:type="spellEnd"/>
      <w:r w:rsidR="003075DC" w:rsidRPr="00C07CCA">
        <w:rPr>
          <w:lang w:val="en-US"/>
        </w:rPr>
        <w:t xml:space="preserve"> </w:t>
      </w:r>
      <w:r w:rsidR="00F37A93">
        <w:rPr>
          <w:lang w:val="en-US"/>
        </w:rPr>
        <w:t>ruled</w:t>
      </w:r>
      <w:r w:rsidR="003075DC" w:rsidRPr="00C07CCA">
        <w:rPr>
          <w:lang w:val="en-US"/>
        </w:rPr>
        <w:t xml:space="preserve"> that good commercial </w:t>
      </w:r>
      <w:r w:rsidR="00B80FFC" w:rsidRPr="00C07CCA">
        <w:rPr>
          <w:lang w:val="en-US"/>
        </w:rPr>
        <w:t xml:space="preserve">customs require </w:t>
      </w:r>
      <w:r w:rsidR="00C07CCA" w:rsidRPr="00C07CCA">
        <w:t>require buyers to set payment terms that are appropriate to the nature of the obligation and that take into account the specific characteristics of agricultural production</w:t>
      </w:r>
      <w:r w:rsidR="00640AD0">
        <w:t>. Additionally, good commercial customs would require buyers to</w:t>
      </w:r>
      <w:r w:rsidR="00C07CCA" w:rsidRPr="00C07CCA">
        <w:t xml:space="preserve"> pay their dues on time.</w:t>
      </w:r>
      <w:r w:rsidR="001A67BE">
        <w:rPr>
          <w:rStyle w:val="Odwoanieprzypisudolnego"/>
        </w:rPr>
        <w:footnoteReference w:id="37"/>
      </w:r>
    </w:p>
    <w:p w14:paraId="5F5D6D03" w14:textId="513765E0" w:rsidR="00743825" w:rsidRPr="00743825" w:rsidRDefault="00743825" w:rsidP="00D67710">
      <w:pPr>
        <w:rPr>
          <w:lang w:val="en-US"/>
        </w:rPr>
      </w:pPr>
      <w:r w:rsidRPr="00743825">
        <w:rPr>
          <w:lang w:val="en-US"/>
        </w:rPr>
        <w:t>It is worth noting t</w:t>
      </w:r>
      <w:r>
        <w:rPr>
          <w:lang w:val="en-US"/>
        </w:rPr>
        <w:t xml:space="preserve">hat when the provisions </w:t>
      </w:r>
      <w:r w:rsidR="00640AD0">
        <w:rPr>
          <w:lang w:val="en-US"/>
        </w:rPr>
        <w:t>implementing</w:t>
      </w:r>
      <w:r>
        <w:rPr>
          <w:lang w:val="en-US"/>
        </w:rPr>
        <w:t xml:space="preserve"> the UTP Directive came into </w:t>
      </w:r>
      <w:r w:rsidR="00C07CCA">
        <w:rPr>
          <w:lang w:val="en-US"/>
        </w:rPr>
        <w:t>force,</w:t>
      </w:r>
      <w:r w:rsidR="00032E41">
        <w:rPr>
          <w:lang w:val="en-US"/>
        </w:rPr>
        <w:t xml:space="preserve"> the practice of </w:t>
      </w:r>
      <w:r w:rsidR="00271396" w:rsidRPr="00271396">
        <w:t xml:space="preserve">late payments for delivered food and agricultural products was added to the blacklist. At the same time, however, </w:t>
      </w:r>
      <w:r w:rsidR="00FA2FB6" w:rsidRPr="00FA2FB6">
        <w:t>the authority appears to have become less active in initiating new investigations into such practices</w:t>
      </w:r>
      <w:r w:rsidR="00271396" w:rsidRPr="00271396">
        <w:t>.</w:t>
      </w:r>
    </w:p>
    <w:p w14:paraId="31FA1C29" w14:textId="2286F878" w:rsidR="004A64B5" w:rsidRPr="00C14F0D" w:rsidRDefault="00DC0873" w:rsidP="009800AF">
      <w:pPr>
        <w:pStyle w:val="Nagwek2"/>
      </w:pPr>
      <w:r w:rsidRPr="00C14F0D">
        <w:t xml:space="preserve">Unfair </w:t>
      </w:r>
      <w:r w:rsidRPr="008D73C1">
        <w:rPr>
          <w:rFonts w:cs="Times New Roman"/>
          <w:szCs w:val="20"/>
        </w:rPr>
        <w:t>shift</w:t>
      </w:r>
      <w:r w:rsidRPr="00C14F0D">
        <w:t xml:space="preserve"> of business risks arising from the contract from the buyer towards the supplier</w:t>
      </w:r>
    </w:p>
    <w:p w14:paraId="45EAF224" w14:textId="13C43378" w:rsidR="00AC779D" w:rsidRPr="00C14F0D" w:rsidRDefault="00482A34" w:rsidP="00193E33">
      <w:pPr>
        <w:rPr>
          <w:rFonts w:cs="Times New Roman"/>
          <w:szCs w:val="20"/>
        </w:rPr>
      </w:pPr>
      <w:r w:rsidRPr="00C14F0D">
        <w:rPr>
          <w:rFonts w:cs="Times New Roman"/>
          <w:szCs w:val="20"/>
        </w:rPr>
        <w:t xml:space="preserve">There were </w:t>
      </w:r>
      <w:r w:rsidR="00762C6E" w:rsidRPr="00C14F0D">
        <w:rPr>
          <w:rFonts w:cs="Times New Roman"/>
          <w:szCs w:val="20"/>
        </w:rPr>
        <w:t>two similar</w:t>
      </w:r>
      <w:r w:rsidRPr="00C14F0D">
        <w:rPr>
          <w:rFonts w:cs="Times New Roman"/>
          <w:szCs w:val="20"/>
        </w:rPr>
        <w:t xml:space="preserve"> cases where </w:t>
      </w:r>
      <w:r w:rsidR="00FD144C" w:rsidRPr="00C14F0D">
        <w:rPr>
          <w:rFonts w:cs="Times New Roman"/>
          <w:szCs w:val="20"/>
        </w:rPr>
        <w:t xml:space="preserve">the President of </w:t>
      </w:r>
      <w:proofErr w:type="spellStart"/>
      <w:r w:rsidR="00FD144C" w:rsidRPr="00C14F0D">
        <w:rPr>
          <w:rFonts w:cs="Times New Roman"/>
          <w:szCs w:val="20"/>
        </w:rPr>
        <w:t>UOKiK</w:t>
      </w:r>
      <w:proofErr w:type="spellEnd"/>
      <w:r w:rsidR="00FD144C" w:rsidRPr="00C14F0D">
        <w:rPr>
          <w:rFonts w:cs="Times New Roman"/>
          <w:szCs w:val="20"/>
        </w:rPr>
        <w:t xml:space="preserve"> had intervened because the authority saw an unfair s</w:t>
      </w:r>
      <w:r w:rsidR="00762C6E" w:rsidRPr="00C14F0D">
        <w:rPr>
          <w:rFonts w:cs="Times New Roman"/>
          <w:szCs w:val="20"/>
        </w:rPr>
        <w:t xml:space="preserve">hift of business risks </w:t>
      </w:r>
      <w:r w:rsidR="003A0F2F" w:rsidRPr="00C14F0D">
        <w:rPr>
          <w:rFonts w:cs="Times New Roman"/>
          <w:szCs w:val="20"/>
        </w:rPr>
        <w:t>with connection to contract provisions on force majeure</w:t>
      </w:r>
      <w:r w:rsidR="00762C6E" w:rsidRPr="00C14F0D">
        <w:rPr>
          <w:rFonts w:cs="Times New Roman"/>
          <w:szCs w:val="20"/>
        </w:rPr>
        <w:t xml:space="preserve">. These were the </w:t>
      </w:r>
      <w:proofErr w:type="spellStart"/>
      <w:r w:rsidR="00762C6E" w:rsidRPr="00136C64">
        <w:rPr>
          <w:rFonts w:cs="Times New Roman"/>
          <w:i/>
          <w:iCs/>
          <w:szCs w:val="20"/>
        </w:rPr>
        <w:t>Cef</w:t>
      </w:r>
      <w:r w:rsidR="00A210DF" w:rsidRPr="00136C64">
        <w:rPr>
          <w:rFonts w:cs="Times New Roman"/>
          <w:i/>
          <w:iCs/>
          <w:szCs w:val="20"/>
        </w:rPr>
        <w:t>e</w:t>
      </w:r>
      <w:r w:rsidR="00762C6E" w:rsidRPr="00136C64">
        <w:rPr>
          <w:rFonts w:cs="Times New Roman"/>
          <w:i/>
          <w:iCs/>
          <w:szCs w:val="20"/>
        </w:rPr>
        <w:t>tra</w:t>
      </w:r>
      <w:proofErr w:type="spellEnd"/>
      <w:r w:rsidR="00762C6E" w:rsidRPr="00C14F0D">
        <w:rPr>
          <w:rFonts w:cs="Times New Roman"/>
          <w:szCs w:val="20"/>
        </w:rPr>
        <w:t xml:space="preserve"> case and </w:t>
      </w:r>
      <w:proofErr w:type="spellStart"/>
      <w:r w:rsidR="00762C6E" w:rsidRPr="00136C64">
        <w:rPr>
          <w:rFonts w:cs="Times New Roman"/>
          <w:i/>
          <w:iCs/>
          <w:szCs w:val="20"/>
        </w:rPr>
        <w:t>PolishAgri</w:t>
      </w:r>
      <w:proofErr w:type="spellEnd"/>
      <w:r w:rsidR="00762C6E" w:rsidRPr="00C14F0D">
        <w:rPr>
          <w:rFonts w:cs="Times New Roman"/>
          <w:szCs w:val="20"/>
        </w:rPr>
        <w:t xml:space="preserve"> case. Both involved companies active in the procurement of </w:t>
      </w:r>
      <w:r w:rsidR="003A0F2F" w:rsidRPr="00C14F0D">
        <w:rPr>
          <w:rFonts w:cs="Times New Roman"/>
          <w:szCs w:val="20"/>
        </w:rPr>
        <w:t>grains</w:t>
      </w:r>
      <w:r w:rsidR="00346C44" w:rsidRPr="00C14F0D">
        <w:rPr>
          <w:rFonts w:cs="Times New Roman"/>
          <w:szCs w:val="20"/>
        </w:rPr>
        <w:t xml:space="preserve"> and </w:t>
      </w:r>
      <w:r w:rsidR="003F5864" w:rsidRPr="00C14F0D">
        <w:rPr>
          <w:rFonts w:cs="Times New Roman"/>
          <w:szCs w:val="20"/>
        </w:rPr>
        <w:t>rapeseed</w:t>
      </w:r>
      <w:r w:rsidR="00346C44" w:rsidRPr="00C14F0D">
        <w:rPr>
          <w:rFonts w:cs="Times New Roman"/>
          <w:szCs w:val="20"/>
        </w:rPr>
        <w:t xml:space="preserve">. </w:t>
      </w:r>
      <w:r w:rsidR="00392608" w:rsidRPr="00C14F0D">
        <w:rPr>
          <w:rFonts w:cs="Times New Roman"/>
          <w:szCs w:val="20"/>
        </w:rPr>
        <w:t xml:space="preserve">The President of </w:t>
      </w:r>
      <w:proofErr w:type="spellStart"/>
      <w:r w:rsidR="00392608" w:rsidRPr="00C14F0D">
        <w:rPr>
          <w:rFonts w:cs="Times New Roman"/>
          <w:szCs w:val="20"/>
        </w:rPr>
        <w:t>UOKiK</w:t>
      </w:r>
      <w:proofErr w:type="spellEnd"/>
      <w:r w:rsidR="00392608" w:rsidRPr="00C14F0D">
        <w:rPr>
          <w:rFonts w:cs="Times New Roman"/>
          <w:szCs w:val="20"/>
        </w:rPr>
        <w:t xml:space="preserve"> established that both companies </w:t>
      </w:r>
      <w:r w:rsidR="00F539BC" w:rsidRPr="00C14F0D">
        <w:rPr>
          <w:rFonts w:cs="Times New Roman"/>
          <w:szCs w:val="20"/>
        </w:rPr>
        <w:t xml:space="preserve">structured </w:t>
      </w:r>
      <w:r w:rsidR="00147FFE" w:rsidRPr="00C14F0D">
        <w:rPr>
          <w:rFonts w:cs="Times New Roman"/>
          <w:szCs w:val="20"/>
        </w:rPr>
        <w:t>their contract templates in a way that limited</w:t>
      </w:r>
      <w:r w:rsidR="00F539BC" w:rsidRPr="00C14F0D">
        <w:rPr>
          <w:rFonts w:cs="Times New Roman"/>
          <w:szCs w:val="20"/>
        </w:rPr>
        <w:t xml:space="preserve"> suppliers' ability to be released from performance </w:t>
      </w:r>
      <w:r w:rsidR="005F4BB4">
        <w:rPr>
          <w:rFonts w:cs="Times New Roman"/>
          <w:szCs w:val="20"/>
        </w:rPr>
        <w:t xml:space="preserve">of </w:t>
      </w:r>
      <w:r w:rsidR="00F539BC" w:rsidRPr="00C14F0D">
        <w:rPr>
          <w:rFonts w:cs="Times New Roman"/>
          <w:szCs w:val="20"/>
        </w:rPr>
        <w:t>obligations during circumstances independent of both parties, particularly force majeure. Moreover, when force majeure</w:t>
      </w:r>
      <w:r w:rsidR="00147FFE" w:rsidRPr="00C14F0D">
        <w:rPr>
          <w:rFonts w:cs="Times New Roman"/>
          <w:szCs w:val="20"/>
        </w:rPr>
        <w:t xml:space="preserve"> event</w:t>
      </w:r>
      <w:r w:rsidR="00F539BC" w:rsidRPr="00C14F0D">
        <w:rPr>
          <w:rFonts w:cs="Times New Roman"/>
          <w:szCs w:val="20"/>
        </w:rPr>
        <w:t xml:space="preserve"> occurred and contracts were not performed, the companies imposed contractual penalties on suppliers and</w:t>
      </w:r>
      <w:r w:rsidR="006D2351" w:rsidRPr="00C14F0D">
        <w:rPr>
          <w:rFonts w:cs="Times New Roman"/>
          <w:szCs w:val="20"/>
        </w:rPr>
        <w:t>/or</w:t>
      </w:r>
      <w:r w:rsidR="00F539BC" w:rsidRPr="00C14F0D">
        <w:rPr>
          <w:rFonts w:cs="Times New Roman"/>
          <w:szCs w:val="20"/>
        </w:rPr>
        <w:t xml:space="preserve"> costs of replacement purchases.</w:t>
      </w:r>
    </w:p>
    <w:p w14:paraId="3E4C2EF0" w14:textId="1D62B11C" w:rsidR="00801FC0" w:rsidRPr="00136C64" w:rsidRDefault="003A3EA4" w:rsidP="00193E33">
      <w:pPr>
        <w:rPr>
          <w:rFonts w:cs="Times New Roman"/>
          <w:szCs w:val="20"/>
        </w:rPr>
      </w:pPr>
      <w:r w:rsidRPr="00136C64">
        <w:rPr>
          <w:rFonts w:cs="Times New Roman"/>
          <w:szCs w:val="20"/>
        </w:rPr>
        <w:t xml:space="preserve">On the ground of these cases the president of </w:t>
      </w:r>
      <w:proofErr w:type="spellStart"/>
      <w:r w:rsidRPr="00136C64">
        <w:rPr>
          <w:rFonts w:cs="Times New Roman"/>
          <w:szCs w:val="20"/>
        </w:rPr>
        <w:t>UOKiK</w:t>
      </w:r>
      <w:proofErr w:type="spellEnd"/>
      <w:r w:rsidRPr="00136C64">
        <w:rPr>
          <w:rFonts w:cs="Times New Roman"/>
          <w:szCs w:val="20"/>
        </w:rPr>
        <w:t xml:space="preserve"> </w:t>
      </w:r>
      <w:r w:rsidR="000328B8" w:rsidRPr="00136C64">
        <w:rPr>
          <w:rFonts w:cs="Times New Roman"/>
          <w:szCs w:val="20"/>
        </w:rPr>
        <w:t>established that good commercial customs require the buyers of agriculture products to take into consi</w:t>
      </w:r>
      <w:r w:rsidR="00215E3D" w:rsidRPr="00136C64">
        <w:rPr>
          <w:rFonts w:cs="Times New Roman"/>
          <w:szCs w:val="20"/>
        </w:rPr>
        <w:t>deration risks associated with farming</w:t>
      </w:r>
      <w:r w:rsidR="00F60B7E" w:rsidRPr="00136C64">
        <w:rPr>
          <w:rFonts w:cs="Times New Roman"/>
          <w:szCs w:val="20"/>
        </w:rPr>
        <w:t xml:space="preserve">. </w:t>
      </w:r>
      <w:r w:rsidR="00B8154E">
        <w:rPr>
          <w:rFonts w:cs="Times New Roman"/>
          <w:szCs w:val="20"/>
        </w:rPr>
        <w:t>Accordingly,</w:t>
      </w:r>
      <w:r w:rsidR="00393E01">
        <w:rPr>
          <w:rFonts w:cs="Times New Roman"/>
          <w:szCs w:val="20"/>
        </w:rPr>
        <w:t xml:space="preserve"> i</w:t>
      </w:r>
      <w:r w:rsidR="00F60B7E" w:rsidRPr="00136C64">
        <w:rPr>
          <w:rFonts w:cs="Times New Roman"/>
          <w:szCs w:val="20"/>
        </w:rPr>
        <w:t xml:space="preserve">n a force majeure event the buyer should release the supplier from an obligation to </w:t>
      </w:r>
      <w:r w:rsidR="00F4506B" w:rsidRPr="00136C64">
        <w:rPr>
          <w:rFonts w:cs="Times New Roman"/>
          <w:szCs w:val="20"/>
        </w:rPr>
        <w:t>deliver goods</w:t>
      </w:r>
      <w:r w:rsidR="00745E6C">
        <w:rPr>
          <w:rStyle w:val="Odwoanieprzypisudolnego"/>
          <w:rFonts w:cs="Times New Roman"/>
          <w:szCs w:val="20"/>
        </w:rPr>
        <w:footnoteReference w:id="38"/>
      </w:r>
      <w:r w:rsidR="00F4506B" w:rsidRPr="00136C64">
        <w:rPr>
          <w:rFonts w:cs="Times New Roman"/>
          <w:szCs w:val="20"/>
        </w:rPr>
        <w:t>.</w:t>
      </w:r>
    </w:p>
    <w:p w14:paraId="4D1B859C" w14:textId="3D44B5B0" w:rsidR="00E51B9D" w:rsidRDefault="006815E1" w:rsidP="00193E33">
      <w:pPr>
        <w:rPr>
          <w:rFonts w:cs="Times New Roman"/>
          <w:szCs w:val="20"/>
        </w:rPr>
      </w:pPr>
      <w:proofErr w:type="spellStart"/>
      <w:r w:rsidRPr="00C14F0D">
        <w:rPr>
          <w:rFonts w:cs="Times New Roman"/>
          <w:szCs w:val="20"/>
        </w:rPr>
        <w:t>Cykoria</w:t>
      </w:r>
      <w:proofErr w:type="spellEnd"/>
      <w:r w:rsidRPr="00C14F0D">
        <w:rPr>
          <w:rFonts w:cs="Times New Roman"/>
          <w:szCs w:val="20"/>
        </w:rPr>
        <w:t xml:space="preserve"> and </w:t>
      </w:r>
      <w:proofErr w:type="spellStart"/>
      <w:r w:rsidRPr="00C14F0D">
        <w:rPr>
          <w:rFonts w:cs="Times New Roman"/>
          <w:szCs w:val="20"/>
        </w:rPr>
        <w:t>PolishAgri</w:t>
      </w:r>
      <w:proofErr w:type="spellEnd"/>
      <w:r w:rsidRPr="00C14F0D">
        <w:rPr>
          <w:rFonts w:cs="Times New Roman"/>
          <w:szCs w:val="20"/>
        </w:rPr>
        <w:t xml:space="preserve"> received fines of respectively</w:t>
      </w:r>
      <w:r w:rsidR="004657D0">
        <w:rPr>
          <w:rFonts w:cs="Times New Roman"/>
          <w:szCs w:val="20"/>
        </w:rPr>
        <w:t xml:space="preserve"> approximately PLN 2 million (EUR 465,000.00)</w:t>
      </w:r>
      <w:r w:rsidR="00F47EFB">
        <w:rPr>
          <w:rFonts w:cs="Times New Roman"/>
          <w:szCs w:val="20"/>
        </w:rPr>
        <w:t xml:space="preserve"> and approximately PLN </w:t>
      </w:r>
      <w:r w:rsidR="002B6051">
        <w:rPr>
          <w:rFonts w:cs="Times New Roman"/>
          <w:szCs w:val="20"/>
        </w:rPr>
        <w:t>327,000.00</w:t>
      </w:r>
      <w:r w:rsidR="00F47EFB">
        <w:rPr>
          <w:rFonts w:cs="Times New Roman"/>
          <w:szCs w:val="20"/>
        </w:rPr>
        <w:t xml:space="preserve"> (</w:t>
      </w:r>
      <w:r w:rsidR="002B6051">
        <w:rPr>
          <w:rFonts w:cs="Times New Roman"/>
          <w:szCs w:val="20"/>
        </w:rPr>
        <w:t>EUR 76,000.00)</w:t>
      </w:r>
      <w:r w:rsidRPr="00C14F0D">
        <w:rPr>
          <w:rFonts w:cs="Times New Roman"/>
          <w:szCs w:val="20"/>
        </w:rPr>
        <w:t xml:space="preserve">. Publicly available information shows that </w:t>
      </w:r>
      <w:proofErr w:type="spellStart"/>
      <w:r w:rsidRPr="00C14F0D">
        <w:rPr>
          <w:rFonts w:cs="Times New Roman"/>
          <w:szCs w:val="20"/>
        </w:rPr>
        <w:t>Cykoria</w:t>
      </w:r>
      <w:proofErr w:type="spellEnd"/>
      <w:r w:rsidRPr="00C14F0D">
        <w:rPr>
          <w:rFonts w:cs="Times New Roman"/>
          <w:szCs w:val="20"/>
        </w:rPr>
        <w:t xml:space="preserve"> appe</w:t>
      </w:r>
      <w:r w:rsidR="00B8043F" w:rsidRPr="00C14F0D">
        <w:rPr>
          <w:rFonts w:cs="Times New Roman"/>
          <w:szCs w:val="20"/>
        </w:rPr>
        <w:t xml:space="preserve">aled against the decision and the court has overturned the decision. The details of the judgement are not publicly available. </w:t>
      </w:r>
    </w:p>
    <w:p w14:paraId="35100DDB" w14:textId="2B05DE20" w:rsidR="00BF513D" w:rsidRDefault="00BF513D" w:rsidP="00BF513D">
      <w:pPr>
        <w:pStyle w:val="Nagwek2"/>
        <w:rPr>
          <w:rFonts w:cs="Times New Roman"/>
          <w:szCs w:val="20"/>
        </w:rPr>
      </w:pPr>
      <w:r>
        <w:rPr>
          <w:rFonts w:cs="Times New Roman"/>
          <w:szCs w:val="20"/>
        </w:rPr>
        <w:lastRenderedPageBreak/>
        <w:t xml:space="preserve">Other activities of the President of </w:t>
      </w:r>
      <w:proofErr w:type="spellStart"/>
      <w:r>
        <w:rPr>
          <w:rFonts w:cs="Times New Roman"/>
          <w:szCs w:val="20"/>
        </w:rPr>
        <w:t>UOKiK</w:t>
      </w:r>
      <w:proofErr w:type="spellEnd"/>
      <w:r>
        <w:rPr>
          <w:rFonts w:cs="Times New Roman"/>
          <w:szCs w:val="20"/>
        </w:rPr>
        <w:t xml:space="preserve"> in the agri-food sector</w:t>
      </w:r>
    </w:p>
    <w:p w14:paraId="4B1FC194" w14:textId="19AC15E2" w:rsidR="00BF513D" w:rsidRPr="00BF513D" w:rsidRDefault="00BF513D" w:rsidP="00BF513D">
      <w:r>
        <w:rPr>
          <w:rFonts w:cs="Times New Roman"/>
          <w:szCs w:val="20"/>
        </w:rPr>
        <w:t>Beyond its</w:t>
      </w:r>
      <w:r w:rsidRPr="00C14F0D">
        <w:rPr>
          <w:rFonts w:cs="Times New Roman"/>
          <w:szCs w:val="20"/>
        </w:rPr>
        <w:t xml:space="preserve"> decisional practice the authority also monitors the markets, collects data and complies reports on specific issues in the agri-food sector. To this date it has released</w:t>
      </w:r>
      <w:r>
        <w:rPr>
          <w:rFonts w:cs="Times New Roman"/>
          <w:szCs w:val="20"/>
        </w:rPr>
        <w:t>:</w:t>
      </w:r>
      <w:r w:rsidRPr="00C14F0D">
        <w:rPr>
          <w:rFonts w:cs="Times New Roman"/>
          <w:szCs w:val="20"/>
        </w:rPr>
        <w:t xml:space="preserve"> a report on </w:t>
      </w:r>
      <w:r w:rsidRPr="00BE1855">
        <w:rPr>
          <w:rFonts w:cs="Times New Roman"/>
          <w:szCs w:val="20"/>
        </w:rPr>
        <w:t>trade discounts applied in the relations between retail chains and suppliers of agricultural or food products</w:t>
      </w:r>
      <w:r>
        <w:rPr>
          <w:rFonts w:cs="Times New Roman"/>
          <w:szCs w:val="20"/>
        </w:rPr>
        <w:t xml:space="preserve"> (2021)</w:t>
      </w:r>
      <w:r w:rsidR="00BD6219">
        <w:rPr>
          <w:rFonts w:cs="Times New Roman"/>
          <w:szCs w:val="20"/>
        </w:rPr>
        <w:t>;</w:t>
      </w:r>
      <w:r w:rsidR="00D1063C">
        <w:rPr>
          <w:rStyle w:val="Odwoanieprzypisudolnego"/>
          <w:rFonts w:cs="Times New Roman"/>
          <w:szCs w:val="20"/>
        </w:rPr>
        <w:footnoteReference w:id="39"/>
      </w:r>
      <w:r w:rsidRPr="00C14F0D">
        <w:rPr>
          <w:rFonts w:cs="Times New Roman"/>
          <w:szCs w:val="20"/>
        </w:rPr>
        <w:t xml:space="preserve">a report on </w:t>
      </w:r>
      <w:r w:rsidRPr="007911B9">
        <w:rPr>
          <w:rFonts w:cs="Times New Roman"/>
          <w:szCs w:val="20"/>
        </w:rPr>
        <w:t xml:space="preserve">charges imposed by retail chains for services related to the sale of </w:t>
      </w:r>
      <w:r w:rsidRPr="00BE1855">
        <w:rPr>
          <w:rFonts w:cs="Times New Roman"/>
          <w:szCs w:val="20"/>
        </w:rPr>
        <w:t>agricultural or food products</w:t>
      </w:r>
      <w:r>
        <w:rPr>
          <w:rFonts w:cs="Times New Roman"/>
          <w:szCs w:val="20"/>
        </w:rPr>
        <w:t xml:space="preserve"> (2022)</w:t>
      </w:r>
      <w:r w:rsidR="00921BAA">
        <w:rPr>
          <w:rStyle w:val="Odwoanieprzypisudolnego"/>
          <w:rFonts w:cs="Times New Roman"/>
          <w:szCs w:val="20"/>
        </w:rPr>
        <w:footnoteReference w:id="40"/>
      </w:r>
      <w:r>
        <w:rPr>
          <w:rFonts w:cs="Times New Roman"/>
          <w:szCs w:val="20"/>
        </w:rPr>
        <w:t xml:space="preserve"> and also reports on market studies in </w:t>
      </w:r>
      <w:r w:rsidRPr="008E29E6">
        <w:rPr>
          <w:rFonts w:cs="Times New Roman"/>
          <w:szCs w:val="20"/>
        </w:rPr>
        <w:t>soft fruits</w:t>
      </w:r>
      <w:r>
        <w:rPr>
          <w:rFonts w:cs="Times New Roman"/>
          <w:szCs w:val="20"/>
        </w:rPr>
        <w:t xml:space="preserve"> and milk sector.</w:t>
      </w:r>
      <w:r w:rsidR="002C7939">
        <w:rPr>
          <w:rStyle w:val="Odwoanieprzypisudolnego"/>
          <w:rFonts w:cs="Times New Roman"/>
          <w:szCs w:val="20"/>
        </w:rPr>
        <w:footnoteReference w:id="41"/>
      </w:r>
      <w:r>
        <w:rPr>
          <w:rFonts w:cs="Times New Roman"/>
          <w:szCs w:val="20"/>
        </w:rPr>
        <w:t xml:space="preserve"> These</w:t>
      </w:r>
      <w:r w:rsidRPr="00C14F0D">
        <w:rPr>
          <w:rFonts w:cs="Times New Roman"/>
          <w:szCs w:val="20"/>
        </w:rPr>
        <w:t xml:space="preserve"> documents not only describe the state of affairs </w:t>
      </w:r>
      <w:r>
        <w:rPr>
          <w:rFonts w:cs="Times New Roman"/>
          <w:szCs w:val="20"/>
        </w:rPr>
        <w:t>in</w:t>
      </w:r>
      <w:r w:rsidRPr="00C14F0D">
        <w:rPr>
          <w:rFonts w:cs="Times New Roman"/>
          <w:szCs w:val="20"/>
        </w:rPr>
        <w:t xml:space="preserve"> the market but also provide guidance and interpretation of the law by the authority. </w:t>
      </w:r>
    </w:p>
    <w:p w14:paraId="0186B248" w14:textId="77777777" w:rsidR="00FF6517" w:rsidRPr="00FF6517" w:rsidRDefault="00FF6517" w:rsidP="00FF6517">
      <w:pPr>
        <w:pStyle w:val="Nagwek2"/>
        <w:rPr>
          <w:rFonts w:cs="Times New Roman"/>
          <w:szCs w:val="20"/>
        </w:rPr>
      </w:pPr>
      <w:r w:rsidRPr="00FF6517">
        <w:rPr>
          <w:rFonts w:cs="Times New Roman"/>
          <w:szCs w:val="20"/>
        </w:rPr>
        <w:t>Key Findings from Enforcement Practice</w:t>
      </w:r>
    </w:p>
    <w:p w14:paraId="4261C1A7" w14:textId="0BE972E3" w:rsidR="007E7AC4" w:rsidRPr="00C14F0D" w:rsidRDefault="00573D4E" w:rsidP="00193E33">
      <w:pPr>
        <w:rPr>
          <w:rFonts w:cs="Times New Roman"/>
          <w:szCs w:val="20"/>
        </w:rPr>
      </w:pPr>
      <w:r w:rsidRPr="009307FA">
        <w:rPr>
          <w:rFonts w:cs="Times New Roman"/>
          <w:szCs w:val="20"/>
        </w:rPr>
        <w:t xml:space="preserve">It follows from the enforcement activities of the President of </w:t>
      </w:r>
      <w:proofErr w:type="spellStart"/>
      <w:r w:rsidRPr="009307FA">
        <w:rPr>
          <w:rFonts w:cs="Times New Roman"/>
          <w:szCs w:val="20"/>
        </w:rPr>
        <w:t>UOKiK</w:t>
      </w:r>
      <w:proofErr w:type="spellEnd"/>
      <w:r w:rsidRPr="009307FA">
        <w:rPr>
          <w:rFonts w:cs="Times New Roman"/>
          <w:szCs w:val="20"/>
        </w:rPr>
        <w:t xml:space="preserve"> that the authority </w:t>
      </w:r>
      <w:r w:rsidR="0070224C" w:rsidRPr="009307FA">
        <w:rPr>
          <w:rFonts w:cs="Times New Roman"/>
          <w:szCs w:val="20"/>
        </w:rPr>
        <w:t xml:space="preserve">sees a </w:t>
      </w:r>
      <w:r w:rsidR="001C4F9E" w:rsidRPr="009307FA">
        <w:rPr>
          <w:rFonts w:cs="Times New Roman"/>
          <w:szCs w:val="20"/>
        </w:rPr>
        <w:t>significant</w:t>
      </w:r>
      <w:r w:rsidR="0070224C" w:rsidRPr="009307FA">
        <w:rPr>
          <w:rFonts w:cs="Times New Roman"/>
          <w:szCs w:val="20"/>
        </w:rPr>
        <w:t xml:space="preserve"> </w:t>
      </w:r>
      <w:r w:rsidR="00AB416C" w:rsidRPr="009307FA">
        <w:rPr>
          <w:rFonts w:cs="Times New Roman"/>
          <w:szCs w:val="20"/>
        </w:rPr>
        <w:t>imbalance of power between</w:t>
      </w:r>
      <w:r w:rsidR="0070224C" w:rsidRPr="009307FA">
        <w:rPr>
          <w:rFonts w:cs="Times New Roman"/>
          <w:szCs w:val="20"/>
        </w:rPr>
        <w:t xml:space="preserve"> buyers and sellers in the agri-food secto</w:t>
      </w:r>
      <w:r w:rsidR="009307FA" w:rsidRPr="009307FA">
        <w:rPr>
          <w:rFonts w:cs="Times New Roman"/>
          <w:szCs w:val="20"/>
        </w:rPr>
        <w:t>r</w:t>
      </w:r>
      <w:r w:rsidR="0070224C" w:rsidRPr="009307FA">
        <w:rPr>
          <w:rFonts w:cs="Times New Roman"/>
          <w:szCs w:val="20"/>
        </w:rPr>
        <w:t xml:space="preserve">. </w:t>
      </w:r>
      <w:r w:rsidR="002B43C1" w:rsidRPr="009307FA">
        <w:rPr>
          <w:rFonts w:cs="Times New Roman"/>
          <w:szCs w:val="20"/>
        </w:rPr>
        <w:t>The authority does not exercise its</w:t>
      </w:r>
      <w:r w:rsidR="00411EDC" w:rsidRPr="009307FA">
        <w:rPr>
          <w:rFonts w:cs="Times New Roman"/>
          <w:szCs w:val="20"/>
        </w:rPr>
        <w:t xml:space="preserve"> powers reluctantly but rather </w:t>
      </w:r>
      <w:r w:rsidR="002B43C1" w:rsidRPr="009307FA">
        <w:rPr>
          <w:rFonts w:cs="Times New Roman"/>
          <w:szCs w:val="20"/>
        </w:rPr>
        <w:t>seeks</w:t>
      </w:r>
      <w:r w:rsidR="00411EDC" w:rsidRPr="009307FA">
        <w:rPr>
          <w:rFonts w:cs="Times New Roman"/>
          <w:szCs w:val="20"/>
        </w:rPr>
        <w:t xml:space="preserve"> to enforce </w:t>
      </w:r>
      <w:r w:rsidR="00C14F0D" w:rsidRPr="009307FA">
        <w:rPr>
          <w:rFonts w:cs="Times New Roman"/>
          <w:szCs w:val="20"/>
        </w:rPr>
        <w:t>behaviours</w:t>
      </w:r>
      <w:r w:rsidR="00411EDC" w:rsidRPr="009307FA">
        <w:rPr>
          <w:rFonts w:cs="Times New Roman"/>
          <w:szCs w:val="20"/>
        </w:rPr>
        <w:t xml:space="preserve"> that require the stronger party to </w:t>
      </w:r>
      <w:r w:rsidR="007D7333" w:rsidRPr="009307FA">
        <w:rPr>
          <w:rFonts w:cs="Times New Roman"/>
          <w:szCs w:val="20"/>
        </w:rPr>
        <w:t xml:space="preserve">assume responsibility for creating </w:t>
      </w:r>
      <w:r w:rsidR="007A4B78" w:rsidRPr="009307FA">
        <w:rPr>
          <w:rFonts w:cs="Times New Roman"/>
          <w:szCs w:val="20"/>
        </w:rPr>
        <w:t>fair</w:t>
      </w:r>
      <w:r w:rsidR="007D7333" w:rsidRPr="009307FA">
        <w:rPr>
          <w:rFonts w:cs="Times New Roman"/>
          <w:szCs w:val="20"/>
        </w:rPr>
        <w:t xml:space="preserve"> business relationship</w:t>
      </w:r>
      <w:r w:rsidR="00716095" w:rsidRPr="009307FA">
        <w:rPr>
          <w:rFonts w:cs="Times New Roman"/>
          <w:szCs w:val="20"/>
        </w:rPr>
        <w:t>s</w:t>
      </w:r>
      <w:r w:rsidR="00B624D9" w:rsidRPr="009307FA">
        <w:rPr>
          <w:rFonts w:cs="Times New Roman"/>
          <w:szCs w:val="20"/>
        </w:rPr>
        <w:t>.</w:t>
      </w:r>
      <w:r w:rsidR="00277106" w:rsidRPr="009307FA">
        <w:rPr>
          <w:rFonts w:cs="Times New Roman"/>
          <w:szCs w:val="20"/>
        </w:rPr>
        <w:t xml:space="preserve"> The general level of financial fines issued by the authority is </w:t>
      </w:r>
      <w:r w:rsidR="00716095" w:rsidRPr="009307FA">
        <w:rPr>
          <w:rFonts w:cs="Times New Roman"/>
          <w:szCs w:val="20"/>
        </w:rPr>
        <w:t>notably</w:t>
      </w:r>
      <w:r w:rsidR="00277106" w:rsidRPr="009307FA">
        <w:rPr>
          <w:rFonts w:cs="Times New Roman"/>
          <w:szCs w:val="20"/>
        </w:rPr>
        <w:t xml:space="preserve"> </w:t>
      </w:r>
      <w:r w:rsidR="00CF043D" w:rsidRPr="009307FA">
        <w:rPr>
          <w:rFonts w:cs="Times New Roman"/>
          <w:szCs w:val="20"/>
        </w:rPr>
        <w:t xml:space="preserve">high </w:t>
      </w:r>
      <w:r w:rsidR="00C46A39" w:rsidRPr="009307FA">
        <w:rPr>
          <w:rFonts w:cs="Times New Roman"/>
          <w:szCs w:val="20"/>
        </w:rPr>
        <w:t xml:space="preserve">especially </w:t>
      </w:r>
      <w:r w:rsidR="00716095" w:rsidRPr="009307FA">
        <w:rPr>
          <w:rFonts w:cs="Times New Roman"/>
          <w:szCs w:val="20"/>
        </w:rPr>
        <w:t>considering</w:t>
      </w:r>
      <w:r w:rsidR="00C46A39" w:rsidRPr="009307FA">
        <w:rPr>
          <w:rFonts w:cs="Times New Roman"/>
          <w:szCs w:val="20"/>
        </w:rPr>
        <w:t xml:space="preserve"> that they are calculated as percentage of the turnover </w:t>
      </w:r>
      <w:r w:rsidR="00983ABD" w:rsidRPr="009307FA">
        <w:rPr>
          <w:rFonts w:cs="Times New Roman"/>
          <w:szCs w:val="20"/>
        </w:rPr>
        <w:t xml:space="preserve">and the agri-food industry is </w:t>
      </w:r>
      <w:r w:rsidR="00716095" w:rsidRPr="009307FA">
        <w:rPr>
          <w:rFonts w:cs="Times New Roman"/>
          <w:szCs w:val="20"/>
        </w:rPr>
        <w:t>operates</w:t>
      </w:r>
      <w:r w:rsidR="00983ABD" w:rsidRPr="009307FA">
        <w:rPr>
          <w:rFonts w:cs="Times New Roman"/>
          <w:szCs w:val="20"/>
        </w:rPr>
        <w:t xml:space="preserve"> on high volumes and low margins. </w:t>
      </w:r>
      <w:r w:rsidR="00A37C04" w:rsidRPr="009307FA">
        <w:rPr>
          <w:rFonts w:cs="Times New Roman"/>
          <w:szCs w:val="20"/>
        </w:rPr>
        <w:t>This</w:t>
      </w:r>
      <w:r w:rsidR="00D96C01" w:rsidRPr="009307FA">
        <w:rPr>
          <w:rFonts w:cs="Times New Roman"/>
          <w:szCs w:val="20"/>
        </w:rPr>
        <w:t xml:space="preserve"> legal framework</w:t>
      </w:r>
      <w:r w:rsidR="00D64223" w:rsidRPr="009307FA">
        <w:rPr>
          <w:rFonts w:cs="Times New Roman"/>
          <w:szCs w:val="20"/>
        </w:rPr>
        <w:t xml:space="preserve"> </w:t>
      </w:r>
      <w:r w:rsidR="00936CB5" w:rsidRPr="009307FA">
        <w:rPr>
          <w:rFonts w:cs="Times New Roman"/>
          <w:szCs w:val="20"/>
        </w:rPr>
        <w:t>emphasizes</w:t>
      </w:r>
      <w:r w:rsidR="00D64223" w:rsidRPr="009307FA">
        <w:rPr>
          <w:rFonts w:cs="Times New Roman"/>
          <w:szCs w:val="20"/>
        </w:rPr>
        <w:t xml:space="preserve"> the importance of compliance efforts </w:t>
      </w:r>
      <w:r w:rsidR="00936CB5" w:rsidRPr="009307FA">
        <w:rPr>
          <w:rFonts w:cs="Times New Roman"/>
          <w:szCs w:val="20"/>
        </w:rPr>
        <w:t>for</w:t>
      </w:r>
      <w:r w:rsidR="00D64223" w:rsidRPr="009307FA">
        <w:rPr>
          <w:rFonts w:cs="Times New Roman"/>
          <w:szCs w:val="20"/>
        </w:rPr>
        <w:t xml:space="preserve"> companies</w:t>
      </w:r>
      <w:r w:rsidR="00277106" w:rsidRPr="009307FA">
        <w:rPr>
          <w:rFonts w:cs="Times New Roman"/>
          <w:szCs w:val="20"/>
        </w:rPr>
        <w:t xml:space="preserve"> in</w:t>
      </w:r>
      <w:r w:rsidR="00936CB5" w:rsidRPr="009307FA">
        <w:rPr>
          <w:rFonts w:cs="Times New Roman"/>
          <w:szCs w:val="20"/>
        </w:rPr>
        <w:t xml:space="preserve"> the</w:t>
      </w:r>
      <w:r w:rsidR="00277106" w:rsidRPr="009307FA">
        <w:rPr>
          <w:rFonts w:cs="Times New Roman"/>
          <w:szCs w:val="20"/>
        </w:rPr>
        <w:t xml:space="preserve"> agri-food sector that enjoy</w:t>
      </w:r>
      <w:r w:rsidR="00983ABD" w:rsidRPr="009307FA">
        <w:rPr>
          <w:rFonts w:cs="Times New Roman"/>
          <w:szCs w:val="20"/>
        </w:rPr>
        <w:t xml:space="preserve"> contractual advantage over </w:t>
      </w:r>
      <w:r w:rsidR="00E42069" w:rsidRPr="009307FA">
        <w:rPr>
          <w:rFonts w:cs="Times New Roman"/>
          <w:szCs w:val="20"/>
        </w:rPr>
        <w:t>their suppliers.</w:t>
      </w:r>
      <w:r w:rsidR="00E42069" w:rsidRPr="00C14F0D">
        <w:rPr>
          <w:rFonts w:cs="Times New Roman"/>
          <w:szCs w:val="20"/>
        </w:rPr>
        <w:t xml:space="preserve"> </w:t>
      </w:r>
    </w:p>
    <w:p w14:paraId="7C0A722D" w14:textId="7FBF5598" w:rsidR="00176784" w:rsidRPr="003046E5" w:rsidRDefault="00176784" w:rsidP="00176784">
      <w:pPr>
        <w:rPr>
          <w:rFonts w:cs="Times New Roman"/>
          <w:szCs w:val="20"/>
        </w:rPr>
      </w:pPr>
      <w:r w:rsidRPr="00C14F0D">
        <w:rPr>
          <w:rFonts w:cs="Times New Roman"/>
          <w:szCs w:val="20"/>
        </w:rPr>
        <w:t xml:space="preserve">Although the strict position of the President of </w:t>
      </w:r>
      <w:proofErr w:type="spellStart"/>
      <w:r w:rsidRPr="00C14F0D">
        <w:rPr>
          <w:rFonts w:cs="Times New Roman"/>
          <w:szCs w:val="20"/>
        </w:rPr>
        <w:t>UOKiK</w:t>
      </w:r>
      <w:proofErr w:type="spellEnd"/>
      <w:r w:rsidRPr="00C14F0D">
        <w:rPr>
          <w:rFonts w:cs="Times New Roman"/>
          <w:szCs w:val="20"/>
        </w:rPr>
        <w:t xml:space="preserve"> is known and recognized in the </w:t>
      </w:r>
      <w:r w:rsidR="008E29E6">
        <w:rPr>
          <w:rFonts w:cs="Times New Roman"/>
          <w:szCs w:val="20"/>
        </w:rPr>
        <w:t>industry</w:t>
      </w:r>
      <w:r w:rsidRPr="00C14F0D">
        <w:rPr>
          <w:rFonts w:cs="Times New Roman"/>
          <w:szCs w:val="20"/>
        </w:rPr>
        <w:t>, the</w:t>
      </w:r>
      <w:r w:rsidR="000B052A">
        <w:rPr>
          <w:rFonts w:cs="Times New Roman"/>
          <w:szCs w:val="20"/>
        </w:rPr>
        <w:t>re exists</w:t>
      </w:r>
      <w:r w:rsidRPr="00C14F0D">
        <w:rPr>
          <w:rFonts w:cs="Times New Roman"/>
          <w:szCs w:val="20"/>
        </w:rPr>
        <w:t xml:space="preserve"> a </w:t>
      </w:r>
      <w:r w:rsidR="000B052A" w:rsidRPr="003046E5">
        <w:rPr>
          <w:rFonts w:cs="Times New Roman"/>
          <w:szCs w:val="20"/>
        </w:rPr>
        <w:t>significant</w:t>
      </w:r>
      <w:r w:rsidRPr="003046E5">
        <w:rPr>
          <w:rFonts w:cs="Times New Roman"/>
          <w:szCs w:val="20"/>
        </w:rPr>
        <w:t xml:space="preserve"> body of judicial case law that has</w:t>
      </w:r>
      <w:r w:rsidR="00BF513D" w:rsidRPr="003046E5">
        <w:rPr>
          <w:rFonts w:cs="Times New Roman"/>
          <w:szCs w:val="20"/>
        </w:rPr>
        <w:t xml:space="preserve"> </w:t>
      </w:r>
      <w:r w:rsidRPr="003046E5">
        <w:rPr>
          <w:rFonts w:cs="Times New Roman"/>
          <w:szCs w:val="20"/>
        </w:rPr>
        <w:t xml:space="preserve">overturned several decisions of the authority. However, </w:t>
      </w:r>
      <w:r w:rsidR="00AE3C25" w:rsidRPr="003046E5">
        <w:rPr>
          <w:rFonts w:cs="Times New Roman"/>
          <w:szCs w:val="20"/>
        </w:rPr>
        <w:t>final judgments that could serve as binding precedents under the general clause of the contractual advantage law are still awaited</w:t>
      </w:r>
      <w:r w:rsidRPr="003046E5">
        <w:rPr>
          <w:rFonts w:cs="Times New Roman"/>
          <w:szCs w:val="20"/>
        </w:rPr>
        <w:t xml:space="preserve">. </w:t>
      </w:r>
      <w:r w:rsidR="00AE3C25" w:rsidRPr="003046E5">
        <w:rPr>
          <w:rFonts w:cs="Times New Roman"/>
          <w:szCs w:val="20"/>
        </w:rPr>
        <w:t>The c</w:t>
      </w:r>
      <w:r w:rsidRPr="003046E5">
        <w:rPr>
          <w:rFonts w:cs="Times New Roman"/>
          <w:szCs w:val="20"/>
        </w:rPr>
        <w:t>urrent state of the judiciary in Poland</w:t>
      </w:r>
      <w:r w:rsidR="00AE3C25" w:rsidRPr="003046E5">
        <w:rPr>
          <w:rFonts w:cs="Times New Roman"/>
          <w:szCs w:val="20"/>
        </w:rPr>
        <w:t>,</w:t>
      </w:r>
      <w:r w:rsidRPr="003046E5">
        <w:rPr>
          <w:rFonts w:cs="Times New Roman"/>
          <w:szCs w:val="20"/>
        </w:rPr>
        <w:t xml:space="preserve"> with very slowly moving cases</w:t>
      </w:r>
      <w:r w:rsidR="00AE3C25" w:rsidRPr="003046E5">
        <w:rPr>
          <w:rFonts w:cs="Times New Roman"/>
          <w:szCs w:val="20"/>
        </w:rPr>
        <w:t>,</w:t>
      </w:r>
      <w:r w:rsidRPr="003046E5">
        <w:rPr>
          <w:rFonts w:cs="Times New Roman"/>
          <w:szCs w:val="20"/>
        </w:rPr>
        <w:t xml:space="preserve"> affects the feeling of legal instability among </w:t>
      </w:r>
      <w:r w:rsidR="00AE3C25" w:rsidRPr="003046E5">
        <w:rPr>
          <w:rFonts w:cs="Times New Roman"/>
          <w:szCs w:val="20"/>
        </w:rPr>
        <w:t>businesses</w:t>
      </w:r>
      <w:r w:rsidRPr="003046E5">
        <w:rPr>
          <w:rFonts w:cs="Times New Roman"/>
          <w:szCs w:val="20"/>
        </w:rPr>
        <w:t xml:space="preserve">. </w:t>
      </w:r>
    </w:p>
    <w:p w14:paraId="035F12CC" w14:textId="27D80DF0" w:rsidR="0069302C" w:rsidRDefault="003046E5" w:rsidP="00176784">
      <w:pPr>
        <w:rPr>
          <w:rFonts w:cs="Times New Roman"/>
          <w:szCs w:val="20"/>
        </w:rPr>
      </w:pPr>
      <w:r w:rsidRPr="003046E5">
        <w:rPr>
          <w:rFonts w:cs="Times New Roman"/>
          <w:szCs w:val="20"/>
        </w:rPr>
        <w:t>Additionally</w:t>
      </w:r>
      <w:r>
        <w:rPr>
          <w:rFonts w:cs="Times New Roman"/>
          <w:szCs w:val="20"/>
        </w:rPr>
        <w:t>,</w:t>
      </w:r>
      <w:r w:rsidR="002B5622" w:rsidRPr="003046E5">
        <w:rPr>
          <w:rFonts w:cs="Times New Roman"/>
          <w:szCs w:val="20"/>
        </w:rPr>
        <w:t xml:space="preserve"> t</w:t>
      </w:r>
      <w:r w:rsidR="00F5131B" w:rsidRPr="003046E5">
        <w:rPr>
          <w:rFonts w:cs="Times New Roman"/>
          <w:szCs w:val="20"/>
        </w:rPr>
        <w:t xml:space="preserve">he fact that almost all </w:t>
      </w:r>
      <w:r w:rsidR="00B55F7C" w:rsidRPr="003046E5">
        <w:rPr>
          <w:rFonts w:cs="Times New Roman"/>
          <w:szCs w:val="20"/>
        </w:rPr>
        <w:t xml:space="preserve">enforcement actions taken by the President of </w:t>
      </w:r>
      <w:proofErr w:type="spellStart"/>
      <w:r w:rsidR="00B55F7C" w:rsidRPr="003046E5">
        <w:rPr>
          <w:rFonts w:cs="Times New Roman"/>
          <w:szCs w:val="20"/>
        </w:rPr>
        <w:t>UOKiK</w:t>
      </w:r>
      <w:proofErr w:type="spellEnd"/>
      <w:r w:rsidR="00B55F7C" w:rsidRPr="003046E5">
        <w:rPr>
          <w:rFonts w:cs="Times New Roman"/>
          <w:szCs w:val="20"/>
        </w:rPr>
        <w:t xml:space="preserve"> </w:t>
      </w:r>
      <w:r w:rsidR="0069302C" w:rsidRPr="003046E5">
        <w:rPr>
          <w:rFonts w:cs="Times New Roman"/>
          <w:szCs w:val="20"/>
        </w:rPr>
        <w:t>are based on a general clause prohibiting the unfair use of contractual advantage raises concerns</w:t>
      </w:r>
      <w:r w:rsidR="00781DB9" w:rsidRPr="003046E5">
        <w:rPr>
          <w:rFonts w:cs="Times New Roman"/>
          <w:szCs w:val="20"/>
        </w:rPr>
        <w:t xml:space="preserve"> from the perspective of authority’s </w:t>
      </w:r>
      <w:r w:rsidR="00FA4D0F" w:rsidRPr="003046E5">
        <w:rPr>
          <w:rFonts w:cs="Times New Roman"/>
          <w:szCs w:val="20"/>
        </w:rPr>
        <w:t xml:space="preserve">enforcement policy and priorities. </w:t>
      </w:r>
      <w:r w:rsidR="00455D41" w:rsidRPr="00455D41">
        <w:rPr>
          <w:rFonts w:cs="Times New Roman"/>
          <w:szCs w:val="20"/>
        </w:rPr>
        <w:t>Assuming the rationality of the legislator</w:t>
      </w:r>
      <w:r w:rsidR="00455D41">
        <w:rPr>
          <w:rFonts w:cs="Times New Roman"/>
          <w:szCs w:val="20"/>
        </w:rPr>
        <w:t xml:space="preserve"> </w:t>
      </w:r>
      <w:r w:rsidR="0097190A">
        <w:rPr>
          <w:rFonts w:cs="Times New Roman"/>
          <w:szCs w:val="20"/>
        </w:rPr>
        <w:t>th</w:t>
      </w:r>
      <w:r w:rsidR="00FA4D0F" w:rsidRPr="003046E5">
        <w:rPr>
          <w:rFonts w:cs="Times New Roman"/>
          <w:szCs w:val="20"/>
        </w:rPr>
        <w:t xml:space="preserve">e UTP Directive explicitly blacklists certain practices because they have been identified as both </w:t>
      </w:r>
      <w:r w:rsidR="00C872E9" w:rsidRPr="003046E5">
        <w:rPr>
          <w:rFonts w:cs="Times New Roman"/>
          <w:szCs w:val="20"/>
        </w:rPr>
        <w:t>particularly harmful and prevalent in the agri-food sector.</w:t>
      </w:r>
      <w:r w:rsidR="00C872E9" w:rsidRPr="003046E5">
        <w:t xml:space="preserve"> </w:t>
      </w:r>
      <w:r w:rsidR="00C872E9" w:rsidRPr="003046E5">
        <w:rPr>
          <w:rFonts w:cs="Times New Roman"/>
          <w:szCs w:val="20"/>
        </w:rPr>
        <w:t>Consequently, the</w:t>
      </w:r>
      <w:r w:rsidR="00C872E9" w:rsidRPr="00C872E9">
        <w:rPr>
          <w:rFonts w:cs="Times New Roman"/>
          <w:szCs w:val="20"/>
        </w:rPr>
        <w:t xml:space="preserve"> enforcement should also prioritise eliminating practices that have the most detrimental impact on commercial relationships and on the position of the parties protected under the </w:t>
      </w:r>
      <w:r w:rsidR="00C872E9">
        <w:rPr>
          <w:rFonts w:cs="Times New Roman"/>
          <w:szCs w:val="20"/>
        </w:rPr>
        <w:t xml:space="preserve">legislation. </w:t>
      </w:r>
      <w:r w:rsidRPr="003046E5">
        <w:rPr>
          <w:rFonts w:cs="Times New Roman"/>
          <w:szCs w:val="20"/>
        </w:rPr>
        <w:t xml:space="preserve">Moreover, the blacklist offers the advantage that </w:t>
      </w:r>
      <w:r w:rsidR="008544C7" w:rsidRPr="008544C7">
        <w:rPr>
          <w:rFonts w:cs="Times New Roman"/>
          <w:szCs w:val="20"/>
        </w:rPr>
        <w:t>cases involving listed practices require less detailed reasoning and analysis</w:t>
      </w:r>
      <w:r w:rsidRPr="003046E5">
        <w:rPr>
          <w:rFonts w:cs="Times New Roman"/>
          <w:szCs w:val="20"/>
        </w:rPr>
        <w:t xml:space="preserve"> as the authority does not need to demonstrate a breach of good commercial customs or a threat to, or infringement of the material interests of the counterparty</w:t>
      </w:r>
      <w:r>
        <w:rPr>
          <w:rFonts w:cs="Times New Roman"/>
          <w:szCs w:val="20"/>
        </w:rPr>
        <w:t xml:space="preserve">. </w:t>
      </w:r>
      <w:r w:rsidR="008D73C1">
        <w:rPr>
          <w:rFonts w:cs="Times New Roman"/>
          <w:szCs w:val="20"/>
        </w:rPr>
        <w:t xml:space="preserve">In this vein, </w:t>
      </w:r>
      <w:r w:rsidR="008D73C1" w:rsidRPr="008D73C1">
        <w:rPr>
          <w:rFonts w:cs="Times New Roman"/>
          <w:szCs w:val="20"/>
        </w:rPr>
        <w:t xml:space="preserve">it is surprising that prior to the implementation of the UTP Directive, the President of </w:t>
      </w:r>
      <w:proofErr w:type="spellStart"/>
      <w:r w:rsidR="008D73C1" w:rsidRPr="008D73C1">
        <w:rPr>
          <w:rFonts w:cs="Times New Roman"/>
          <w:szCs w:val="20"/>
        </w:rPr>
        <w:t>UOKiK</w:t>
      </w:r>
      <w:proofErr w:type="spellEnd"/>
      <w:r w:rsidR="008D73C1" w:rsidRPr="008D73C1">
        <w:rPr>
          <w:rFonts w:cs="Times New Roman"/>
          <w:szCs w:val="20"/>
        </w:rPr>
        <w:t xml:space="preserve"> conducted numerous proceedings concerning </w:t>
      </w:r>
      <w:r w:rsidR="0097190A">
        <w:rPr>
          <w:rFonts w:cs="Times New Roman"/>
          <w:szCs w:val="20"/>
        </w:rPr>
        <w:t>late payments for food deliveries</w:t>
      </w:r>
      <w:r w:rsidR="008D73C1" w:rsidRPr="008D73C1">
        <w:rPr>
          <w:rFonts w:cs="Times New Roman"/>
          <w:szCs w:val="20"/>
        </w:rPr>
        <w:t xml:space="preserve">, </w:t>
      </w:r>
      <w:r w:rsidR="008D73C1" w:rsidRPr="008D73C1">
        <w:rPr>
          <w:rFonts w:cs="Times New Roman"/>
          <w:szCs w:val="20"/>
        </w:rPr>
        <w:lastRenderedPageBreak/>
        <w:t>whereas now, despite this practice being explicitly included on the blacklist, there have been no enforcement actions in this area.</w:t>
      </w:r>
    </w:p>
    <w:p w14:paraId="6F7423FB" w14:textId="6CFC9E13" w:rsidR="00495E24" w:rsidRPr="00495E24" w:rsidRDefault="00495E24" w:rsidP="00495E24">
      <w:pPr>
        <w:rPr>
          <w:rFonts w:cs="Times New Roman"/>
          <w:szCs w:val="20"/>
          <w:lang w:val="en-US"/>
        </w:rPr>
      </w:pPr>
      <w:r w:rsidRPr="00495E24">
        <w:rPr>
          <w:rFonts w:cs="Times New Roman"/>
          <w:szCs w:val="20"/>
          <w:lang w:val="en-US"/>
        </w:rPr>
        <w:t xml:space="preserve">Finally, it is worth mentioning that the number of decisions issued by the President of </w:t>
      </w:r>
      <w:proofErr w:type="spellStart"/>
      <w:r w:rsidRPr="00495E24">
        <w:rPr>
          <w:rFonts w:cs="Times New Roman"/>
          <w:szCs w:val="20"/>
          <w:lang w:val="en-US"/>
        </w:rPr>
        <w:t>UOKiK</w:t>
      </w:r>
      <w:proofErr w:type="spellEnd"/>
      <w:r w:rsidRPr="00495E24">
        <w:rPr>
          <w:rFonts w:cs="Times New Roman"/>
          <w:szCs w:val="20"/>
          <w:lang w:val="en-US"/>
        </w:rPr>
        <w:t xml:space="preserve"> has decreased in the last two years. As many as six decisions were issued by the </w:t>
      </w:r>
      <w:r w:rsidR="00291CE7">
        <w:rPr>
          <w:rFonts w:cs="Times New Roman"/>
          <w:szCs w:val="20"/>
          <w:lang w:val="en-US"/>
        </w:rPr>
        <w:t>authority</w:t>
      </w:r>
      <w:r w:rsidRPr="00495E24">
        <w:rPr>
          <w:rFonts w:cs="Times New Roman"/>
          <w:szCs w:val="20"/>
          <w:lang w:val="en-US"/>
        </w:rPr>
        <w:t xml:space="preserve"> in 2023, while only one decision was issued in 2024 and none in the first half of 2025 (as </w:t>
      </w:r>
      <w:r w:rsidR="00291CE7">
        <w:rPr>
          <w:rFonts w:cs="Times New Roman"/>
          <w:szCs w:val="20"/>
          <w:lang w:val="en-US"/>
        </w:rPr>
        <w:t>of</w:t>
      </w:r>
      <w:r w:rsidR="00291CE7" w:rsidRPr="00495E24">
        <w:rPr>
          <w:rFonts w:cs="Times New Roman"/>
          <w:szCs w:val="20"/>
          <w:lang w:val="en-US"/>
        </w:rPr>
        <w:t xml:space="preserve"> </w:t>
      </w:r>
      <w:r w:rsidRPr="00495E24">
        <w:rPr>
          <w:rFonts w:cs="Times New Roman"/>
          <w:szCs w:val="20"/>
          <w:lang w:val="en-US"/>
        </w:rPr>
        <w:t xml:space="preserve">10 July 2025). </w:t>
      </w:r>
      <w:r w:rsidR="00DA205A" w:rsidRPr="00495E24">
        <w:rPr>
          <w:rFonts w:cs="Times New Roman"/>
          <w:szCs w:val="20"/>
          <w:lang w:val="en-US"/>
        </w:rPr>
        <w:t>Th</w:t>
      </w:r>
      <w:r w:rsidR="00DA205A">
        <w:rPr>
          <w:rFonts w:cs="Times New Roman"/>
          <w:szCs w:val="20"/>
          <w:lang w:val="en-US"/>
        </w:rPr>
        <w:t>is however</w:t>
      </w:r>
      <w:r w:rsidR="004046EF">
        <w:rPr>
          <w:rFonts w:cs="Times New Roman"/>
          <w:szCs w:val="20"/>
          <w:lang w:val="en-US"/>
        </w:rPr>
        <w:t xml:space="preserve"> should not be viewed as a</w:t>
      </w:r>
      <w:r w:rsidR="006863CC">
        <w:rPr>
          <w:rFonts w:cs="Times New Roman"/>
          <w:szCs w:val="20"/>
          <w:lang w:val="en-US"/>
        </w:rPr>
        <w:t>n</w:t>
      </w:r>
      <w:r w:rsidR="004046EF">
        <w:rPr>
          <w:rFonts w:cs="Times New Roman"/>
          <w:szCs w:val="20"/>
          <w:lang w:val="en-US"/>
        </w:rPr>
        <w:t xml:space="preserve"> indication of</w:t>
      </w:r>
      <w:r w:rsidR="00E8724B">
        <w:rPr>
          <w:rFonts w:cs="Times New Roman"/>
          <w:szCs w:val="20"/>
          <w:lang w:val="en-US"/>
        </w:rPr>
        <w:t xml:space="preserve"> lowered activity of the authority</w:t>
      </w:r>
      <w:r w:rsidR="004046EF">
        <w:rPr>
          <w:rFonts w:cs="Times New Roman"/>
          <w:szCs w:val="20"/>
          <w:lang w:val="en-US"/>
        </w:rPr>
        <w:t xml:space="preserve"> in the agri-food sector. Apart from issuing administrative</w:t>
      </w:r>
      <w:r w:rsidR="005F3299">
        <w:rPr>
          <w:rFonts w:cs="Times New Roman"/>
          <w:szCs w:val="20"/>
          <w:lang w:val="en-US"/>
        </w:rPr>
        <w:t xml:space="preserve"> decisions the authority is also involved in so called soft-interventions. The challenges the authority is facing in court might also influence the </w:t>
      </w:r>
      <w:r w:rsidR="006863CC">
        <w:rPr>
          <w:rFonts w:cs="Times New Roman"/>
          <w:szCs w:val="20"/>
          <w:lang w:val="en-US"/>
        </w:rPr>
        <w:t xml:space="preserve">duration of the proceedings that are ongoing so that it can build a compelling case for subsequent judicial review. </w:t>
      </w:r>
    </w:p>
    <w:p w14:paraId="023F49A4" w14:textId="5F2BA8FF" w:rsidR="008E29E6" w:rsidRPr="007F525B" w:rsidRDefault="008E29E6" w:rsidP="008E29E6">
      <w:pPr>
        <w:pStyle w:val="Nagwek1"/>
      </w:pPr>
      <w:r w:rsidRPr="007F525B">
        <w:t xml:space="preserve">Conclusions </w:t>
      </w:r>
    </w:p>
    <w:p w14:paraId="37EB03B8" w14:textId="3D33DEB0" w:rsidR="00FF6517" w:rsidRPr="00A65AB4" w:rsidRDefault="00FF6517" w:rsidP="00FF6517">
      <w:pPr>
        <w:rPr>
          <w:rFonts w:cs="Times New Roman"/>
          <w:szCs w:val="20"/>
          <w:lang w:val="en-US"/>
        </w:rPr>
      </w:pPr>
      <w:r w:rsidRPr="00A65AB4">
        <w:rPr>
          <w:rFonts w:cs="Times New Roman"/>
          <w:szCs w:val="20"/>
        </w:rPr>
        <w:t>Polish experience demonstrates that addressing abuses of relative market power outside the traditional dominance framework can be effective in sectors marked by structural imbalances</w:t>
      </w:r>
      <w:r w:rsidR="007F525B" w:rsidRPr="00A65AB4">
        <w:rPr>
          <w:rFonts w:cs="Times New Roman"/>
          <w:szCs w:val="20"/>
        </w:rPr>
        <w:t xml:space="preserve"> in the absence of formal market dominance</w:t>
      </w:r>
      <w:r w:rsidRPr="00A65AB4">
        <w:rPr>
          <w:rFonts w:cs="Times New Roman"/>
          <w:szCs w:val="20"/>
        </w:rPr>
        <w:t xml:space="preserve">. Enforcement by the President of </w:t>
      </w:r>
      <w:proofErr w:type="spellStart"/>
      <w:r w:rsidRPr="00A65AB4">
        <w:rPr>
          <w:rFonts w:cs="Times New Roman"/>
          <w:szCs w:val="20"/>
        </w:rPr>
        <w:t>UOKiK</w:t>
      </w:r>
      <w:proofErr w:type="spellEnd"/>
      <w:r w:rsidR="0012153F" w:rsidRPr="00A65AB4">
        <w:rPr>
          <w:rFonts w:cs="Times New Roman"/>
          <w:szCs w:val="20"/>
        </w:rPr>
        <w:t xml:space="preserve"> in agri-food sector</w:t>
      </w:r>
      <w:r w:rsidRPr="00A65AB4">
        <w:rPr>
          <w:rFonts w:cs="Times New Roman"/>
          <w:szCs w:val="20"/>
        </w:rPr>
        <w:t xml:space="preserve"> has shown that a flexible legal tool </w:t>
      </w:r>
      <w:r w:rsidR="00EA3289" w:rsidRPr="00A65AB4">
        <w:rPr>
          <w:rFonts w:cs="Times New Roman"/>
          <w:szCs w:val="20"/>
        </w:rPr>
        <w:t>contributes to shaping desirable business conduct and fostering fairer commercial relationship</w:t>
      </w:r>
      <w:r w:rsidR="00353FF4">
        <w:rPr>
          <w:rFonts w:cs="Times New Roman"/>
          <w:szCs w:val="20"/>
        </w:rPr>
        <w:t>s</w:t>
      </w:r>
      <w:r w:rsidRPr="00A65AB4">
        <w:rPr>
          <w:rFonts w:cs="Times New Roman"/>
          <w:szCs w:val="20"/>
        </w:rPr>
        <w:t xml:space="preserve">. However, the reliance on open-textured concepts such as </w:t>
      </w:r>
      <w:r w:rsidR="002968D3" w:rsidRPr="00A65AB4">
        <w:rPr>
          <w:rFonts w:cs="Times New Roman"/>
          <w:szCs w:val="20"/>
        </w:rPr>
        <w:t xml:space="preserve">those found in the Act on Counteracting the Unfair Use of Contractual Advantage in Trade in Agricultural and Food Products can </w:t>
      </w:r>
      <w:r w:rsidRPr="00A65AB4">
        <w:rPr>
          <w:rFonts w:cs="Times New Roman"/>
          <w:szCs w:val="20"/>
        </w:rPr>
        <w:t>introduce</w:t>
      </w:r>
      <w:r w:rsidR="00C32444" w:rsidRPr="00A65AB4">
        <w:rPr>
          <w:rFonts w:cs="Times New Roman"/>
          <w:szCs w:val="20"/>
        </w:rPr>
        <w:t xml:space="preserve"> a degree of</w:t>
      </w:r>
      <w:r w:rsidRPr="00A65AB4">
        <w:rPr>
          <w:rFonts w:cs="Times New Roman"/>
          <w:szCs w:val="20"/>
        </w:rPr>
        <w:t xml:space="preserve"> legal uncertainty </w:t>
      </w:r>
      <w:r w:rsidR="0012153F" w:rsidRPr="00A65AB4">
        <w:rPr>
          <w:rFonts w:cs="Times New Roman"/>
          <w:szCs w:val="20"/>
        </w:rPr>
        <w:t xml:space="preserve">for businesses. </w:t>
      </w:r>
      <w:r w:rsidR="00C32444" w:rsidRPr="00A65AB4">
        <w:rPr>
          <w:rFonts w:cs="Times New Roman"/>
          <w:szCs w:val="20"/>
          <w:lang w:val="en-US"/>
        </w:rPr>
        <w:t xml:space="preserve">Moreover, decisions based on general clauses require a high standard of justification to withstand judicial scrutiny and thus become </w:t>
      </w:r>
      <w:r w:rsidR="00FA3754" w:rsidRPr="00A65AB4">
        <w:rPr>
          <w:rFonts w:cs="Times New Roman"/>
          <w:szCs w:val="20"/>
          <w:lang w:val="en-US"/>
        </w:rPr>
        <w:t>a market standard</w:t>
      </w:r>
      <w:r w:rsidR="00C32444" w:rsidRPr="00A65AB4">
        <w:rPr>
          <w:rFonts w:cs="Times New Roman"/>
          <w:szCs w:val="20"/>
          <w:lang w:val="en-US"/>
        </w:rPr>
        <w:t>.</w:t>
      </w:r>
    </w:p>
    <w:p w14:paraId="5C1312F7" w14:textId="77777777" w:rsidR="00D87BA3" w:rsidRDefault="00B94CF1" w:rsidP="00193E33">
      <w:pPr>
        <w:rPr>
          <w:rFonts w:cs="Times New Roman"/>
          <w:szCs w:val="20"/>
        </w:rPr>
      </w:pPr>
      <w:r w:rsidRPr="00A65AB4">
        <w:rPr>
          <w:rFonts w:cs="Times New Roman"/>
          <w:szCs w:val="20"/>
          <w:lang w:val="en-US"/>
        </w:rPr>
        <w:t>Were similar mechanisms to be adopted in another business sectors</w:t>
      </w:r>
      <w:r w:rsidR="009A2A44" w:rsidRPr="00A65AB4">
        <w:rPr>
          <w:rFonts w:cs="Times New Roman"/>
          <w:szCs w:val="20"/>
          <w:lang w:val="en-US"/>
        </w:rPr>
        <w:t xml:space="preserve">, two different approaches could be done. First a </w:t>
      </w:r>
      <w:r w:rsidR="009A2A44" w:rsidRPr="00D87BA3">
        <w:rPr>
          <w:rFonts w:cs="Times New Roman"/>
          <w:szCs w:val="20"/>
          <w:lang w:val="en-US"/>
        </w:rPr>
        <w:t>precise, case-by-case approach</w:t>
      </w:r>
      <w:r w:rsidR="0050073F" w:rsidRPr="00D87BA3">
        <w:rPr>
          <w:rFonts w:cs="Times New Roman"/>
          <w:szCs w:val="20"/>
          <w:lang w:val="en-US"/>
        </w:rPr>
        <w:t xml:space="preserve"> of a supervisory character </w:t>
      </w:r>
      <w:r w:rsidR="009A2A44" w:rsidRPr="00D87BA3">
        <w:rPr>
          <w:rFonts w:cs="Times New Roman"/>
          <w:szCs w:val="20"/>
          <w:lang w:val="en-US"/>
        </w:rPr>
        <w:t xml:space="preserve">with clearly defined </w:t>
      </w:r>
      <w:r w:rsidR="009A2A44" w:rsidRPr="00D87BA3">
        <w:rPr>
          <w:rFonts w:cs="Times New Roman"/>
          <w:szCs w:val="20"/>
        </w:rPr>
        <w:t xml:space="preserve">criteria for assessing relative market power and practices that are prohibited. </w:t>
      </w:r>
      <w:r w:rsidR="002243E3" w:rsidRPr="00D87BA3">
        <w:rPr>
          <w:rFonts w:cs="Times New Roman"/>
          <w:szCs w:val="20"/>
        </w:rPr>
        <w:t xml:space="preserve">This would bring more legal certainty for stakeholders but less </w:t>
      </w:r>
      <w:r w:rsidR="00844E50" w:rsidRPr="00D87BA3">
        <w:rPr>
          <w:rFonts w:cs="Times New Roman"/>
          <w:szCs w:val="20"/>
        </w:rPr>
        <w:t xml:space="preserve">flexibility for the competent bodies to impose business standards. </w:t>
      </w:r>
      <w:r w:rsidR="00FF6FC9" w:rsidRPr="00D87BA3">
        <w:rPr>
          <w:rFonts w:cs="Times New Roman"/>
          <w:szCs w:val="20"/>
        </w:rPr>
        <w:t>Second</w:t>
      </w:r>
      <w:r w:rsidR="00844E50" w:rsidRPr="00D87BA3">
        <w:rPr>
          <w:rFonts w:cs="Times New Roman"/>
          <w:szCs w:val="20"/>
        </w:rPr>
        <w:t>,</w:t>
      </w:r>
      <w:r w:rsidR="00FF6FC9" w:rsidRPr="00D87BA3">
        <w:rPr>
          <w:rFonts w:cs="Times New Roman"/>
          <w:szCs w:val="20"/>
        </w:rPr>
        <w:t xml:space="preserve"> a more</w:t>
      </w:r>
      <w:r w:rsidR="0050073F" w:rsidRPr="00D87BA3">
        <w:rPr>
          <w:rFonts w:cs="Times New Roman"/>
          <w:szCs w:val="20"/>
        </w:rPr>
        <w:t xml:space="preserve"> regulatory,</w:t>
      </w:r>
      <w:r w:rsidR="00FF6FC9" w:rsidRPr="00D87BA3">
        <w:rPr>
          <w:rFonts w:cs="Times New Roman"/>
          <w:szCs w:val="20"/>
        </w:rPr>
        <w:t xml:space="preserve"> open-ended approach </w:t>
      </w:r>
      <w:r w:rsidR="002243E3" w:rsidRPr="00D87BA3">
        <w:rPr>
          <w:rFonts w:cs="Times New Roman"/>
          <w:szCs w:val="20"/>
        </w:rPr>
        <w:t>based on general criteria</w:t>
      </w:r>
      <w:r w:rsidR="00844E50" w:rsidRPr="00D87BA3">
        <w:rPr>
          <w:rFonts w:cs="Times New Roman"/>
          <w:szCs w:val="20"/>
        </w:rPr>
        <w:t xml:space="preserve"> </w:t>
      </w:r>
      <w:r w:rsidR="0050073F" w:rsidRPr="00D87BA3">
        <w:rPr>
          <w:rFonts w:cs="Times New Roman"/>
          <w:szCs w:val="20"/>
        </w:rPr>
        <w:t>–</w:t>
      </w:r>
      <w:r w:rsidR="00844E50" w:rsidRPr="00D87BA3">
        <w:rPr>
          <w:rFonts w:cs="Times New Roman"/>
          <w:szCs w:val="20"/>
        </w:rPr>
        <w:t xml:space="preserve"> </w:t>
      </w:r>
      <w:r w:rsidR="0050073F" w:rsidRPr="00D87BA3">
        <w:rPr>
          <w:rFonts w:cs="Times New Roman"/>
          <w:szCs w:val="20"/>
        </w:rPr>
        <w:t xml:space="preserve">giving more flexibility to the authorities but at the same time requiring longer time to </w:t>
      </w:r>
      <w:r w:rsidR="00655C21" w:rsidRPr="00D87BA3">
        <w:rPr>
          <w:rFonts w:cs="Times New Roman"/>
          <w:szCs w:val="20"/>
        </w:rPr>
        <w:t>establish enforceable standards through judicial confirmation of enforcement practices.</w:t>
      </w:r>
      <w:r w:rsidR="00975259" w:rsidRPr="00D87BA3">
        <w:rPr>
          <w:rFonts w:cs="Times New Roman"/>
          <w:szCs w:val="20"/>
        </w:rPr>
        <w:t xml:space="preserve"> In this context, it is worth noting that</w:t>
      </w:r>
      <w:r w:rsidR="00471E55" w:rsidRPr="00D87BA3">
        <w:rPr>
          <w:rFonts w:cs="Times New Roman"/>
          <w:szCs w:val="20"/>
        </w:rPr>
        <w:t xml:space="preserve"> a robust enforcement of</w:t>
      </w:r>
      <w:r w:rsidR="00A83251" w:rsidRPr="00D87BA3">
        <w:rPr>
          <w:rFonts w:cs="Times New Roman"/>
          <w:szCs w:val="20"/>
        </w:rPr>
        <w:t xml:space="preserve"> the</w:t>
      </w:r>
      <w:r w:rsidR="00471E55" w:rsidRPr="00D87BA3">
        <w:rPr>
          <w:rFonts w:cs="Times New Roman"/>
          <w:szCs w:val="20"/>
        </w:rPr>
        <w:t xml:space="preserve"> rules </w:t>
      </w:r>
      <w:r w:rsidR="00D55B78" w:rsidRPr="00D87BA3">
        <w:rPr>
          <w:rFonts w:cs="Times New Roman"/>
          <w:szCs w:val="20"/>
        </w:rPr>
        <w:t>can also benefit</w:t>
      </w:r>
      <w:r w:rsidR="00975259" w:rsidRPr="00D87BA3">
        <w:rPr>
          <w:rFonts w:cs="Times New Roman"/>
          <w:szCs w:val="20"/>
        </w:rPr>
        <w:t xml:space="preserve"> business stakeholders</w:t>
      </w:r>
      <w:r w:rsidR="00471E55" w:rsidRPr="00D87BA3">
        <w:rPr>
          <w:rFonts w:cs="Times New Roman"/>
          <w:szCs w:val="20"/>
        </w:rPr>
        <w:t xml:space="preserve">, but only if it is done </w:t>
      </w:r>
      <w:r w:rsidR="00D55B78" w:rsidRPr="00D87BA3">
        <w:rPr>
          <w:rFonts w:cs="Times New Roman"/>
          <w:szCs w:val="20"/>
        </w:rPr>
        <w:t>swiftly and in an uniform manner</w:t>
      </w:r>
      <w:r w:rsidR="001B55AA" w:rsidRPr="00D87BA3">
        <w:rPr>
          <w:rFonts w:cs="Times New Roman"/>
          <w:szCs w:val="20"/>
        </w:rPr>
        <w:t xml:space="preserve">. </w:t>
      </w:r>
      <w:r w:rsidR="00D87BA3" w:rsidRPr="00D87BA3">
        <w:rPr>
          <w:rFonts w:cs="Times New Roman"/>
          <w:szCs w:val="20"/>
        </w:rPr>
        <w:t>Failure to penalize certain infringements may lead to unfair competition, where some undertakings gain an advantage by breaking the law without consequences, while their law</w:t>
      </w:r>
      <w:r w:rsidR="00D87BA3">
        <w:rPr>
          <w:rFonts w:cs="Times New Roman"/>
          <w:szCs w:val="20"/>
        </w:rPr>
        <w:t>-</w:t>
      </w:r>
      <w:r w:rsidR="00D87BA3" w:rsidRPr="00D87BA3">
        <w:rPr>
          <w:rFonts w:cs="Times New Roman"/>
          <w:szCs w:val="20"/>
        </w:rPr>
        <w:t>abiding competitors are left at a disadvantage</w:t>
      </w:r>
      <w:r w:rsidR="00D87BA3">
        <w:rPr>
          <w:rFonts w:cs="Times New Roman"/>
          <w:szCs w:val="20"/>
        </w:rPr>
        <w:t xml:space="preserve">. </w:t>
      </w:r>
    </w:p>
    <w:p w14:paraId="1F6D175B" w14:textId="3347945A" w:rsidR="00A23204" w:rsidRPr="00A65AB4" w:rsidRDefault="00494120" w:rsidP="00193E33">
      <w:pPr>
        <w:rPr>
          <w:rFonts w:cs="Times New Roman"/>
          <w:szCs w:val="20"/>
          <w:lang w:val="en-US"/>
        </w:rPr>
      </w:pPr>
      <w:r w:rsidRPr="00A65AB4">
        <w:rPr>
          <w:rFonts w:cs="Times New Roman"/>
          <w:szCs w:val="20"/>
          <w:lang w:val="en-US"/>
        </w:rPr>
        <w:t xml:space="preserve">Regarding the extension of rules </w:t>
      </w:r>
      <w:r w:rsidR="00655C21" w:rsidRPr="00A65AB4">
        <w:rPr>
          <w:rFonts w:cs="Times New Roman"/>
          <w:szCs w:val="20"/>
          <w:lang w:val="en-US"/>
        </w:rPr>
        <w:t xml:space="preserve">such us those </w:t>
      </w:r>
      <w:r w:rsidRPr="00A65AB4">
        <w:rPr>
          <w:rFonts w:cs="Times New Roman"/>
          <w:szCs w:val="20"/>
          <w:lang w:val="en-US"/>
        </w:rPr>
        <w:t>on combating unfair use of contractual advantage</w:t>
      </w:r>
      <w:r w:rsidR="007922D8" w:rsidRPr="00A65AB4">
        <w:rPr>
          <w:rFonts w:cs="Times New Roman"/>
          <w:szCs w:val="20"/>
          <w:lang w:val="en-US"/>
        </w:rPr>
        <w:t xml:space="preserve"> in agri-food industry</w:t>
      </w:r>
      <w:r w:rsidRPr="00A65AB4">
        <w:rPr>
          <w:rFonts w:cs="Times New Roman"/>
          <w:szCs w:val="20"/>
          <w:lang w:val="en-US"/>
        </w:rPr>
        <w:t xml:space="preserve"> to other market segments</w:t>
      </w:r>
      <w:r w:rsidR="00655C21" w:rsidRPr="00A65AB4">
        <w:rPr>
          <w:rFonts w:cs="Times New Roman"/>
          <w:szCs w:val="20"/>
          <w:lang w:val="en-US"/>
        </w:rPr>
        <w:t xml:space="preserve"> in Poland</w:t>
      </w:r>
      <w:r w:rsidRPr="00A65AB4">
        <w:rPr>
          <w:rFonts w:cs="Times New Roman"/>
          <w:szCs w:val="20"/>
          <w:lang w:val="en-US"/>
        </w:rPr>
        <w:t xml:space="preserve">, there is currently no information indicating ongoing legislative work in this area. However, the creation of regulations that would allow for sector-specific intervention based on abuse of relative market power would likely enable the authority to expand its enforcement activities beyond the agri-food sector. Over the past 5-10 years, there has been a significant decline in the number of "classic" dominance cases pursued by the President of </w:t>
      </w:r>
      <w:proofErr w:type="spellStart"/>
      <w:r w:rsidRPr="00A65AB4">
        <w:rPr>
          <w:rFonts w:cs="Times New Roman"/>
          <w:szCs w:val="20"/>
          <w:lang w:val="en-US"/>
        </w:rPr>
        <w:t>UOKiK</w:t>
      </w:r>
      <w:proofErr w:type="spellEnd"/>
      <w:r w:rsidRPr="00A65AB4">
        <w:rPr>
          <w:rFonts w:cs="Times New Roman"/>
          <w:szCs w:val="20"/>
          <w:lang w:val="en-US"/>
        </w:rPr>
        <w:t>. Challenging the largest market players based on abuse of dominance rules is a difficult task requiring substantial resources that could be deployed elsewhere.</w:t>
      </w:r>
      <w:r w:rsidR="002710BA" w:rsidRPr="00A65AB4">
        <w:rPr>
          <w:rFonts w:cs="Times New Roman"/>
          <w:szCs w:val="20"/>
          <w:lang w:val="en-US"/>
        </w:rPr>
        <w:t xml:space="preserve"> </w:t>
      </w:r>
    </w:p>
    <w:p w14:paraId="13F6E069" w14:textId="2238863E" w:rsidR="00C3211D" w:rsidRDefault="003038AB" w:rsidP="00193E33">
      <w:pPr>
        <w:rPr>
          <w:rFonts w:cs="Times New Roman"/>
          <w:szCs w:val="20"/>
          <w:lang w:val="en-US"/>
        </w:rPr>
      </w:pPr>
      <w:r w:rsidRPr="00A65AB4">
        <w:rPr>
          <w:rFonts w:cs="Times New Roman"/>
          <w:szCs w:val="20"/>
          <w:lang w:val="en-US"/>
        </w:rPr>
        <w:t>Looking more broadly, t</w:t>
      </w:r>
      <w:r w:rsidR="00FE45F4" w:rsidRPr="00A65AB4">
        <w:rPr>
          <w:rFonts w:cs="Times New Roman"/>
          <w:szCs w:val="20"/>
          <w:lang w:val="en-US"/>
        </w:rPr>
        <w:t>he universal creation of a legal framework for</w:t>
      </w:r>
      <w:r w:rsidR="00FE45F4" w:rsidRPr="00A65AB4">
        <w:rPr>
          <w:rFonts w:cs="Times New Roman"/>
          <w:szCs w:val="20"/>
        </w:rPr>
        <w:t xml:space="preserve"> targeting the abuse of economic dependence or relative market power across the EU</w:t>
      </w:r>
      <w:r w:rsidR="00FE45F4" w:rsidRPr="00A65AB4">
        <w:rPr>
          <w:rFonts w:cs="Times New Roman"/>
          <w:szCs w:val="20"/>
          <w:lang w:val="en-US"/>
        </w:rPr>
        <w:t xml:space="preserve"> </w:t>
      </w:r>
      <w:r w:rsidR="00C00DEF" w:rsidRPr="00A65AB4">
        <w:rPr>
          <w:rFonts w:cs="Times New Roman"/>
          <w:szCs w:val="20"/>
          <w:lang w:val="en-US"/>
        </w:rPr>
        <w:t xml:space="preserve">could foster subsidiarity between national competition authorities and the </w:t>
      </w:r>
      <w:r w:rsidR="00C00DEF" w:rsidRPr="00A65AB4">
        <w:rPr>
          <w:rFonts w:cs="Times New Roman"/>
          <w:szCs w:val="20"/>
          <w:lang w:val="en-US"/>
        </w:rPr>
        <w:lastRenderedPageBreak/>
        <w:t>European Commission</w:t>
      </w:r>
      <w:r w:rsidR="005051DA" w:rsidRPr="00A65AB4">
        <w:rPr>
          <w:rFonts w:cs="Times New Roman"/>
          <w:szCs w:val="20"/>
          <w:lang w:val="en-US"/>
        </w:rPr>
        <w:t>.</w:t>
      </w:r>
      <w:r w:rsidR="00B557B6" w:rsidRPr="00A65AB4">
        <w:t xml:space="preserve"> </w:t>
      </w:r>
      <w:r w:rsidR="00B557B6" w:rsidRPr="00A65AB4">
        <w:rPr>
          <w:rFonts w:cs="Times New Roman"/>
          <w:szCs w:val="20"/>
          <w:lang w:val="en-US"/>
        </w:rPr>
        <w:t>National authorities would handle cases of relative dominance, while in the area of classical dominance, they would focus on natural monopolies and those with a local dimension</w:t>
      </w:r>
      <w:r w:rsidR="005B22A4" w:rsidRPr="00A65AB4">
        <w:rPr>
          <w:rFonts w:cs="Times New Roman"/>
          <w:szCs w:val="20"/>
          <w:lang w:val="en-US"/>
        </w:rPr>
        <w:t xml:space="preserve">. </w:t>
      </w:r>
      <w:r w:rsidR="00B557B6" w:rsidRPr="00A65AB4">
        <w:rPr>
          <w:rFonts w:cs="Times New Roman"/>
          <w:szCs w:val="20"/>
          <w:lang w:val="en-US"/>
        </w:rPr>
        <w:t>The European Commission, with its greater resources, would be responsible for overseeing dominant players with a cross-border or global dimension</w:t>
      </w:r>
      <w:r w:rsidR="00D87BA3">
        <w:rPr>
          <w:rFonts w:cs="Times New Roman"/>
          <w:szCs w:val="20"/>
          <w:lang w:val="en-US"/>
        </w:rPr>
        <w:t>.</w:t>
      </w:r>
      <w:r w:rsidR="00BC660E">
        <w:rPr>
          <w:rFonts w:cs="Times New Roman"/>
          <w:szCs w:val="20"/>
          <w:lang w:val="en-US"/>
        </w:rPr>
        <w:t xml:space="preserve"> </w:t>
      </w:r>
    </w:p>
    <w:p w14:paraId="0B6E03EB" w14:textId="27BFA987" w:rsidR="001B4DA3" w:rsidRPr="00291CE7" w:rsidRDefault="001B4DA3" w:rsidP="001B4DA3">
      <w:pPr>
        <w:rPr>
          <w:rFonts w:cs="Times New Roman"/>
          <w:szCs w:val="20"/>
          <w:lang w:val="en-US"/>
        </w:rPr>
      </w:pPr>
      <w:r w:rsidRPr="00291CE7">
        <w:rPr>
          <w:rFonts w:cs="Times New Roman"/>
          <w:szCs w:val="20"/>
          <w:lang w:val="en-US"/>
        </w:rPr>
        <w:t>In this context, it is</w:t>
      </w:r>
      <w:r w:rsidR="00291CE7">
        <w:rPr>
          <w:rFonts w:cs="Times New Roman"/>
          <w:szCs w:val="20"/>
          <w:lang w:val="en-US"/>
        </w:rPr>
        <w:t xml:space="preserve"> also</w:t>
      </w:r>
      <w:r w:rsidRPr="00291CE7">
        <w:rPr>
          <w:rFonts w:cs="Times New Roman"/>
          <w:szCs w:val="20"/>
          <w:lang w:val="en-US"/>
        </w:rPr>
        <w:t xml:space="preserve"> desirable to strengthen cooperation between national competition authorities</w:t>
      </w:r>
      <w:r w:rsidR="00E51B9D">
        <w:rPr>
          <w:rFonts w:cs="Times New Roman"/>
          <w:szCs w:val="20"/>
          <w:lang w:val="en-US"/>
        </w:rPr>
        <w:t xml:space="preserve"> and European </w:t>
      </w:r>
      <w:proofErr w:type="spellStart"/>
      <w:r w:rsidR="00E51B9D">
        <w:rPr>
          <w:rFonts w:cs="Times New Roman"/>
          <w:szCs w:val="20"/>
          <w:lang w:val="en-US"/>
        </w:rPr>
        <w:t>Commisssion</w:t>
      </w:r>
      <w:proofErr w:type="spellEnd"/>
      <w:r w:rsidRPr="00291CE7">
        <w:rPr>
          <w:rFonts w:cs="Times New Roman"/>
          <w:szCs w:val="20"/>
          <w:lang w:val="en-US"/>
        </w:rPr>
        <w:t xml:space="preserve"> in the prevention of cross-border market abuses. It is not excluded that the final version of the new Regulation of the European Parliament and of the Council on cooperation between enforcement authorities responsible for the enforcement of Directive (EU) 2019/633 concerning unfair business-to-business commercial practices in the supply chain of agricultural and food products</w:t>
      </w:r>
      <w:r>
        <w:rPr>
          <w:rStyle w:val="Odwoanieprzypisudolnego"/>
          <w:rFonts w:cs="Times New Roman"/>
          <w:szCs w:val="20"/>
          <w:lang w:val="en-US"/>
        </w:rPr>
        <w:footnoteReference w:id="42"/>
      </w:r>
      <w:r w:rsidRPr="00291CE7">
        <w:rPr>
          <w:rFonts w:cs="Times New Roman"/>
          <w:szCs w:val="20"/>
          <w:lang w:val="en-US"/>
        </w:rPr>
        <w:t xml:space="preserve"> will contribute to this demand.</w:t>
      </w:r>
    </w:p>
    <w:p w14:paraId="0EAE8C4D" w14:textId="77777777" w:rsidR="001B4DA3" w:rsidRPr="00B557B6" w:rsidRDefault="001B4DA3" w:rsidP="00193E33">
      <w:pPr>
        <w:rPr>
          <w:rFonts w:cs="Times New Roman"/>
          <w:szCs w:val="20"/>
          <w:lang w:val="en-US"/>
        </w:rPr>
      </w:pPr>
    </w:p>
    <w:p w14:paraId="741163A4" w14:textId="2C0D85BE" w:rsidR="00193E33" w:rsidRPr="00A65AB4" w:rsidRDefault="00193E33" w:rsidP="00193E33">
      <w:pPr>
        <w:rPr>
          <w:rFonts w:cs="Times New Roman"/>
          <w:szCs w:val="20"/>
        </w:rPr>
      </w:pPr>
    </w:p>
    <w:sectPr w:rsidR="00193E33" w:rsidRPr="00A65A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8274D" w14:textId="77777777" w:rsidR="002A2908" w:rsidRDefault="002A2908" w:rsidP="000F5F47">
      <w:pPr>
        <w:spacing w:after="0" w:line="240" w:lineRule="auto"/>
      </w:pPr>
      <w:r>
        <w:separator/>
      </w:r>
    </w:p>
  </w:endnote>
  <w:endnote w:type="continuationSeparator" w:id="0">
    <w:p w14:paraId="7B5F7C6A" w14:textId="77777777" w:rsidR="002A2908" w:rsidRDefault="002A2908" w:rsidP="000F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3E35" w14:textId="77777777" w:rsidR="002A2908" w:rsidRDefault="002A2908" w:rsidP="000F5F47">
      <w:pPr>
        <w:spacing w:after="0" w:line="240" w:lineRule="auto"/>
      </w:pPr>
      <w:r>
        <w:separator/>
      </w:r>
    </w:p>
  </w:footnote>
  <w:footnote w:type="continuationSeparator" w:id="0">
    <w:p w14:paraId="7E92F361" w14:textId="77777777" w:rsidR="002A2908" w:rsidRDefault="002A2908" w:rsidP="000F5F47">
      <w:pPr>
        <w:spacing w:after="0" w:line="240" w:lineRule="auto"/>
      </w:pPr>
      <w:r>
        <w:continuationSeparator/>
      </w:r>
    </w:p>
  </w:footnote>
  <w:footnote w:id="1">
    <w:p w14:paraId="6D5FF919" w14:textId="5F4F93E8" w:rsidR="00BA02B7" w:rsidRPr="00BA02B7" w:rsidRDefault="00BA02B7">
      <w:pPr>
        <w:pStyle w:val="Tekstprzypisudolnego"/>
      </w:pPr>
      <w:r>
        <w:rPr>
          <w:rStyle w:val="Odwoanieprzypisudolnego"/>
        </w:rPr>
        <w:footnoteRef/>
      </w:r>
      <w:r>
        <w:t xml:space="preserve"> </w:t>
      </w:r>
      <w:r w:rsidR="00952B10" w:rsidRPr="00952B10">
        <w:t>Directive 2019/633 of the European Parliament and of the Council of 17 April 2019 on unfair trading practices in business-to-business relationships in the agricultural and food supply chain</w:t>
      </w:r>
      <w:r w:rsidR="001A046C">
        <w:t>,</w:t>
      </w:r>
      <w:r w:rsidR="001A046C" w:rsidRPr="001A046C">
        <w:t xml:space="preserve"> OJ </w:t>
      </w:r>
      <w:r w:rsidR="001A046C">
        <w:t xml:space="preserve">2019 </w:t>
      </w:r>
      <w:r w:rsidR="001A046C" w:rsidRPr="001A046C">
        <w:t>L 111, p. 59–72</w:t>
      </w:r>
      <w:r w:rsidR="00F81057">
        <w:t>, hereinafter the UTP Directive</w:t>
      </w:r>
      <w:r w:rsidR="001A046C">
        <w:t>.</w:t>
      </w:r>
    </w:p>
  </w:footnote>
  <w:footnote w:id="2">
    <w:p w14:paraId="03565006" w14:textId="5A6FDD98" w:rsidR="001A046C" w:rsidRPr="001A046C" w:rsidRDefault="001A046C">
      <w:pPr>
        <w:pStyle w:val="Tekstprzypisudolnego"/>
      </w:pPr>
      <w:r>
        <w:rPr>
          <w:rStyle w:val="Odwoanieprzypisudolnego"/>
        </w:rPr>
        <w:footnoteRef/>
      </w:r>
      <w:r>
        <w:t xml:space="preserve"> </w:t>
      </w:r>
      <w:r w:rsidRPr="00C14F0D">
        <w:rPr>
          <w:rFonts w:cs="Times New Roman"/>
        </w:rPr>
        <w:t xml:space="preserve">Act </w:t>
      </w:r>
      <w:r w:rsidR="004C60DB">
        <w:rPr>
          <w:rFonts w:cs="Times New Roman"/>
        </w:rPr>
        <w:t xml:space="preserve">of 17 November 2021 </w:t>
      </w:r>
      <w:r>
        <w:rPr>
          <w:rFonts w:cs="Times New Roman"/>
        </w:rPr>
        <w:t xml:space="preserve">on </w:t>
      </w:r>
      <w:r w:rsidRPr="00C14F0D">
        <w:rPr>
          <w:rFonts w:cs="Times New Roman"/>
        </w:rPr>
        <w:t>Counteracting the Unfair Use of Contractual Advantage in Trade in Agricultural and Food Products</w:t>
      </w:r>
      <w:r>
        <w:rPr>
          <w:rFonts w:cs="Times New Roman"/>
        </w:rPr>
        <w:t xml:space="preserve">, </w:t>
      </w:r>
      <w:r w:rsidRPr="00C14F0D">
        <w:rPr>
          <w:rFonts w:cs="Times New Roman"/>
        </w:rPr>
        <w:t>Journal of Laws of 2023, item 1773</w:t>
      </w:r>
      <w:r w:rsidR="004C60DB">
        <w:rPr>
          <w:rFonts w:cs="Times New Roman"/>
        </w:rPr>
        <w:t>.</w:t>
      </w:r>
    </w:p>
  </w:footnote>
  <w:footnote w:id="3">
    <w:p w14:paraId="1BF7EC8D" w14:textId="77777777" w:rsidR="00D01F67" w:rsidRPr="00F81057" w:rsidRDefault="00D01F67" w:rsidP="00D01F67">
      <w:pPr>
        <w:pStyle w:val="Tekstprzypisudolnego"/>
      </w:pPr>
      <w:r>
        <w:rPr>
          <w:rStyle w:val="Odwoanieprzypisudolnego"/>
        </w:rPr>
        <w:footnoteRef/>
      </w:r>
      <w:r>
        <w:t xml:space="preserve"> For an overview of the enforcement activities see annual reports of </w:t>
      </w:r>
      <w:proofErr w:type="spellStart"/>
      <w:r>
        <w:t>UOKiK</w:t>
      </w:r>
      <w:proofErr w:type="spellEnd"/>
      <w:r>
        <w:t xml:space="preserve">, available at </w:t>
      </w:r>
      <w:hyperlink r:id="rId1" w:history="1">
        <w:r w:rsidRPr="00020C2E">
          <w:rPr>
            <w:rStyle w:val="Hipercze"/>
          </w:rPr>
          <w:t>https://uokik.gov.pl/en/reports</w:t>
        </w:r>
      </w:hyperlink>
      <w:r>
        <w:t xml:space="preserve">. Accessed 10 July 2025. </w:t>
      </w:r>
    </w:p>
  </w:footnote>
  <w:footnote w:id="4">
    <w:p w14:paraId="4D450790" w14:textId="32D1B392" w:rsidR="00991023" w:rsidRPr="00991023" w:rsidRDefault="00991023">
      <w:pPr>
        <w:pStyle w:val="Tekstprzypisudolnego"/>
      </w:pPr>
      <w:r>
        <w:rPr>
          <w:rStyle w:val="Odwoanieprzypisudolnego"/>
        </w:rPr>
        <w:footnoteRef/>
      </w:r>
      <w:r>
        <w:t xml:space="preserve"> </w:t>
      </w:r>
      <w:r w:rsidR="00FB6577" w:rsidRPr="00FB6577">
        <w:t>Act of 16 February 2007 on Competition and Consumer Protection, Journal of Laws of 2024, item 1616, as amended by Journal of Laws of 2025, item 794</w:t>
      </w:r>
      <w:r w:rsidR="00EC4460">
        <w:t>, hereinafter the PCA</w:t>
      </w:r>
      <w:r w:rsidR="00FB6577">
        <w:t>.</w:t>
      </w:r>
    </w:p>
  </w:footnote>
  <w:footnote w:id="5">
    <w:p w14:paraId="3E10195C" w14:textId="1ED47D67" w:rsidR="00F82A5A" w:rsidRPr="00611F8C" w:rsidRDefault="00F82A5A">
      <w:pPr>
        <w:pStyle w:val="Tekstprzypisudolnego"/>
        <w:rPr>
          <w:lang w:val="pl-PL"/>
        </w:rPr>
      </w:pPr>
      <w:r>
        <w:rPr>
          <w:rStyle w:val="Odwoanieprzypisudolnego"/>
        </w:rPr>
        <w:footnoteRef/>
      </w:r>
      <w:r w:rsidRPr="00611F8C">
        <w:rPr>
          <w:lang w:val="pl-PL"/>
        </w:rPr>
        <w:t xml:space="preserve"> For a </w:t>
      </w:r>
      <w:proofErr w:type="spellStart"/>
      <w:r w:rsidRPr="00611F8C">
        <w:rPr>
          <w:lang w:val="pl-PL"/>
        </w:rPr>
        <w:t>comprehensive</w:t>
      </w:r>
      <w:proofErr w:type="spellEnd"/>
      <w:r w:rsidRPr="00611F8C">
        <w:rPr>
          <w:lang w:val="pl-PL"/>
        </w:rPr>
        <w:t xml:space="preserve"> </w:t>
      </w:r>
      <w:proofErr w:type="spellStart"/>
      <w:r w:rsidRPr="00611F8C">
        <w:rPr>
          <w:lang w:val="pl-PL"/>
        </w:rPr>
        <w:t>overview</w:t>
      </w:r>
      <w:proofErr w:type="spellEnd"/>
      <w:r w:rsidRPr="00611F8C">
        <w:rPr>
          <w:lang w:val="pl-PL"/>
        </w:rPr>
        <w:t xml:space="preserve"> of </w:t>
      </w:r>
      <w:proofErr w:type="spellStart"/>
      <w:r w:rsidRPr="00611F8C">
        <w:rPr>
          <w:lang w:val="pl-PL"/>
        </w:rPr>
        <w:t>Polish</w:t>
      </w:r>
      <w:proofErr w:type="spellEnd"/>
      <w:r w:rsidRPr="00611F8C">
        <w:rPr>
          <w:lang w:val="pl-PL"/>
        </w:rPr>
        <w:t xml:space="preserve"> law</w:t>
      </w:r>
      <w:r w:rsidR="00611F8C" w:rsidRPr="00611F8C">
        <w:rPr>
          <w:lang w:val="pl-PL"/>
        </w:rPr>
        <w:t xml:space="preserve"> </w:t>
      </w:r>
      <w:proofErr w:type="spellStart"/>
      <w:r w:rsidR="00611F8C" w:rsidRPr="00611F8C">
        <w:rPr>
          <w:lang w:val="pl-PL"/>
        </w:rPr>
        <w:t>see</w:t>
      </w:r>
      <w:proofErr w:type="spellEnd"/>
      <w:r w:rsidR="00611F8C" w:rsidRPr="00611F8C">
        <w:rPr>
          <w:lang w:val="pl-PL"/>
        </w:rPr>
        <w:t xml:space="preserve"> for </w:t>
      </w:r>
      <w:proofErr w:type="spellStart"/>
      <w:r w:rsidR="00611F8C" w:rsidRPr="00611F8C">
        <w:rPr>
          <w:lang w:val="pl-PL"/>
        </w:rPr>
        <w:t>example</w:t>
      </w:r>
      <w:proofErr w:type="spellEnd"/>
      <w:r w:rsidR="00611F8C" w:rsidRPr="00611F8C">
        <w:rPr>
          <w:lang w:val="pl-PL"/>
        </w:rPr>
        <w:t xml:space="preserve"> M. Knapp, Ochrona prawna przedsiębiorców w interesie publicznym przed nieuczciwym wykorzystywaniem przewagi kontraktowej, </w:t>
      </w:r>
      <w:r w:rsidR="00006ACA">
        <w:rPr>
          <w:lang w:val="pl-PL"/>
        </w:rPr>
        <w:t>C</w:t>
      </w:r>
      <w:r w:rsidR="0007552B">
        <w:rPr>
          <w:lang w:val="pl-PL"/>
        </w:rPr>
        <w:t>.</w:t>
      </w:r>
      <w:r w:rsidR="00006ACA">
        <w:rPr>
          <w:lang w:val="pl-PL"/>
        </w:rPr>
        <w:t>H</w:t>
      </w:r>
      <w:r w:rsidR="0007552B">
        <w:rPr>
          <w:lang w:val="pl-PL"/>
        </w:rPr>
        <w:t>. Beck 2021.</w:t>
      </w:r>
    </w:p>
  </w:footnote>
  <w:footnote w:id="6">
    <w:p w14:paraId="531A287E" w14:textId="0FA6D6BC" w:rsidR="006F2159" w:rsidRPr="006863CC" w:rsidRDefault="006F2159">
      <w:pPr>
        <w:pStyle w:val="Tekstprzypisudolnego"/>
        <w:rPr>
          <w:lang w:val="en-US"/>
        </w:rPr>
      </w:pPr>
      <w:r>
        <w:rPr>
          <w:rStyle w:val="Odwoanieprzypisudolnego"/>
        </w:rPr>
        <w:footnoteRef/>
      </w:r>
      <w:r w:rsidRPr="006863CC">
        <w:rPr>
          <w:lang w:val="pl-PL"/>
        </w:rPr>
        <w:t xml:space="preserve"> </w:t>
      </w:r>
      <w:r w:rsidR="00ED10A5">
        <w:rPr>
          <w:lang w:val="pl-PL"/>
        </w:rPr>
        <w:t xml:space="preserve">W. </w:t>
      </w:r>
      <w:proofErr w:type="spellStart"/>
      <w:r w:rsidR="00EB1DF0" w:rsidRPr="006863CC">
        <w:rPr>
          <w:lang w:val="pl-PL"/>
        </w:rPr>
        <w:t>Herbet-Homenda</w:t>
      </w:r>
      <w:proofErr w:type="spellEnd"/>
      <w:r w:rsidR="00EB1DF0" w:rsidRPr="006863CC">
        <w:rPr>
          <w:lang w:val="pl-PL"/>
        </w:rPr>
        <w:t>,</w:t>
      </w:r>
      <w:r w:rsidR="00EB1DF0">
        <w:rPr>
          <w:lang w:val="pl-PL"/>
        </w:rPr>
        <w:t xml:space="preserve"> </w:t>
      </w:r>
      <w:r w:rsidR="00B03213" w:rsidRPr="006863CC">
        <w:rPr>
          <w:lang w:val="pl-PL"/>
        </w:rPr>
        <w:t xml:space="preserve">Przeciwdziałanie nieuczciwemu wykorzystywaniu przewagi kontraktowej w obrocie produktami rolnymi i spożywczymi. </w:t>
      </w:r>
      <w:r w:rsidR="00B03213" w:rsidRPr="006863CC">
        <w:rPr>
          <w:lang w:val="en-US"/>
        </w:rPr>
        <w:t xml:space="preserve">Analiza </w:t>
      </w:r>
      <w:proofErr w:type="spellStart"/>
      <w:r w:rsidR="00B03213" w:rsidRPr="006863CC">
        <w:rPr>
          <w:lang w:val="en-US"/>
        </w:rPr>
        <w:t>głównych</w:t>
      </w:r>
      <w:proofErr w:type="spellEnd"/>
      <w:r w:rsidR="00B03213" w:rsidRPr="006863CC">
        <w:rPr>
          <w:lang w:val="en-US"/>
        </w:rPr>
        <w:t xml:space="preserve"> </w:t>
      </w:r>
      <w:proofErr w:type="spellStart"/>
      <w:r w:rsidR="00B03213" w:rsidRPr="006863CC">
        <w:rPr>
          <w:lang w:val="en-US"/>
        </w:rPr>
        <w:t>założeń</w:t>
      </w:r>
      <w:proofErr w:type="spellEnd"/>
      <w:r w:rsidR="00B03213" w:rsidRPr="006863CC">
        <w:rPr>
          <w:lang w:val="en-US"/>
        </w:rPr>
        <w:t xml:space="preserve"> </w:t>
      </w:r>
      <w:proofErr w:type="spellStart"/>
      <w:r w:rsidR="00B03213" w:rsidRPr="006863CC">
        <w:rPr>
          <w:lang w:val="en-US"/>
        </w:rPr>
        <w:t>ustawy</w:t>
      </w:r>
      <w:proofErr w:type="spellEnd"/>
      <w:r w:rsidR="00B03213" w:rsidRPr="006863CC">
        <w:rPr>
          <w:lang w:val="en-US"/>
        </w:rPr>
        <w:t xml:space="preserve"> z 17.11.2021 r.</w:t>
      </w:r>
      <w:r w:rsidR="00EB1DF0" w:rsidRPr="006863CC">
        <w:rPr>
          <w:lang w:val="en-US"/>
        </w:rPr>
        <w:t>,</w:t>
      </w:r>
      <w:r w:rsidR="00B03213" w:rsidRPr="006863CC">
        <w:rPr>
          <w:lang w:val="en-US"/>
        </w:rPr>
        <w:t xml:space="preserve"> Monitor </w:t>
      </w:r>
      <w:proofErr w:type="spellStart"/>
      <w:r w:rsidR="00B03213" w:rsidRPr="006863CC">
        <w:rPr>
          <w:lang w:val="en-US"/>
        </w:rPr>
        <w:t>Prawniczy</w:t>
      </w:r>
      <w:proofErr w:type="spellEnd"/>
      <w:r w:rsidR="00B03213" w:rsidRPr="006863CC">
        <w:rPr>
          <w:lang w:val="en-US"/>
        </w:rPr>
        <w:t>, (4/2022)</w:t>
      </w:r>
      <w:r w:rsidR="00872132">
        <w:rPr>
          <w:lang w:val="en-US"/>
        </w:rPr>
        <w:t xml:space="preserve">. </w:t>
      </w:r>
    </w:p>
  </w:footnote>
  <w:footnote w:id="7">
    <w:p w14:paraId="7665DE55" w14:textId="5D1A888A" w:rsidR="00B45AEE" w:rsidRPr="00B45AEE" w:rsidRDefault="00B45AEE">
      <w:pPr>
        <w:pStyle w:val="Tekstprzypisudolnego"/>
      </w:pPr>
      <w:r>
        <w:rPr>
          <w:rStyle w:val="Odwoanieprzypisudolnego"/>
        </w:rPr>
        <w:footnoteRef/>
      </w:r>
      <w:r>
        <w:t xml:space="preserve"> See article </w:t>
      </w:r>
      <w:r w:rsidR="001C6955">
        <w:t xml:space="preserve">8(1)(4) </w:t>
      </w:r>
      <w:r w:rsidR="001C6955" w:rsidRPr="00C14F0D">
        <w:rPr>
          <w:rFonts w:cs="Times New Roman"/>
        </w:rPr>
        <w:t xml:space="preserve">Act </w:t>
      </w:r>
      <w:r w:rsidR="001C6955">
        <w:rPr>
          <w:rFonts w:cs="Times New Roman"/>
        </w:rPr>
        <w:t xml:space="preserve">of 17 November 2021 on </w:t>
      </w:r>
      <w:r w:rsidR="001C6955" w:rsidRPr="00C14F0D">
        <w:rPr>
          <w:rFonts w:cs="Times New Roman"/>
        </w:rPr>
        <w:t>Counteracting the Unfair Use of Contractual Advantage in Trade in Agricultural and Food Products</w:t>
      </w:r>
      <w:r w:rsidR="001C6955">
        <w:rPr>
          <w:rFonts w:cs="Times New Roman"/>
        </w:rPr>
        <w:t xml:space="preserve">, </w:t>
      </w:r>
      <w:r w:rsidR="001C6955" w:rsidRPr="00C14F0D">
        <w:rPr>
          <w:rFonts w:cs="Times New Roman"/>
        </w:rPr>
        <w:t>Journal of Laws of 2023, item 1773</w:t>
      </w:r>
      <w:r w:rsidR="001C6955">
        <w:rPr>
          <w:rFonts w:cs="Times New Roman"/>
        </w:rPr>
        <w:t>.</w:t>
      </w:r>
    </w:p>
  </w:footnote>
  <w:footnote w:id="8">
    <w:p w14:paraId="606F7981" w14:textId="007842AB" w:rsidR="001B22FA" w:rsidRPr="001B22FA" w:rsidRDefault="001B22FA">
      <w:pPr>
        <w:pStyle w:val="Tekstprzypisudolnego"/>
      </w:pPr>
      <w:r>
        <w:rPr>
          <w:rStyle w:val="Odwoanieprzypisudolnego"/>
        </w:rPr>
        <w:footnoteRef/>
      </w:r>
      <w:r>
        <w:t xml:space="preserve"> </w:t>
      </w:r>
      <w:r w:rsidR="008B39A7">
        <w:t xml:space="preserve">For draft legislation and subsequent documents on the legislative process see: </w:t>
      </w:r>
      <w:hyperlink r:id="rId2" w:anchor="12764977" w:history="1">
        <w:r w:rsidR="008B39A7" w:rsidRPr="00020C2E">
          <w:rPr>
            <w:rStyle w:val="Hipercze"/>
          </w:rPr>
          <w:t>https://legislacja.rcl.gov.pl/projekt/12343513/katalog/12764977#12764977</w:t>
        </w:r>
      </w:hyperlink>
      <w:r w:rsidR="008B39A7">
        <w:t xml:space="preserve"> and </w:t>
      </w:r>
      <w:hyperlink r:id="rId3" w:history="1">
        <w:r w:rsidR="008B5377" w:rsidRPr="00020C2E">
          <w:rPr>
            <w:rStyle w:val="Hipercze"/>
          </w:rPr>
          <w:t>https://www.sejm.gov.pl/sejm9.nsf/agent.xsp?symbol=RPL&amp;Id=RM-0610-92-21</w:t>
        </w:r>
      </w:hyperlink>
      <w:r w:rsidR="008B5377">
        <w:t xml:space="preserve">. Accessed 10 July 2025. </w:t>
      </w:r>
    </w:p>
  </w:footnote>
  <w:footnote w:id="9">
    <w:p w14:paraId="52568A3A" w14:textId="7C74129D" w:rsidR="008B5377" w:rsidRPr="006863CC" w:rsidRDefault="008B5377">
      <w:pPr>
        <w:pStyle w:val="Tekstprzypisudolnego"/>
        <w:rPr>
          <w:lang w:val="pl-PL"/>
        </w:rPr>
      </w:pPr>
      <w:r>
        <w:rPr>
          <w:rStyle w:val="Odwoanieprzypisudolnego"/>
        </w:rPr>
        <w:footnoteRef/>
      </w:r>
      <w:r>
        <w:t xml:space="preserve"> </w:t>
      </w:r>
      <w:r w:rsidR="00EF3E33">
        <w:t xml:space="preserve">Decision of the President of </w:t>
      </w:r>
      <w:proofErr w:type="spellStart"/>
      <w:r w:rsidR="00EF3E33">
        <w:t>UOKiK</w:t>
      </w:r>
      <w:proofErr w:type="spellEnd"/>
      <w:r w:rsidR="00EF3E33">
        <w:t xml:space="preserve"> from 11 December 2020, no. </w:t>
      </w:r>
      <w:r w:rsidR="00386540" w:rsidRPr="006863CC">
        <w:rPr>
          <w:lang w:val="pl-PL"/>
        </w:rPr>
        <w:t>RBG - 13/2020.</w:t>
      </w:r>
    </w:p>
  </w:footnote>
  <w:footnote w:id="10">
    <w:p w14:paraId="61CFB49D" w14:textId="746830A1" w:rsidR="00ED57D0" w:rsidRPr="006863CC" w:rsidRDefault="00ED57D0">
      <w:pPr>
        <w:pStyle w:val="Tekstprzypisudolnego"/>
        <w:rPr>
          <w:lang w:val="pl-PL"/>
        </w:rPr>
      </w:pPr>
      <w:r>
        <w:rPr>
          <w:rStyle w:val="Odwoanieprzypisudolnego"/>
        </w:rPr>
        <w:footnoteRef/>
      </w:r>
      <w:r w:rsidRPr="006863CC">
        <w:rPr>
          <w:lang w:val="pl-PL"/>
        </w:rPr>
        <w:t xml:space="preserve"> </w:t>
      </w:r>
      <w:r w:rsidR="0010069F" w:rsidRPr="00F97679">
        <w:rPr>
          <w:lang w:val="pl-PL"/>
        </w:rPr>
        <w:t xml:space="preserve">K. </w:t>
      </w:r>
      <w:proofErr w:type="spellStart"/>
      <w:r w:rsidR="0010069F" w:rsidRPr="00F97679">
        <w:rPr>
          <w:lang w:val="pl-PL"/>
        </w:rPr>
        <w:t>Racka</w:t>
      </w:r>
      <w:proofErr w:type="spellEnd"/>
      <w:r w:rsidR="0010069F" w:rsidRPr="00F97679">
        <w:rPr>
          <w:lang w:val="pl-PL"/>
        </w:rPr>
        <w:t xml:space="preserve">, </w:t>
      </w:r>
      <w:r w:rsidR="00B75775" w:rsidRPr="00F97679">
        <w:rPr>
          <w:lang w:val="pl-PL"/>
        </w:rPr>
        <w:t xml:space="preserve">W. </w:t>
      </w:r>
      <w:proofErr w:type="spellStart"/>
      <w:r w:rsidR="00B75775" w:rsidRPr="00F97679">
        <w:rPr>
          <w:lang w:val="pl-PL"/>
        </w:rPr>
        <w:t>Herbet-Homenda</w:t>
      </w:r>
      <w:proofErr w:type="spellEnd"/>
      <w:r w:rsidR="00B75775" w:rsidRPr="00F97679">
        <w:rPr>
          <w:lang w:val="pl-PL"/>
        </w:rPr>
        <w:t xml:space="preserve">, W. Dorabialski, </w:t>
      </w:r>
      <w:r w:rsidR="0010069F" w:rsidRPr="006863CC">
        <w:rPr>
          <w:lang w:val="pl-PL"/>
        </w:rPr>
        <w:t>Rabaty retrospektywne w prawie antymonopolowym i przepisach ustawy o przeciwdziałaniu nieuczciwemu wykorzystywaniu przewagi kontraktowej</w:t>
      </w:r>
      <w:r w:rsidR="00B75775" w:rsidRPr="00F97679">
        <w:rPr>
          <w:lang w:val="pl-PL"/>
        </w:rPr>
        <w:t xml:space="preserve">, </w:t>
      </w:r>
      <w:r w:rsidR="00FF45A7" w:rsidRPr="006863CC">
        <w:rPr>
          <w:lang w:val="pl-PL"/>
        </w:rPr>
        <w:t>internetowy Kwartalnik Antymonopolowy i Regulacyjny 2022, nr 4(11)</w:t>
      </w:r>
      <w:r w:rsidR="00FF45A7" w:rsidRPr="00F97679">
        <w:rPr>
          <w:lang w:val="pl-PL"/>
        </w:rPr>
        <w:t xml:space="preserve">, pp. </w:t>
      </w:r>
      <w:r w:rsidR="00BF5DAC" w:rsidRPr="00F97679">
        <w:rPr>
          <w:lang w:val="pl-PL"/>
        </w:rPr>
        <w:t>93-94</w:t>
      </w:r>
      <w:r w:rsidR="00BF5DAC">
        <w:rPr>
          <w:lang w:val="pl-PL"/>
        </w:rPr>
        <w:t>.</w:t>
      </w:r>
      <w:r w:rsidR="001D6863">
        <w:rPr>
          <w:lang w:val="pl-PL"/>
        </w:rPr>
        <w:t xml:space="preserve"> </w:t>
      </w:r>
      <w:r w:rsidR="00BF5DAC">
        <w:rPr>
          <w:lang w:val="pl-PL"/>
        </w:rPr>
        <w:t xml:space="preserve"> </w:t>
      </w:r>
    </w:p>
  </w:footnote>
  <w:footnote w:id="11">
    <w:p w14:paraId="5ED4E593" w14:textId="19F75CDC" w:rsidR="00E266B1" w:rsidRPr="00E266B1" w:rsidRDefault="00E266B1">
      <w:pPr>
        <w:pStyle w:val="Tekstprzypisudolnego"/>
      </w:pPr>
      <w:r>
        <w:rPr>
          <w:rStyle w:val="Odwoanieprzypisudolnego"/>
        </w:rPr>
        <w:footnoteRef/>
      </w:r>
      <w:r>
        <w:t xml:space="preserve"> See article </w:t>
      </w:r>
      <w:r w:rsidR="0040268E">
        <w:t>6</w:t>
      </w:r>
      <w:r>
        <w:t xml:space="preserve"> </w:t>
      </w:r>
      <w:r w:rsidRPr="00C14F0D">
        <w:rPr>
          <w:rFonts w:cs="Times New Roman"/>
        </w:rPr>
        <w:t xml:space="preserve">Act </w:t>
      </w:r>
      <w:r>
        <w:rPr>
          <w:rFonts w:cs="Times New Roman"/>
        </w:rPr>
        <w:t xml:space="preserve">of 17 November 2021 on </w:t>
      </w:r>
      <w:r w:rsidRPr="00C14F0D">
        <w:rPr>
          <w:rFonts w:cs="Times New Roman"/>
        </w:rPr>
        <w:t>Counteracting the Unfair Use of Contractual Advantage in Trade in Agricultural and Food Products</w:t>
      </w:r>
      <w:r>
        <w:rPr>
          <w:rFonts w:cs="Times New Roman"/>
        </w:rPr>
        <w:t xml:space="preserve">, </w:t>
      </w:r>
      <w:r w:rsidRPr="00C14F0D">
        <w:rPr>
          <w:rFonts w:cs="Times New Roman"/>
        </w:rPr>
        <w:t>Journal of Laws of 2023, item 1773</w:t>
      </w:r>
      <w:r>
        <w:rPr>
          <w:rFonts w:cs="Times New Roman"/>
        </w:rPr>
        <w:t>.</w:t>
      </w:r>
    </w:p>
  </w:footnote>
  <w:footnote w:id="12">
    <w:p w14:paraId="6A0A20C6" w14:textId="10B9FE21" w:rsidR="0040268E" w:rsidRPr="0040268E" w:rsidRDefault="0040268E">
      <w:pPr>
        <w:pStyle w:val="Tekstprzypisudolnego"/>
      </w:pPr>
      <w:r>
        <w:rPr>
          <w:rStyle w:val="Odwoanieprzypisudolnego"/>
        </w:rPr>
        <w:footnoteRef/>
      </w:r>
      <w:r>
        <w:t xml:space="preserve"> </w:t>
      </w:r>
      <w:r w:rsidR="00755AA3">
        <w:t xml:space="preserve">See article 7(2) Act of 15 December 2016 </w:t>
      </w:r>
      <w:r w:rsidR="00755AA3">
        <w:rPr>
          <w:rFonts w:cs="Times New Roman"/>
        </w:rPr>
        <w:t xml:space="preserve">on </w:t>
      </w:r>
      <w:r w:rsidR="00755AA3" w:rsidRPr="00C14F0D">
        <w:rPr>
          <w:rFonts w:cs="Times New Roman"/>
        </w:rPr>
        <w:t>Counteracting the Unfair Use of Contractual Advantage in Trade in Agricultural and Food Products</w:t>
      </w:r>
      <w:r w:rsidR="00755AA3">
        <w:rPr>
          <w:rFonts w:cs="Times New Roman"/>
        </w:rPr>
        <w:t xml:space="preserve">, </w:t>
      </w:r>
      <w:r w:rsidR="00755AA3" w:rsidRPr="00C14F0D">
        <w:rPr>
          <w:rFonts w:cs="Times New Roman"/>
        </w:rPr>
        <w:t>Journal of Laws of 202</w:t>
      </w:r>
      <w:r w:rsidR="00755AA3">
        <w:rPr>
          <w:rFonts w:cs="Times New Roman"/>
        </w:rPr>
        <w:t>0</w:t>
      </w:r>
      <w:r w:rsidR="00755AA3" w:rsidRPr="00C14F0D">
        <w:rPr>
          <w:rFonts w:cs="Times New Roman"/>
        </w:rPr>
        <w:t xml:space="preserve">, item </w:t>
      </w:r>
      <w:r w:rsidR="00755AA3">
        <w:rPr>
          <w:rFonts w:cs="Times New Roman"/>
        </w:rPr>
        <w:t>1213</w:t>
      </w:r>
      <w:r w:rsidR="000A3962">
        <w:rPr>
          <w:rFonts w:cs="Times New Roman"/>
        </w:rPr>
        <w:t xml:space="preserve">; </w:t>
      </w:r>
      <w:r w:rsidR="008B5802">
        <w:rPr>
          <w:rFonts w:cs="Times New Roman"/>
        </w:rPr>
        <w:t>For overview of the enforcement of the act from 2016 s</w:t>
      </w:r>
      <w:r w:rsidR="000A3962">
        <w:rPr>
          <w:rFonts w:cs="Times New Roman"/>
        </w:rPr>
        <w:t xml:space="preserve">ee also: </w:t>
      </w:r>
      <w:r w:rsidR="00ED1974">
        <w:rPr>
          <w:rFonts w:cs="Times New Roman"/>
        </w:rPr>
        <w:t xml:space="preserve">K. Kohutek, </w:t>
      </w:r>
      <w:proofErr w:type="spellStart"/>
      <w:r w:rsidR="00ED1974" w:rsidRPr="00ED1974">
        <w:rPr>
          <w:rFonts w:cs="Times New Roman"/>
        </w:rPr>
        <w:t>Trzy</w:t>
      </w:r>
      <w:proofErr w:type="spellEnd"/>
      <w:r w:rsidR="00ED1974" w:rsidRPr="00ED1974">
        <w:rPr>
          <w:rFonts w:cs="Times New Roman"/>
        </w:rPr>
        <w:t xml:space="preserve"> </w:t>
      </w:r>
      <w:proofErr w:type="spellStart"/>
      <w:r w:rsidR="00ED1974" w:rsidRPr="00ED1974">
        <w:rPr>
          <w:rFonts w:cs="Times New Roman"/>
        </w:rPr>
        <w:t>lata</w:t>
      </w:r>
      <w:proofErr w:type="spellEnd"/>
      <w:r w:rsidR="00ED1974" w:rsidRPr="00ED1974">
        <w:rPr>
          <w:rFonts w:cs="Times New Roman"/>
        </w:rPr>
        <w:t xml:space="preserve"> </w:t>
      </w:r>
      <w:proofErr w:type="spellStart"/>
      <w:r w:rsidR="00ED1974" w:rsidRPr="00ED1974">
        <w:rPr>
          <w:rFonts w:cs="Times New Roman"/>
        </w:rPr>
        <w:t>stosowania</w:t>
      </w:r>
      <w:proofErr w:type="spellEnd"/>
      <w:r w:rsidR="00ED1974" w:rsidRPr="00ED1974">
        <w:rPr>
          <w:rFonts w:cs="Times New Roman"/>
        </w:rPr>
        <w:t xml:space="preserve"> </w:t>
      </w:r>
      <w:proofErr w:type="spellStart"/>
      <w:r w:rsidR="00ED1974" w:rsidRPr="00ED1974">
        <w:rPr>
          <w:rFonts w:cs="Times New Roman"/>
        </w:rPr>
        <w:t>ustawy</w:t>
      </w:r>
      <w:proofErr w:type="spellEnd"/>
      <w:r w:rsidR="00ED1974" w:rsidRPr="00ED1974">
        <w:rPr>
          <w:rFonts w:cs="Times New Roman"/>
        </w:rPr>
        <w:t xml:space="preserve"> o </w:t>
      </w:r>
      <w:proofErr w:type="spellStart"/>
      <w:r w:rsidR="00ED1974" w:rsidRPr="00ED1974">
        <w:rPr>
          <w:rFonts w:cs="Times New Roman"/>
        </w:rPr>
        <w:t>nieuczciwym</w:t>
      </w:r>
      <w:proofErr w:type="spellEnd"/>
      <w:r w:rsidR="00ED1974" w:rsidRPr="00ED1974">
        <w:rPr>
          <w:rFonts w:cs="Times New Roman"/>
        </w:rPr>
        <w:t xml:space="preserve"> </w:t>
      </w:r>
      <w:proofErr w:type="spellStart"/>
      <w:r w:rsidR="00ED1974" w:rsidRPr="00ED1974">
        <w:rPr>
          <w:rFonts w:cs="Times New Roman"/>
        </w:rPr>
        <w:t>wykorzystywaniu</w:t>
      </w:r>
      <w:proofErr w:type="spellEnd"/>
      <w:r w:rsidR="00ED1974" w:rsidRPr="00ED1974">
        <w:rPr>
          <w:rFonts w:cs="Times New Roman"/>
        </w:rPr>
        <w:t xml:space="preserve"> </w:t>
      </w:r>
      <w:proofErr w:type="spellStart"/>
      <w:r w:rsidR="00ED1974" w:rsidRPr="00ED1974">
        <w:rPr>
          <w:rFonts w:cs="Times New Roman"/>
        </w:rPr>
        <w:t>przewagi</w:t>
      </w:r>
      <w:proofErr w:type="spellEnd"/>
      <w:r w:rsidR="00ED1974" w:rsidRPr="00ED1974">
        <w:rPr>
          <w:rFonts w:cs="Times New Roman"/>
        </w:rPr>
        <w:t xml:space="preserve"> </w:t>
      </w:r>
      <w:proofErr w:type="spellStart"/>
      <w:r w:rsidR="00ED1974" w:rsidRPr="00ED1974">
        <w:rPr>
          <w:rFonts w:cs="Times New Roman"/>
        </w:rPr>
        <w:t>kontraktowej</w:t>
      </w:r>
      <w:proofErr w:type="spellEnd"/>
      <w:r w:rsidR="00ED1974" w:rsidRPr="00ED1974">
        <w:rPr>
          <w:rFonts w:cs="Times New Roman"/>
        </w:rPr>
        <w:t xml:space="preserve">: </w:t>
      </w:r>
      <w:proofErr w:type="spellStart"/>
      <w:r w:rsidR="00ED1974" w:rsidRPr="00ED1974">
        <w:rPr>
          <w:rFonts w:cs="Times New Roman"/>
        </w:rPr>
        <w:t>ocena</w:t>
      </w:r>
      <w:proofErr w:type="spellEnd"/>
      <w:r w:rsidR="00ED1974" w:rsidRPr="00ED1974">
        <w:rPr>
          <w:rFonts w:cs="Times New Roman"/>
        </w:rPr>
        <w:t xml:space="preserve"> </w:t>
      </w:r>
      <w:proofErr w:type="spellStart"/>
      <w:r w:rsidR="00ED1974" w:rsidRPr="00ED1974">
        <w:rPr>
          <w:rFonts w:cs="Times New Roman"/>
        </w:rPr>
        <w:t>na</w:t>
      </w:r>
      <w:proofErr w:type="spellEnd"/>
      <w:r w:rsidR="00ED1974" w:rsidRPr="00ED1974">
        <w:rPr>
          <w:rFonts w:cs="Times New Roman"/>
        </w:rPr>
        <w:t xml:space="preserve"> </w:t>
      </w:r>
      <w:proofErr w:type="spellStart"/>
      <w:r w:rsidR="00ED1974" w:rsidRPr="00ED1974">
        <w:rPr>
          <w:rFonts w:cs="Times New Roman"/>
        </w:rPr>
        <w:t>tle</w:t>
      </w:r>
      <w:proofErr w:type="spellEnd"/>
      <w:r w:rsidR="00ED1974" w:rsidRPr="00ED1974">
        <w:rPr>
          <w:rFonts w:cs="Times New Roman"/>
        </w:rPr>
        <w:t xml:space="preserve"> </w:t>
      </w:r>
      <w:proofErr w:type="spellStart"/>
      <w:r w:rsidR="00ED1974" w:rsidRPr="00ED1974">
        <w:rPr>
          <w:rFonts w:cs="Times New Roman"/>
        </w:rPr>
        <w:t>decyzji</w:t>
      </w:r>
      <w:proofErr w:type="spellEnd"/>
      <w:r w:rsidR="00ED1974" w:rsidRPr="00ED1974">
        <w:rPr>
          <w:rFonts w:cs="Times New Roman"/>
        </w:rPr>
        <w:t xml:space="preserve"> </w:t>
      </w:r>
      <w:proofErr w:type="spellStart"/>
      <w:r w:rsidR="00ED1974" w:rsidRPr="00ED1974">
        <w:rPr>
          <w:rFonts w:cs="Times New Roman"/>
        </w:rPr>
        <w:t>Prezesa</w:t>
      </w:r>
      <w:proofErr w:type="spellEnd"/>
      <w:r w:rsidR="00ED1974" w:rsidRPr="00ED1974">
        <w:rPr>
          <w:rFonts w:cs="Times New Roman"/>
        </w:rPr>
        <w:t xml:space="preserve"> </w:t>
      </w:r>
      <w:proofErr w:type="spellStart"/>
      <w:r w:rsidR="00ED1974" w:rsidRPr="00ED1974">
        <w:rPr>
          <w:rFonts w:cs="Times New Roman"/>
        </w:rPr>
        <w:t>UOKiK</w:t>
      </w:r>
      <w:proofErr w:type="spellEnd"/>
      <w:r w:rsidR="00ED1974" w:rsidRPr="00ED1974">
        <w:rPr>
          <w:rFonts w:cs="Times New Roman"/>
        </w:rPr>
        <w:t xml:space="preserve"> </w:t>
      </w:r>
      <w:proofErr w:type="spellStart"/>
      <w:r w:rsidR="00ED1974" w:rsidRPr="00ED1974">
        <w:rPr>
          <w:rFonts w:cs="Times New Roman"/>
        </w:rPr>
        <w:t>oraz</w:t>
      </w:r>
      <w:proofErr w:type="spellEnd"/>
      <w:r w:rsidR="00ED1974" w:rsidRPr="00ED1974">
        <w:rPr>
          <w:rFonts w:cs="Times New Roman"/>
        </w:rPr>
        <w:t xml:space="preserve"> w </w:t>
      </w:r>
      <w:proofErr w:type="spellStart"/>
      <w:r w:rsidR="00ED1974" w:rsidRPr="00ED1974">
        <w:rPr>
          <w:rFonts w:cs="Times New Roman"/>
        </w:rPr>
        <w:t>kontekście</w:t>
      </w:r>
      <w:proofErr w:type="spellEnd"/>
      <w:r w:rsidR="00ED1974" w:rsidRPr="00ED1974">
        <w:rPr>
          <w:rFonts w:cs="Times New Roman"/>
        </w:rPr>
        <w:t xml:space="preserve"> </w:t>
      </w:r>
      <w:proofErr w:type="spellStart"/>
      <w:r w:rsidR="00ED1974" w:rsidRPr="00ED1974">
        <w:rPr>
          <w:rFonts w:cs="Times New Roman"/>
        </w:rPr>
        <w:t>rozwiązań</w:t>
      </w:r>
      <w:proofErr w:type="spellEnd"/>
      <w:r w:rsidR="00ED1974" w:rsidRPr="00ED1974">
        <w:rPr>
          <w:rFonts w:cs="Times New Roman"/>
        </w:rPr>
        <w:t xml:space="preserve"> </w:t>
      </w:r>
      <w:proofErr w:type="spellStart"/>
      <w:r w:rsidR="00ED1974" w:rsidRPr="00ED1974">
        <w:rPr>
          <w:rFonts w:cs="Times New Roman"/>
        </w:rPr>
        <w:t>dyrektywy</w:t>
      </w:r>
      <w:proofErr w:type="spellEnd"/>
      <w:r w:rsidR="00ED1974" w:rsidRPr="00ED1974">
        <w:rPr>
          <w:rFonts w:cs="Times New Roman"/>
        </w:rPr>
        <w:t xml:space="preserve"> </w:t>
      </w:r>
      <w:proofErr w:type="spellStart"/>
      <w:r w:rsidR="00ED1974" w:rsidRPr="00ED1974">
        <w:rPr>
          <w:rFonts w:cs="Times New Roman"/>
        </w:rPr>
        <w:t>unijnej</w:t>
      </w:r>
      <w:proofErr w:type="spellEnd"/>
      <w:r w:rsidR="00ED1974" w:rsidRPr="00ED1974">
        <w:rPr>
          <w:rFonts w:cs="Times New Roman"/>
        </w:rPr>
        <w:t xml:space="preserve">. </w:t>
      </w:r>
      <w:proofErr w:type="spellStart"/>
      <w:r w:rsidR="00786102">
        <w:rPr>
          <w:rFonts w:cs="Times New Roman"/>
        </w:rPr>
        <w:t>I</w:t>
      </w:r>
      <w:r w:rsidR="00786102" w:rsidRPr="00ED1974">
        <w:rPr>
          <w:rFonts w:cs="Times New Roman"/>
        </w:rPr>
        <w:t>nternetowy</w:t>
      </w:r>
      <w:proofErr w:type="spellEnd"/>
      <w:r w:rsidR="00786102" w:rsidRPr="00ED1974">
        <w:rPr>
          <w:rFonts w:cs="Times New Roman"/>
        </w:rPr>
        <w:t xml:space="preserve"> </w:t>
      </w:r>
      <w:proofErr w:type="spellStart"/>
      <w:r w:rsidR="00ED1974" w:rsidRPr="00ED1974">
        <w:rPr>
          <w:rFonts w:cs="Times New Roman"/>
        </w:rPr>
        <w:t>Kwartalnik</w:t>
      </w:r>
      <w:proofErr w:type="spellEnd"/>
      <w:r w:rsidR="00ED1974" w:rsidRPr="00ED1974">
        <w:rPr>
          <w:rFonts w:cs="Times New Roman"/>
        </w:rPr>
        <w:t xml:space="preserve"> </w:t>
      </w:r>
      <w:proofErr w:type="spellStart"/>
      <w:r w:rsidR="00ED1974" w:rsidRPr="00ED1974">
        <w:rPr>
          <w:rFonts w:cs="Times New Roman"/>
        </w:rPr>
        <w:t>Antymonopolowy</w:t>
      </w:r>
      <w:proofErr w:type="spellEnd"/>
      <w:r w:rsidR="00ED1974" w:rsidRPr="00ED1974">
        <w:rPr>
          <w:rFonts w:cs="Times New Roman"/>
        </w:rPr>
        <w:t xml:space="preserve"> i </w:t>
      </w:r>
      <w:proofErr w:type="spellStart"/>
      <w:r w:rsidR="00ED1974" w:rsidRPr="00ED1974">
        <w:rPr>
          <w:rFonts w:cs="Times New Roman"/>
        </w:rPr>
        <w:t>Regulacyjny</w:t>
      </w:r>
      <w:proofErr w:type="spellEnd"/>
      <w:r w:rsidR="00ED1974" w:rsidRPr="00ED1974">
        <w:rPr>
          <w:rFonts w:cs="Times New Roman"/>
        </w:rPr>
        <w:t xml:space="preserve">, </w:t>
      </w:r>
      <w:r w:rsidR="00ED1974">
        <w:rPr>
          <w:rFonts w:cs="Times New Roman"/>
        </w:rPr>
        <w:t xml:space="preserve">2021 </w:t>
      </w:r>
      <w:r w:rsidR="00ED1974" w:rsidRPr="00ED1974">
        <w:rPr>
          <w:rFonts w:cs="Times New Roman"/>
        </w:rPr>
        <w:t>10(1)</w:t>
      </w:r>
      <w:r w:rsidR="00B632A3">
        <w:rPr>
          <w:rFonts w:cs="Times New Roman"/>
        </w:rPr>
        <w:t xml:space="preserve">. </w:t>
      </w:r>
    </w:p>
  </w:footnote>
  <w:footnote w:id="13">
    <w:p w14:paraId="5AA9C3AF" w14:textId="54FF8E8D" w:rsidR="000F5F47" w:rsidRPr="000F5F47" w:rsidRDefault="000F5F47">
      <w:pPr>
        <w:pStyle w:val="Tekstprzypisudolnego"/>
        <w:rPr>
          <w:lang w:val="en-US"/>
        </w:rPr>
      </w:pPr>
      <w:r>
        <w:rPr>
          <w:rStyle w:val="Odwoanieprzypisudolnego"/>
        </w:rPr>
        <w:footnoteRef/>
      </w:r>
      <w:r>
        <w:t xml:space="preserve"> </w:t>
      </w:r>
      <w:r w:rsidRPr="000F5F47">
        <w:rPr>
          <w:lang w:val="en-US"/>
        </w:rPr>
        <w:t>This was the SCA PR c</w:t>
      </w:r>
      <w:r>
        <w:rPr>
          <w:lang w:val="en-US"/>
        </w:rPr>
        <w:t xml:space="preserve">ase </w:t>
      </w:r>
      <w:r w:rsidR="00552FF4">
        <w:rPr>
          <w:lang w:val="en-US"/>
        </w:rPr>
        <w:t>(</w:t>
      </w:r>
      <w:r w:rsidR="00386540">
        <w:t xml:space="preserve">Decision of the President of </w:t>
      </w:r>
      <w:proofErr w:type="spellStart"/>
      <w:r w:rsidR="00386540">
        <w:t>UOKiK</w:t>
      </w:r>
      <w:proofErr w:type="spellEnd"/>
      <w:r w:rsidR="00386540">
        <w:t xml:space="preserve"> from</w:t>
      </w:r>
      <w:r w:rsidR="00E266B1">
        <w:t xml:space="preserve"> 24 October 2023</w:t>
      </w:r>
      <w:r w:rsidR="00386540">
        <w:t xml:space="preserve"> </w:t>
      </w:r>
      <w:r w:rsidR="00552FF4">
        <w:rPr>
          <w:lang w:val="en-US"/>
        </w:rPr>
        <w:t xml:space="preserve">no. </w:t>
      </w:r>
      <w:r w:rsidR="00552FF4" w:rsidRPr="00552FF4">
        <w:t>DPK-1/2023</w:t>
      </w:r>
      <w:r w:rsidR="00552FF4">
        <w:t xml:space="preserve">. It involved </w:t>
      </w:r>
      <w:r w:rsidR="008457C1">
        <w:t>the buyer</w:t>
      </w:r>
      <w:r w:rsidR="007066C6">
        <w:t xml:space="preserve"> </w:t>
      </w:r>
      <w:r w:rsidR="0001005B">
        <w:t xml:space="preserve">obtaining </w:t>
      </w:r>
      <w:r w:rsidR="007066C6" w:rsidRPr="007066C6">
        <w:t>retroactive rebates from suppliers</w:t>
      </w:r>
      <w:r w:rsidR="007066C6" w:rsidRPr="007066C6">
        <w:rPr>
          <w:szCs w:val="22"/>
        </w:rPr>
        <w:t xml:space="preserve"> </w:t>
      </w:r>
      <w:r w:rsidR="007066C6" w:rsidRPr="007066C6">
        <w:t>in cases where the turnover threshold</w:t>
      </w:r>
      <w:r w:rsidR="006E6AAD">
        <w:t xml:space="preserve">s – set as condition for granting such rebates at the start of the cooperation period – was not actually </w:t>
      </w:r>
      <w:r w:rsidR="007066C6" w:rsidRPr="007066C6">
        <w:t>achieved during that period</w:t>
      </w:r>
      <w:r w:rsidR="007066C6">
        <w:t>.</w:t>
      </w:r>
    </w:p>
  </w:footnote>
  <w:footnote w:id="14">
    <w:p w14:paraId="0E70697A" w14:textId="3CB96D23" w:rsidR="00755AA3" w:rsidRPr="00755AA3" w:rsidRDefault="00755AA3">
      <w:pPr>
        <w:pStyle w:val="Tekstprzypisudolnego"/>
        <w:rPr>
          <w:lang w:val="en-US"/>
        </w:rPr>
      </w:pPr>
      <w:r>
        <w:rPr>
          <w:rStyle w:val="Odwoanieprzypisudolnego"/>
        </w:rPr>
        <w:footnoteRef/>
      </w:r>
      <w:r>
        <w:t xml:space="preserve"> See </w:t>
      </w:r>
      <w:r w:rsidR="00A40AA1">
        <w:t xml:space="preserve">wording of </w:t>
      </w:r>
      <w:r>
        <w:t xml:space="preserve">article </w:t>
      </w:r>
      <w:r w:rsidR="00A40AA1">
        <w:t>5</w:t>
      </w:r>
      <w:r>
        <w:t xml:space="preserve"> </w:t>
      </w:r>
      <w:r w:rsidRPr="00C14F0D">
        <w:rPr>
          <w:rFonts w:cs="Times New Roman"/>
        </w:rPr>
        <w:t xml:space="preserve">Act </w:t>
      </w:r>
      <w:r>
        <w:rPr>
          <w:rFonts w:cs="Times New Roman"/>
        </w:rPr>
        <w:t xml:space="preserve">of 17 November 2021 on </w:t>
      </w:r>
      <w:r w:rsidRPr="00C14F0D">
        <w:rPr>
          <w:rFonts w:cs="Times New Roman"/>
        </w:rPr>
        <w:t>Counteracting the Unfair Use of Contractual Advantage in Trade in Agricultural and Food Products</w:t>
      </w:r>
      <w:r>
        <w:rPr>
          <w:rFonts w:cs="Times New Roman"/>
        </w:rPr>
        <w:t xml:space="preserve">, </w:t>
      </w:r>
      <w:r w:rsidRPr="00C14F0D">
        <w:rPr>
          <w:rFonts w:cs="Times New Roman"/>
        </w:rPr>
        <w:t>Journal of Laws of 2023, item 1773</w:t>
      </w:r>
      <w:r w:rsidR="00A40AA1">
        <w:rPr>
          <w:rFonts w:cs="Times New Roman"/>
        </w:rPr>
        <w:t>,</w:t>
      </w:r>
      <w:r w:rsidR="008C632D">
        <w:rPr>
          <w:rFonts w:cs="Times New Roman"/>
        </w:rPr>
        <w:t xml:space="preserve"> which states</w:t>
      </w:r>
      <w:r w:rsidR="00A40AA1">
        <w:rPr>
          <w:rFonts w:cs="Times New Roman"/>
        </w:rPr>
        <w:t xml:space="preserve"> </w:t>
      </w:r>
      <w:r w:rsidR="008C632D">
        <w:rPr>
          <w:rFonts w:cs="Times New Roman"/>
        </w:rPr>
        <w:t>“</w:t>
      </w:r>
      <w:r w:rsidR="008C632D" w:rsidRPr="008C632D">
        <w:rPr>
          <w:rFonts w:cs="Times New Roman"/>
        </w:rPr>
        <w:t>Practices that unfairly exploit the contractual advantage of the buyer over the supplier or the supplier over the buyer are prohibited</w:t>
      </w:r>
      <w:r w:rsidR="008C632D" w:rsidRPr="004823C1">
        <w:rPr>
          <w:rFonts w:cs="Times New Roman"/>
        </w:rPr>
        <w:t>”</w:t>
      </w:r>
      <w:r w:rsidR="004823C1" w:rsidRPr="004823C1">
        <w:rPr>
          <w:rFonts w:cs="Times New Roman"/>
        </w:rPr>
        <w:t xml:space="preserve"> (author’s translation)</w:t>
      </w:r>
      <w:r w:rsidRPr="004823C1">
        <w:rPr>
          <w:rFonts w:cs="Times New Roman"/>
        </w:rPr>
        <w:t>.</w:t>
      </w:r>
    </w:p>
  </w:footnote>
  <w:footnote w:id="15">
    <w:p w14:paraId="039425F2" w14:textId="37499260" w:rsidR="004823C1" w:rsidRPr="00E041CB" w:rsidRDefault="004823C1">
      <w:pPr>
        <w:pStyle w:val="Tekstprzypisudolnego"/>
        <w:rPr>
          <w:lang w:val="en-US"/>
        </w:rPr>
      </w:pPr>
      <w:r>
        <w:rPr>
          <w:rStyle w:val="Odwoanieprzypisudolnego"/>
        </w:rPr>
        <w:footnoteRef/>
      </w:r>
      <w:r>
        <w:t xml:space="preserve"> </w:t>
      </w:r>
      <w:r w:rsidR="00E041CB" w:rsidRPr="00E041CB">
        <w:rPr>
          <w:lang w:val="en-US"/>
        </w:rPr>
        <w:t xml:space="preserve">See article 32 </w:t>
      </w:r>
      <w:r w:rsidR="00E041CB" w:rsidRPr="00C14F0D">
        <w:rPr>
          <w:rFonts w:cs="Times New Roman"/>
        </w:rPr>
        <w:t xml:space="preserve">Act </w:t>
      </w:r>
      <w:r w:rsidR="00E041CB">
        <w:rPr>
          <w:rFonts w:cs="Times New Roman"/>
        </w:rPr>
        <w:t xml:space="preserve">of 17 November 2021 on </w:t>
      </w:r>
      <w:r w:rsidR="00E041CB" w:rsidRPr="00C14F0D">
        <w:rPr>
          <w:rFonts w:cs="Times New Roman"/>
        </w:rPr>
        <w:t>Counteracting the Unfair Use of Contractual Advantage in Trade in Agricultural and Food Products</w:t>
      </w:r>
      <w:r w:rsidR="00E041CB">
        <w:rPr>
          <w:rFonts w:cs="Times New Roman"/>
        </w:rPr>
        <w:t xml:space="preserve">, </w:t>
      </w:r>
      <w:r w:rsidR="00E041CB" w:rsidRPr="00C14F0D">
        <w:rPr>
          <w:rFonts w:cs="Times New Roman"/>
        </w:rPr>
        <w:t>Journal of Laws of 2023, item 1773</w:t>
      </w:r>
      <w:r w:rsidR="00E041CB">
        <w:rPr>
          <w:rFonts w:cs="Times New Roman"/>
        </w:rPr>
        <w:t>.</w:t>
      </w:r>
    </w:p>
  </w:footnote>
  <w:footnote w:id="16">
    <w:p w14:paraId="0C416468" w14:textId="13E2751F" w:rsidR="00561BAD" w:rsidRPr="00561BAD" w:rsidRDefault="00561BAD">
      <w:pPr>
        <w:pStyle w:val="Tekstprzypisudolnego"/>
      </w:pPr>
      <w:r>
        <w:rPr>
          <w:rStyle w:val="Odwoanieprzypisudolnego"/>
        </w:rPr>
        <w:footnoteRef/>
      </w:r>
      <w:r>
        <w:t xml:space="preserve"> Decision of the President of </w:t>
      </w:r>
      <w:proofErr w:type="spellStart"/>
      <w:r>
        <w:t>UOKiK</w:t>
      </w:r>
      <w:proofErr w:type="spellEnd"/>
      <w:r>
        <w:t xml:space="preserve"> from </w:t>
      </w:r>
      <w:r w:rsidR="00F717E6">
        <w:t>5</w:t>
      </w:r>
      <w:r>
        <w:t xml:space="preserve"> </w:t>
      </w:r>
      <w:r w:rsidR="00F717E6">
        <w:t>March</w:t>
      </w:r>
      <w:r>
        <w:t xml:space="preserve"> 2018, no. </w:t>
      </w:r>
      <w:r w:rsidRPr="00386540">
        <w:t xml:space="preserve">RBG - </w:t>
      </w:r>
      <w:r>
        <w:t>3</w:t>
      </w:r>
      <w:r w:rsidRPr="00386540">
        <w:t>/20</w:t>
      </w:r>
      <w:r>
        <w:t>18</w:t>
      </w:r>
      <w:r w:rsidR="00F717E6">
        <w:t>.</w:t>
      </w:r>
    </w:p>
  </w:footnote>
  <w:footnote w:id="17">
    <w:p w14:paraId="4BFB7C32" w14:textId="71B3EFB0" w:rsidR="00E041CB" w:rsidRPr="00561BAD" w:rsidRDefault="00E041CB">
      <w:pPr>
        <w:pStyle w:val="Tekstprzypisudolnego"/>
        <w:rPr>
          <w:lang w:val="en-US"/>
        </w:rPr>
      </w:pPr>
      <w:r>
        <w:rPr>
          <w:rStyle w:val="Odwoanieprzypisudolnego"/>
        </w:rPr>
        <w:footnoteRef/>
      </w:r>
      <w:r>
        <w:t xml:space="preserve"> Decision of the President of </w:t>
      </w:r>
      <w:proofErr w:type="spellStart"/>
      <w:r>
        <w:t>UOKiK</w:t>
      </w:r>
      <w:proofErr w:type="spellEnd"/>
      <w:r>
        <w:t xml:space="preserve"> from 11 December 2020, no. </w:t>
      </w:r>
      <w:r w:rsidRPr="00386540">
        <w:t>RBG - 13/2020</w:t>
      </w:r>
      <w:r w:rsidR="00F717E6">
        <w:t>.</w:t>
      </w:r>
    </w:p>
  </w:footnote>
  <w:footnote w:id="18">
    <w:p w14:paraId="608CBCA2" w14:textId="1EFF3371" w:rsidR="00561BAD" w:rsidRPr="00A76154" w:rsidRDefault="00561BAD">
      <w:pPr>
        <w:pStyle w:val="Tekstprzypisudolnego"/>
        <w:rPr>
          <w:lang w:val="en-US"/>
        </w:rPr>
      </w:pPr>
      <w:r>
        <w:rPr>
          <w:rStyle w:val="Odwoanieprzypisudolnego"/>
        </w:rPr>
        <w:footnoteRef/>
      </w:r>
      <w:r>
        <w:t xml:space="preserve"> Decision of the President of </w:t>
      </w:r>
      <w:proofErr w:type="spellStart"/>
      <w:r>
        <w:t>UOKiK</w:t>
      </w:r>
      <w:proofErr w:type="spellEnd"/>
      <w:r>
        <w:t xml:space="preserve"> from </w:t>
      </w:r>
      <w:r w:rsidR="00A76154">
        <w:t>8</w:t>
      </w:r>
      <w:r>
        <w:t xml:space="preserve"> December 202</w:t>
      </w:r>
      <w:r w:rsidR="00A76154">
        <w:t>3</w:t>
      </w:r>
      <w:r>
        <w:t xml:space="preserve">, no. </w:t>
      </w:r>
      <w:r w:rsidRPr="00386540">
        <w:t xml:space="preserve">RBG - </w:t>
      </w:r>
      <w:r w:rsidR="00A76154">
        <w:t>12</w:t>
      </w:r>
      <w:r w:rsidRPr="00386540">
        <w:t>/202</w:t>
      </w:r>
      <w:r w:rsidR="00A76154">
        <w:t>3</w:t>
      </w:r>
      <w:r w:rsidR="00F717E6">
        <w:t>.</w:t>
      </w:r>
    </w:p>
  </w:footnote>
  <w:footnote w:id="19">
    <w:p w14:paraId="7B6315B4" w14:textId="2B7E1F2B" w:rsidR="00031D0C" w:rsidRPr="00031D0C" w:rsidRDefault="00031D0C">
      <w:pPr>
        <w:pStyle w:val="Tekstprzypisudolnego"/>
        <w:rPr>
          <w:lang w:val="en-US"/>
        </w:rPr>
      </w:pPr>
      <w:r>
        <w:rPr>
          <w:rStyle w:val="Odwoanieprzypisudolnego"/>
        </w:rPr>
        <w:footnoteRef/>
      </w:r>
      <w:r>
        <w:t xml:space="preserve"> Decision of the President of </w:t>
      </w:r>
      <w:proofErr w:type="spellStart"/>
      <w:r>
        <w:t>UOKiK</w:t>
      </w:r>
      <w:proofErr w:type="spellEnd"/>
      <w:r>
        <w:t xml:space="preserve"> from 30 September 2019, no. </w:t>
      </w:r>
      <w:r w:rsidRPr="00386540">
        <w:t>RBG - 1</w:t>
      </w:r>
      <w:r>
        <w:t>4</w:t>
      </w:r>
      <w:r w:rsidRPr="00386540">
        <w:t>/20</w:t>
      </w:r>
      <w:r>
        <w:t>19.</w:t>
      </w:r>
    </w:p>
  </w:footnote>
  <w:footnote w:id="20">
    <w:p w14:paraId="322656CD" w14:textId="64A051DC" w:rsidR="00031D0C" w:rsidRPr="00BE6771" w:rsidRDefault="00031D0C">
      <w:pPr>
        <w:pStyle w:val="Tekstprzypisudolnego"/>
        <w:rPr>
          <w:lang w:val="en-US"/>
        </w:rPr>
      </w:pPr>
      <w:r>
        <w:rPr>
          <w:rStyle w:val="Odwoanieprzypisudolnego"/>
        </w:rPr>
        <w:footnoteRef/>
      </w:r>
      <w:r>
        <w:t xml:space="preserve"> Decision of the President of </w:t>
      </w:r>
      <w:proofErr w:type="spellStart"/>
      <w:r>
        <w:t>UOKiK</w:t>
      </w:r>
      <w:proofErr w:type="spellEnd"/>
      <w:r>
        <w:t xml:space="preserve"> from </w:t>
      </w:r>
      <w:r w:rsidR="00BE6771">
        <w:t>2</w:t>
      </w:r>
      <w:r>
        <w:t xml:space="preserve"> </w:t>
      </w:r>
      <w:r w:rsidR="00BE6771">
        <w:t>November</w:t>
      </w:r>
      <w:r>
        <w:t xml:space="preserve"> 2020, no. </w:t>
      </w:r>
      <w:r w:rsidRPr="00386540">
        <w:t>RBG - 1</w:t>
      </w:r>
      <w:r>
        <w:t>1</w:t>
      </w:r>
      <w:r w:rsidRPr="00386540">
        <w:t>/2020</w:t>
      </w:r>
      <w:r w:rsidR="00BE6771">
        <w:t>.</w:t>
      </w:r>
    </w:p>
  </w:footnote>
  <w:footnote w:id="21">
    <w:p w14:paraId="369D3920" w14:textId="76E6FE81" w:rsidR="004531A4" w:rsidRPr="004531A4" w:rsidRDefault="00BE6771">
      <w:pPr>
        <w:pStyle w:val="Tekstprzypisudolnego"/>
        <w:rPr>
          <w:rFonts w:cs="Times New Roman"/>
        </w:rPr>
      </w:pPr>
      <w:r>
        <w:rPr>
          <w:rStyle w:val="Odwoanieprzypisudolnego"/>
        </w:rPr>
        <w:footnoteRef/>
      </w:r>
      <w:r>
        <w:t xml:space="preserve"> </w:t>
      </w:r>
      <w:r w:rsidR="006E0F2D">
        <w:t xml:space="preserve">Decision of the President of </w:t>
      </w:r>
      <w:proofErr w:type="spellStart"/>
      <w:r w:rsidR="006E0F2D">
        <w:t>UOKiK</w:t>
      </w:r>
      <w:proofErr w:type="spellEnd"/>
      <w:r w:rsidR="006E0F2D">
        <w:t xml:space="preserve"> from 17 May 2022, no. </w:t>
      </w:r>
      <w:r w:rsidR="006E0F2D" w:rsidRPr="00C14F0D">
        <w:rPr>
          <w:rFonts w:cs="Times New Roman"/>
        </w:rPr>
        <w:t>RBG - 2/2022</w:t>
      </w:r>
      <w:r w:rsidR="006E0F2D">
        <w:rPr>
          <w:rFonts w:cs="Times New Roman"/>
        </w:rPr>
        <w:t>.</w:t>
      </w:r>
    </w:p>
  </w:footnote>
  <w:footnote w:id="22">
    <w:p w14:paraId="283039DB" w14:textId="45E3F5B7" w:rsidR="004531A4" w:rsidRPr="006D45B1" w:rsidRDefault="004531A4">
      <w:pPr>
        <w:pStyle w:val="Tekstprzypisudolnego"/>
        <w:rPr>
          <w:lang w:val="en-US"/>
        </w:rPr>
      </w:pPr>
      <w:r>
        <w:rPr>
          <w:rStyle w:val="Odwoanieprzypisudolnego"/>
        </w:rPr>
        <w:footnoteRef/>
      </w:r>
      <w:r>
        <w:t xml:space="preserve"> Decision of the President of </w:t>
      </w:r>
      <w:proofErr w:type="spellStart"/>
      <w:r>
        <w:t>UOKiK</w:t>
      </w:r>
      <w:proofErr w:type="spellEnd"/>
      <w:r>
        <w:t xml:space="preserve"> from </w:t>
      </w:r>
      <w:r w:rsidR="006D45B1">
        <w:t>1 August</w:t>
      </w:r>
      <w:r>
        <w:t xml:space="preserve"> 2022, no. </w:t>
      </w:r>
      <w:r w:rsidRPr="00C14F0D">
        <w:rPr>
          <w:rFonts w:cs="Times New Roman"/>
        </w:rPr>
        <w:t xml:space="preserve">RBG - </w:t>
      </w:r>
      <w:r>
        <w:rPr>
          <w:rFonts w:cs="Times New Roman"/>
        </w:rPr>
        <w:t>9</w:t>
      </w:r>
      <w:r w:rsidRPr="00C14F0D">
        <w:rPr>
          <w:rFonts w:cs="Times New Roman"/>
        </w:rPr>
        <w:t>/2022</w:t>
      </w:r>
      <w:r>
        <w:rPr>
          <w:rFonts w:cs="Times New Roman"/>
        </w:rPr>
        <w:t>.</w:t>
      </w:r>
    </w:p>
  </w:footnote>
  <w:footnote w:id="23">
    <w:p w14:paraId="1204F5C0" w14:textId="77777777" w:rsidR="009F7BC5" w:rsidRPr="009F7BC5" w:rsidRDefault="009F7BC5" w:rsidP="009F7BC5">
      <w:pPr>
        <w:pStyle w:val="Tekstprzypisudolnego"/>
        <w:rPr>
          <w:lang w:val="en-US"/>
        </w:rPr>
      </w:pPr>
      <w:r>
        <w:rPr>
          <w:rStyle w:val="Odwoanieprzypisudolnego"/>
        </w:rPr>
        <w:footnoteRef/>
      </w:r>
      <w:r>
        <w:t xml:space="preserve"> Decision of the President of </w:t>
      </w:r>
      <w:proofErr w:type="spellStart"/>
      <w:r>
        <w:t>UOKiK</w:t>
      </w:r>
      <w:proofErr w:type="spellEnd"/>
      <w:r>
        <w:t xml:space="preserve"> from 5 March 2018, no. </w:t>
      </w:r>
      <w:r w:rsidRPr="00386540">
        <w:t xml:space="preserve">RBG - </w:t>
      </w:r>
      <w:r>
        <w:t>3</w:t>
      </w:r>
      <w:r w:rsidRPr="00386540">
        <w:t>/20</w:t>
      </w:r>
      <w:r>
        <w:t>18, p. 17.</w:t>
      </w:r>
    </w:p>
  </w:footnote>
  <w:footnote w:id="24">
    <w:p w14:paraId="70944417" w14:textId="4F738044" w:rsidR="007B7260" w:rsidRPr="003760EB" w:rsidRDefault="007B7260">
      <w:pPr>
        <w:pStyle w:val="Tekstprzypisudolnego"/>
        <w:rPr>
          <w:lang w:val="pl-PL"/>
        </w:rPr>
      </w:pPr>
      <w:r>
        <w:rPr>
          <w:rStyle w:val="Odwoanieprzypisudolnego"/>
        </w:rPr>
        <w:footnoteRef/>
      </w:r>
      <w:r>
        <w:t xml:space="preserve"> Decision of the President of </w:t>
      </w:r>
      <w:proofErr w:type="spellStart"/>
      <w:r>
        <w:t>UOKiK</w:t>
      </w:r>
      <w:proofErr w:type="spellEnd"/>
      <w:r>
        <w:t xml:space="preserve"> from 5 March 2018, no. </w:t>
      </w:r>
      <w:r w:rsidRPr="006863CC">
        <w:rPr>
          <w:lang w:val="pl-PL"/>
        </w:rPr>
        <w:t>RBG - 3/2018, p. 18.</w:t>
      </w:r>
      <w:r w:rsidR="004829EA" w:rsidRPr="006863CC">
        <w:rPr>
          <w:lang w:val="pl-PL"/>
        </w:rPr>
        <w:t xml:space="preserve"> </w:t>
      </w:r>
      <w:proofErr w:type="spellStart"/>
      <w:r w:rsidR="004829EA" w:rsidRPr="006863CC">
        <w:rPr>
          <w:lang w:val="pl-PL"/>
        </w:rPr>
        <w:t>See</w:t>
      </w:r>
      <w:proofErr w:type="spellEnd"/>
      <w:r w:rsidR="004829EA" w:rsidRPr="006863CC">
        <w:rPr>
          <w:lang w:val="pl-PL"/>
        </w:rPr>
        <w:t xml:space="preserve"> </w:t>
      </w:r>
      <w:proofErr w:type="spellStart"/>
      <w:r w:rsidR="004829EA" w:rsidRPr="006863CC">
        <w:rPr>
          <w:lang w:val="pl-PL"/>
        </w:rPr>
        <w:t>also</w:t>
      </w:r>
      <w:proofErr w:type="spellEnd"/>
      <w:r w:rsidR="004829EA" w:rsidRPr="006863CC">
        <w:rPr>
          <w:lang w:val="pl-PL"/>
        </w:rPr>
        <w:t xml:space="preserve">: </w:t>
      </w:r>
      <w:r w:rsidR="003760EB" w:rsidRPr="006863CC">
        <w:rPr>
          <w:rFonts w:cs="Times New Roman"/>
          <w:lang w:val="pl-PL"/>
        </w:rPr>
        <w:t xml:space="preserve">K. </w:t>
      </w:r>
      <w:proofErr w:type="spellStart"/>
      <w:r w:rsidR="003760EB" w:rsidRPr="006863CC">
        <w:rPr>
          <w:rFonts w:cs="Times New Roman"/>
          <w:lang w:val="pl-PL"/>
        </w:rPr>
        <w:t>Kohutek</w:t>
      </w:r>
      <w:proofErr w:type="spellEnd"/>
      <w:r w:rsidR="003760EB" w:rsidRPr="006863CC">
        <w:rPr>
          <w:rFonts w:cs="Times New Roman"/>
          <w:lang w:val="pl-PL"/>
        </w:rPr>
        <w:t>, Trzy lata stosowania ustawy o nieuczciwym wykorzystywaniu przewagi kontraktowej: ocena na tle decyzji Prezesa UOKiK oraz w kontekście rozwiązań dyrektywy unijnej. internetowy Kwartalnik Antymonopolowy i Regulacyjny, 2021 10(1), p</w:t>
      </w:r>
      <w:r w:rsidR="00691222">
        <w:rPr>
          <w:rFonts w:cs="Times New Roman"/>
          <w:lang w:val="pl-PL"/>
        </w:rPr>
        <w:t>.</w:t>
      </w:r>
      <w:r w:rsidR="003760EB">
        <w:rPr>
          <w:rFonts w:cs="Times New Roman"/>
          <w:lang w:val="pl-PL"/>
        </w:rPr>
        <w:t xml:space="preserve"> </w:t>
      </w:r>
      <w:r w:rsidR="00AA0588">
        <w:rPr>
          <w:rFonts w:cs="Times New Roman"/>
          <w:lang w:val="pl-PL"/>
        </w:rPr>
        <w:t xml:space="preserve">45. </w:t>
      </w:r>
    </w:p>
  </w:footnote>
  <w:footnote w:id="25">
    <w:p w14:paraId="1B9D7120" w14:textId="74838AC1" w:rsidR="007715A6" w:rsidRPr="00786102" w:rsidRDefault="007715A6">
      <w:pPr>
        <w:pStyle w:val="Tekstprzypisudolnego"/>
        <w:rPr>
          <w:lang w:val="en-US"/>
        </w:rPr>
      </w:pPr>
      <w:r>
        <w:rPr>
          <w:rStyle w:val="Odwoanieprzypisudolnego"/>
        </w:rPr>
        <w:footnoteRef/>
      </w:r>
      <w:r>
        <w:t xml:space="preserve"> Decision of the President of </w:t>
      </w:r>
      <w:proofErr w:type="spellStart"/>
      <w:r>
        <w:t>UOKiK</w:t>
      </w:r>
      <w:proofErr w:type="spellEnd"/>
      <w:r>
        <w:t xml:space="preserve"> from 8 December 2023, no. </w:t>
      </w:r>
      <w:r w:rsidRPr="00386540">
        <w:t xml:space="preserve">RBG - </w:t>
      </w:r>
      <w:r>
        <w:t>12</w:t>
      </w:r>
      <w:r w:rsidRPr="00386540">
        <w:t>/202</w:t>
      </w:r>
      <w:r>
        <w:t>3, para</w:t>
      </w:r>
      <w:r w:rsidR="00786102">
        <w:t>.</w:t>
      </w:r>
      <w:r>
        <w:t>249.</w:t>
      </w:r>
    </w:p>
  </w:footnote>
  <w:footnote w:id="26">
    <w:p w14:paraId="54E8BD65" w14:textId="6E2482CF" w:rsidR="001D5A36" w:rsidRPr="00786102" w:rsidRDefault="001D5A36">
      <w:pPr>
        <w:pStyle w:val="Tekstprzypisudolnego"/>
        <w:rPr>
          <w:lang w:val="en-US"/>
        </w:rPr>
      </w:pPr>
      <w:r>
        <w:rPr>
          <w:rStyle w:val="Odwoanieprzypisudolnego"/>
        </w:rPr>
        <w:footnoteRef/>
      </w:r>
      <w:r>
        <w:t xml:space="preserve"> Decision of the President of </w:t>
      </w:r>
      <w:proofErr w:type="spellStart"/>
      <w:r>
        <w:t>UOKiK</w:t>
      </w:r>
      <w:proofErr w:type="spellEnd"/>
      <w:r>
        <w:t xml:space="preserve"> from 8 December 2023, no. </w:t>
      </w:r>
      <w:r w:rsidRPr="00386540">
        <w:t xml:space="preserve">RBG - </w:t>
      </w:r>
      <w:r>
        <w:t>12</w:t>
      </w:r>
      <w:r w:rsidRPr="00386540">
        <w:t>/202</w:t>
      </w:r>
      <w:r>
        <w:t>3, para</w:t>
      </w:r>
      <w:r w:rsidR="001C76AE">
        <w:t>s</w:t>
      </w:r>
      <w:r w:rsidR="00786102">
        <w:t>.</w:t>
      </w:r>
      <w:r>
        <w:t xml:space="preserve"> 22</w:t>
      </w:r>
      <w:r w:rsidR="001C76AE">
        <w:t>6-273</w:t>
      </w:r>
      <w:r>
        <w:t>.</w:t>
      </w:r>
    </w:p>
  </w:footnote>
  <w:footnote w:id="27">
    <w:p w14:paraId="0D40D17B" w14:textId="3A93BD9F" w:rsidR="00D704B2" w:rsidRPr="00D704B2" w:rsidRDefault="00D704B2">
      <w:pPr>
        <w:pStyle w:val="Tekstprzypisudolnego"/>
      </w:pPr>
      <w:r>
        <w:rPr>
          <w:rStyle w:val="Odwoanieprzypisudolnego"/>
        </w:rPr>
        <w:footnoteRef/>
      </w:r>
      <w:r>
        <w:t xml:space="preserve"> Decision of the President of </w:t>
      </w:r>
      <w:proofErr w:type="spellStart"/>
      <w:r>
        <w:t>UOKiK</w:t>
      </w:r>
      <w:proofErr w:type="spellEnd"/>
      <w:r>
        <w:t xml:space="preserve"> from 8 December 2023, no. </w:t>
      </w:r>
      <w:r w:rsidRPr="00386540">
        <w:t xml:space="preserve">RBG - </w:t>
      </w:r>
      <w:r>
        <w:t>12</w:t>
      </w:r>
      <w:r w:rsidRPr="00386540">
        <w:t>/202</w:t>
      </w:r>
      <w:r>
        <w:t>3</w:t>
      </w:r>
      <w:r w:rsidR="009C4010">
        <w:t>, par</w:t>
      </w:r>
      <w:r w:rsidR="00786102">
        <w:t>a</w:t>
      </w:r>
      <w:r w:rsidR="009C4010">
        <w:t xml:space="preserve">. 347. </w:t>
      </w:r>
    </w:p>
  </w:footnote>
  <w:footnote w:id="28">
    <w:p w14:paraId="3A12CBE9" w14:textId="44C636FF" w:rsidR="003B66D4" w:rsidRPr="003B66D4" w:rsidRDefault="003B66D4">
      <w:pPr>
        <w:pStyle w:val="Tekstprzypisudolnego"/>
        <w:rPr>
          <w:lang w:val="en-US"/>
        </w:rPr>
      </w:pPr>
      <w:r>
        <w:rPr>
          <w:rStyle w:val="Odwoanieprzypisudolnego"/>
        </w:rPr>
        <w:footnoteRef/>
      </w:r>
      <w:r>
        <w:t xml:space="preserve"> </w:t>
      </w:r>
      <w:r w:rsidRPr="003B66D4">
        <w:rPr>
          <w:lang w:val="en-US"/>
        </w:rPr>
        <w:t xml:space="preserve">Decision of the President of </w:t>
      </w:r>
      <w:proofErr w:type="spellStart"/>
      <w:r w:rsidRPr="003B66D4">
        <w:rPr>
          <w:lang w:val="en-US"/>
        </w:rPr>
        <w:t>U</w:t>
      </w:r>
      <w:r>
        <w:rPr>
          <w:lang w:val="en-US"/>
        </w:rPr>
        <w:t>OKiK</w:t>
      </w:r>
      <w:proofErr w:type="spellEnd"/>
      <w:r>
        <w:rPr>
          <w:lang w:val="en-US"/>
        </w:rPr>
        <w:t xml:space="preserve"> from 30 November 2021, no. RBG </w:t>
      </w:r>
      <w:r w:rsidR="000153B9">
        <w:rPr>
          <w:lang w:val="en-US"/>
        </w:rPr>
        <w:t>– 3/2021</w:t>
      </w:r>
      <w:r>
        <w:rPr>
          <w:lang w:val="en-US"/>
        </w:rPr>
        <w:t>, paras. 38-46</w:t>
      </w:r>
      <w:r w:rsidR="000153B9">
        <w:rPr>
          <w:lang w:val="en-US"/>
        </w:rPr>
        <w:t>.</w:t>
      </w:r>
    </w:p>
  </w:footnote>
  <w:footnote w:id="29">
    <w:p w14:paraId="1AA3DC77" w14:textId="67EF6BE8" w:rsidR="002A0DCB" w:rsidRPr="006863CC" w:rsidRDefault="002A0DCB">
      <w:pPr>
        <w:pStyle w:val="Tekstprzypisudolnego"/>
        <w:rPr>
          <w:lang w:val="en-US"/>
        </w:rPr>
      </w:pPr>
      <w:r>
        <w:rPr>
          <w:rStyle w:val="Odwoanieprzypisudolnego"/>
        </w:rPr>
        <w:footnoteRef/>
      </w:r>
      <w:r>
        <w:t xml:space="preserve"> </w:t>
      </w:r>
      <w:r w:rsidRPr="003B66D4">
        <w:rPr>
          <w:lang w:val="en-US"/>
        </w:rPr>
        <w:t xml:space="preserve">Decision of the President of </w:t>
      </w:r>
      <w:proofErr w:type="spellStart"/>
      <w:r w:rsidRPr="003B66D4">
        <w:rPr>
          <w:lang w:val="en-US"/>
        </w:rPr>
        <w:t>U</w:t>
      </w:r>
      <w:r>
        <w:rPr>
          <w:lang w:val="en-US"/>
        </w:rPr>
        <w:t>OKiK</w:t>
      </w:r>
      <w:proofErr w:type="spellEnd"/>
      <w:r>
        <w:rPr>
          <w:lang w:val="en-US"/>
        </w:rPr>
        <w:t xml:space="preserve"> from 30 November 2021, no. RBG – 3/2021, paras. 180</w:t>
      </w:r>
      <w:r w:rsidR="0027509A">
        <w:rPr>
          <w:lang w:val="en-US"/>
        </w:rPr>
        <w:t>-182</w:t>
      </w:r>
      <w:r>
        <w:rPr>
          <w:lang w:val="en-US"/>
        </w:rPr>
        <w:t>.</w:t>
      </w:r>
    </w:p>
  </w:footnote>
  <w:footnote w:id="30">
    <w:p w14:paraId="42B1530F" w14:textId="5FF8A8CC" w:rsidR="0027509A" w:rsidRPr="006863CC" w:rsidRDefault="0027509A">
      <w:pPr>
        <w:pStyle w:val="Tekstprzypisudolnego"/>
        <w:rPr>
          <w:lang w:val="en-US"/>
        </w:rPr>
      </w:pPr>
      <w:r>
        <w:rPr>
          <w:rStyle w:val="Odwoanieprzypisudolnego"/>
        </w:rPr>
        <w:footnoteRef/>
      </w:r>
      <w:r>
        <w:t xml:space="preserve"> </w:t>
      </w:r>
      <w:r w:rsidRPr="003B66D4">
        <w:rPr>
          <w:lang w:val="en-US"/>
        </w:rPr>
        <w:t xml:space="preserve">Decision of the President of </w:t>
      </w:r>
      <w:proofErr w:type="spellStart"/>
      <w:r w:rsidRPr="003B66D4">
        <w:rPr>
          <w:lang w:val="en-US"/>
        </w:rPr>
        <w:t>U</w:t>
      </w:r>
      <w:r>
        <w:rPr>
          <w:lang w:val="en-US"/>
        </w:rPr>
        <w:t>OKiK</w:t>
      </w:r>
      <w:proofErr w:type="spellEnd"/>
      <w:r>
        <w:rPr>
          <w:lang w:val="en-US"/>
        </w:rPr>
        <w:t xml:space="preserve"> from 30 November 2021, no. RBG – 3/2021, paras. 191-</w:t>
      </w:r>
      <w:r w:rsidR="00827208">
        <w:rPr>
          <w:lang w:val="en-US"/>
        </w:rPr>
        <w:t>194.</w:t>
      </w:r>
    </w:p>
  </w:footnote>
  <w:footnote w:id="31">
    <w:p w14:paraId="35617D51" w14:textId="40B3A6FC" w:rsidR="00827208" w:rsidRPr="00F92398" w:rsidRDefault="00827208">
      <w:pPr>
        <w:pStyle w:val="Tekstprzypisudolnego"/>
        <w:rPr>
          <w:lang w:val="en-US"/>
        </w:rPr>
      </w:pPr>
      <w:r>
        <w:rPr>
          <w:rStyle w:val="Odwoanieprzypisudolnego"/>
        </w:rPr>
        <w:footnoteRef/>
      </w:r>
      <w:r>
        <w:t xml:space="preserve"> </w:t>
      </w:r>
      <w:r w:rsidRPr="003B66D4">
        <w:rPr>
          <w:lang w:val="en-US"/>
        </w:rPr>
        <w:t xml:space="preserve">Decision of the President of </w:t>
      </w:r>
      <w:proofErr w:type="spellStart"/>
      <w:r w:rsidRPr="003B66D4">
        <w:rPr>
          <w:lang w:val="en-US"/>
        </w:rPr>
        <w:t>U</w:t>
      </w:r>
      <w:r>
        <w:rPr>
          <w:lang w:val="en-US"/>
        </w:rPr>
        <w:t>OKiK</w:t>
      </w:r>
      <w:proofErr w:type="spellEnd"/>
      <w:r>
        <w:rPr>
          <w:lang w:val="en-US"/>
        </w:rPr>
        <w:t xml:space="preserve"> from 30 November 2021, no. RBG – 3/2021, paras. </w:t>
      </w:r>
      <w:r w:rsidR="00F92398">
        <w:rPr>
          <w:lang w:val="en-US"/>
        </w:rPr>
        <w:t>183-</w:t>
      </w:r>
      <w:r w:rsidR="008053F0">
        <w:rPr>
          <w:lang w:val="en-US"/>
        </w:rPr>
        <w:t>1</w:t>
      </w:r>
      <w:r w:rsidR="00F92398">
        <w:rPr>
          <w:lang w:val="en-US"/>
        </w:rPr>
        <w:t>90</w:t>
      </w:r>
      <w:r>
        <w:rPr>
          <w:lang w:val="en-US"/>
        </w:rPr>
        <w:t>.</w:t>
      </w:r>
    </w:p>
  </w:footnote>
  <w:footnote w:id="32">
    <w:p w14:paraId="4B706CB3" w14:textId="255C90AA" w:rsidR="008053F0" w:rsidRPr="00F92398" w:rsidRDefault="008053F0">
      <w:pPr>
        <w:pStyle w:val="Tekstprzypisudolnego"/>
        <w:rPr>
          <w:lang w:val="en-US"/>
        </w:rPr>
      </w:pPr>
      <w:r>
        <w:rPr>
          <w:rStyle w:val="Odwoanieprzypisudolnego"/>
        </w:rPr>
        <w:footnoteRef/>
      </w:r>
      <w:r>
        <w:t xml:space="preserve"> </w:t>
      </w:r>
      <w:r w:rsidR="00F92398" w:rsidRPr="003B66D4">
        <w:rPr>
          <w:lang w:val="en-US"/>
        </w:rPr>
        <w:t xml:space="preserve">Decision of the President of </w:t>
      </w:r>
      <w:proofErr w:type="spellStart"/>
      <w:r w:rsidR="00F92398" w:rsidRPr="003B66D4">
        <w:rPr>
          <w:lang w:val="en-US"/>
        </w:rPr>
        <w:t>U</w:t>
      </w:r>
      <w:r w:rsidR="00F92398">
        <w:rPr>
          <w:lang w:val="en-US"/>
        </w:rPr>
        <w:t>OKiK</w:t>
      </w:r>
      <w:proofErr w:type="spellEnd"/>
      <w:r w:rsidR="00F92398">
        <w:rPr>
          <w:lang w:val="en-US"/>
        </w:rPr>
        <w:t xml:space="preserve"> from 30 November 2021, no. RBG – 3/2021, paras. 195-201.</w:t>
      </w:r>
    </w:p>
  </w:footnote>
  <w:footnote w:id="33">
    <w:p w14:paraId="677282EB" w14:textId="0BCE931A" w:rsidR="00F92398" w:rsidRPr="006863CC" w:rsidRDefault="00F92398">
      <w:pPr>
        <w:pStyle w:val="Tekstprzypisudolnego"/>
        <w:rPr>
          <w:lang w:val="en-US"/>
        </w:rPr>
      </w:pPr>
      <w:r>
        <w:rPr>
          <w:rStyle w:val="Odwoanieprzypisudolnego"/>
        </w:rPr>
        <w:footnoteRef/>
      </w:r>
      <w:r>
        <w:t xml:space="preserve"> </w:t>
      </w:r>
      <w:r w:rsidRPr="003B66D4">
        <w:rPr>
          <w:lang w:val="en-US"/>
        </w:rPr>
        <w:t xml:space="preserve">Decision of the President of </w:t>
      </w:r>
      <w:proofErr w:type="spellStart"/>
      <w:r w:rsidRPr="003B66D4">
        <w:rPr>
          <w:lang w:val="en-US"/>
        </w:rPr>
        <w:t>U</w:t>
      </w:r>
      <w:r>
        <w:rPr>
          <w:lang w:val="en-US"/>
        </w:rPr>
        <w:t>OKiK</w:t>
      </w:r>
      <w:proofErr w:type="spellEnd"/>
      <w:r>
        <w:rPr>
          <w:lang w:val="en-US"/>
        </w:rPr>
        <w:t xml:space="preserve"> from 30 November 2021, no. RBG – 3/2021, para. 224.</w:t>
      </w:r>
    </w:p>
  </w:footnote>
  <w:footnote w:id="34">
    <w:p w14:paraId="0365216C" w14:textId="0EEE0E63" w:rsidR="00F92398" w:rsidRPr="00F92398" w:rsidRDefault="00F92398">
      <w:pPr>
        <w:pStyle w:val="Tekstprzypisudolnego"/>
        <w:rPr>
          <w:lang w:val="pl-PL"/>
        </w:rPr>
      </w:pPr>
      <w:r>
        <w:rPr>
          <w:rStyle w:val="Odwoanieprzypisudolnego"/>
        </w:rPr>
        <w:footnoteRef/>
      </w:r>
      <w:r>
        <w:t xml:space="preserve"> </w:t>
      </w:r>
      <w:r w:rsidRPr="003B66D4">
        <w:rPr>
          <w:lang w:val="en-US"/>
        </w:rPr>
        <w:t xml:space="preserve">Decision of the President of </w:t>
      </w:r>
      <w:proofErr w:type="spellStart"/>
      <w:r w:rsidRPr="003B66D4">
        <w:rPr>
          <w:lang w:val="en-US"/>
        </w:rPr>
        <w:t>U</w:t>
      </w:r>
      <w:r>
        <w:rPr>
          <w:lang w:val="en-US"/>
        </w:rPr>
        <w:t>OKiK</w:t>
      </w:r>
      <w:proofErr w:type="spellEnd"/>
      <w:r>
        <w:rPr>
          <w:lang w:val="en-US"/>
        </w:rPr>
        <w:t xml:space="preserve"> from 30 November 2021, no. </w:t>
      </w:r>
      <w:r w:rsidRPr="006863CC">
        <w:rPr>
          <w:lang w:val="pl-PL"/>
        </w:rPr>
        <w:t>RBG – 3/2021, para. 221.</w:t>
      </w:r>
    </w:p>
  </w:footnote>
  <w:footnote w:id="35">
    <w:p w14:paraId="493F9CF0" w14:textId="344D95EB" w:rsidR="00F92398" w:rsidRPr="006863CC" w:rsidRDefault="00F92398">
      <w:pPr>
        <w:pStyle w:val="Tekstprzypisudolnego"/>
        <w:rPr>
          <w:lang w:val="en-US"/>
        </w:rPr>
      </w:pPr>
      <w:r>
        <w:rPr>
          <w:rStyle w:val="Odwoanieprzypisudolnego"/>
        </w:rPr>
        <w:footnoteRef/>
      </w:r>
      <w:r w:rsidRPr="00DB712B">
        <w:rPr>
          <w:lang w:val="pl-PL"/>
        </w:rPr>
        <w:t xml:space="preserve"> </w:t>
      </w:r>
      <w:proofErr w:type="spellStart"/>
      <w:r w:rsidR="000D50F5">
        <w:rPr>
          <w:lang w:val="pl-PL"/>
        </w:rPr>
        <w:t>Judgement</w:t>
      </w:r>
      <w:proofErr w:type="spellEnd"/>
      <w:r w:rsidR="000D50F5">
        <w:rPr>
          <w:lang w:val="pl-PL"/>
        </w:rPr>
        <w:t xml:space="preserve"> of </w:t>
      </w:r>
      <w:r w:rsidR="00DB712B" w:rsidRPr="00DB712B">
        <w:rPr>
          <w:lang w:val="pl-PL"/>
        </w:rPr>
        <w:t>Sąd Okręgowy w Warszawie, XVII Wydział Sąd Ochrony Konkurencji i Konsumentów</w:t>
      </w:r>
      <w:r w:rsidR="00DB712B">
        <w:rPr>
          <w:lang w:val="pl-PL"/>
        </w:rPr>
        <w:t xml:space="preserve"> from 19 </w:t>
      </w:r>
      <w:proofErr w:type="spellStart"/>
      <w:r w:rsidR="00DB712B">
        <w:rPr>
          <w:lang w:val="pl-PL"/>
        </w:rPr>
        <w:t>February</w:t>
      </w:r>
      <w:proofErr w:type="spellEnd"/>
      <w:r w:rsidR="00DB712B">
        <w:rPr>
          <w:lang w:val="pl-PL"/>
        </w:rPr>
        <w:t xml:space="preserve"> 2024, </w:t>
      </w:r>
      <w:proofErr w:type="spellStart"/>
      <w:r w:rsidR="00DB712B">
        <w:rPr>
          <w:lang w:val="pl-PL"/>
        </w:rPr>
        <w:t>case</w:t>
      </w:r>
      <w:proofErr w:type="spellEnd"/>
      <w:r w:rsidR="00DB712B">
        <w:rPr>
          <w:lang w:val="pl-PL"/>
        </w:rPr>
        <w:t xml:space="preserve"> no. </w:t>
      </w:r>
      <w:r w:rsidR="00DB712B" w:rsidRPr="006863CC">
        <w:rPr>
          <w:lang w:val="en-US"/>
        </w:rPr>
        <w:t xml:space="preserve">XVII </w:t>
      </w:r>
      <w:proofErr w:type="spellStart"/>
      <w:r w:rsidR="00DB712B" w:rsidRPr="006863CC">
        <w:rPr>
          <w:lang w:val="en-US"/>
        </w:rPr>
        <w:t>AmA</w:t>
      </w:r>
      <w:proofErr w:type="spellEnd"/>
      <w:r w:rsidR="00DB712B" w:rsidRPr="006863CC">
        <w:rPr>
          <w:lang w:val="en-US"/>
        </w:rPr>
        <w:t xml:space="preserve"> 23/22.</w:t>
      </w:r>
    </w:p>
  </w:footnote>
  <w:footnote w:id="36">
    <w:p w14:paraId="1A51E589" w14:textId="684BDFD7" w:rsidR="0012210D" w:rsidRPr="0012210D" w:rsidRDefault="0012210D">
      <w:pPr>
        <w:pStyle w:val="Tekstprzypisudolnego"/>
      </w:pPr>
      <w:r>
        <w:rPr>
          <w:rStyle w:val="Odwoanieprzypisudolnego"/>
        </w:rPr>
        <w:footnoteRef/>
      </w:r>
      <w:r>
        <w:t xml:space="preserve"> See:</w:t>
      </w:r>
      <w:r w:rsidR="00041361">
        <w:t xml:space="preserve"> </w:t>
      </w:r>
      <w:r w:rsidR="00EF7F7A">
        <w:t xml:space="preserve">Decision of the President of </w:t>
      </w:r>
      <w:proofErr w:type="spellStart"/>
      <w:r w:rsidR="00EF7F7A">
        <w:t>UOKiK</w:t>
      </w:r>
      <w:proofErr w:type="spellEnd"/>
      <w:r w:rsidR="00EF7F7A">
        <w:t xml:space="preserve"> from 8 December 2</w:t>
      </w:r>
      <w:r w:rsidR="00314798">
        <w:t>018</w:t>
      </w:r>
      <w:r w:rsidR="00EF7F7A">
        <w:t>, no.</w:t>
      </w:r>
      <w:r w:rsidR="00BA0C22">
        <w:t xml:space="preserve"> </w:t>
      </w:r>
      <w:r w:rsidR="00BA0C22" w:rsidRPr="00BA0C22">
        <w:t>RBG-3/2018</w:t>
      </w:r>
      <w:r w:rsidR="00716804">
        <w:t>.</w:t>
      </w:r>
      <w:r w:rsidR="00BA0C22">
        <w:t xml:space="preserve"> Decision of the President of </w:t>
      </w:r>
      <w:proofErr w:type="spellStart"/>
      <w:r w:rsidR="00BA0C22">
        <w:t>UOKiK</w:t>
      </w:r>
      <w:proofErr w:type="spellEnd"/>
      <w:r w:rsidR="00BA0C22">
        <w:t xml:space="preserve"> from </w:t>
      </w:r>
      <w:r w:rsidR="00B95271">
        <w:t>24 April 2019</w:t>
      </w:r>
      <w:r w:rsidR="00BA0C22">
        <w:t xml:space="preserve"> no. </w:t>
      </w:r>
      <w:r w:rsidR="00A85C5E" w:rsidRPr="00A85C5E">
        <w:t>RBG – 7/2019</w:t>
      </w:r>
      <w:r w:rsidR="00716804">
        <w:t>.</w:t>
      </w:r>
      <w:r w:rsidR="00A85C5E">
        <w:t xml:space="preserve"> </w:t>
      </w:r>
      <w:r w:rsidR="00B95271">
        <w:t xml:space="preserve">Decision of the President of </w:t>
      </w:r>
      <w:proofErr w:type="spellStart"/>
      <w:r w:rsidR="00B95271">
        <w:t>UOKiK</w:t>
      </w:r>
      <w:proofErr w:type="spellEnd"/>
      <w:r w:rsidR="00B95271">
        <w:t xml:space="preserve"> from 24 April 2019 no. </w:t>
      </w:r>
      <w:r w:rsidR="00B95271" w:rsidRPr="00A85C5E">
        <w:t>RBG – 7/2019</w:t>
      </w:r>
      <w:r w:rsidR="00716804">
        <w:t>.</w:t>
      </w:r>
      <w:r w:rsidR="00926C12">
        <w:t xml:space="preserve"> </w:t>
      </w:r>
      <w:r w:rsidR="00335448">
        <w:t xml:space="preserve">Decision of the President of </w:t>
      </w:r>
      <w:proofErr w:type="spellStart"/>
      <w:r w:rsidR="00335448">
        <w:t>UOKiK</w:t>
      </w:r>
      <w:proofErr w:type="spellEnd"/>
      <w:r w:rsidR="00335448">
        <w:t xml:space="preserve"> from </w:t>
      </w:r>
      <w:r w:rsidR="00CB37A4">
        <w:t xml:space="preserve">22 July </w:t>
      </w:r>
      <w:r w:rsidR="00314798">
        <w:t>2019</w:t>
      </w:r>
      <w:r w:rsidR="00335448">
        <w:t xml:space="preserve">, no. </w:t>
      </w:r>
      <w:r w:rsidR="00CB37A4" w:rsidRPr="00CB37A4">
        <w:t>RBG -11/2019</w:t>
      </w:r>
      <w:r w:rsidR="00716804">
        <w:t>.</w:t>
      </w:r>
      <w:r w:rsidR="00CB37A4">
        <w:t xml:space="preserve"> Decision of the President of </w:t>
      </w:r>
      <w:proofErr w:type="spellStart"/>
      <w:r w:rsidR="00CB37A4">
        <w:t>UOKiK</w:t>
      </w:r>
      <w:proofErr w:type="spellEnd"/>
      <w:r w:rsidR="00CB37A4">
        <w:t xml:space="preserve"> from</w:t>
      </w:r>
      <w:r w:rsidR="00314798">
        <w:t xml:space="preserve"> 1 October 2019</w:t>
      </w:r>
      <w:r w:rsidR="00CB37A4">
        <w:t>, no.</w:t>
      </w:r>
      <w:r w:rsidR="00AF350E">
        <w:t xml:space="preserve"> </w:t>
      </w:r>
      <w:r w:rsidR="00AF350E" w:rsidRPr="00AF350E">
        <w:t>RGB-15/2019</w:t>
      </w:r>
      <w:r w:rsidR="00716804">
        <w:t>.</w:t>
      </w:r>
      <w:r w:rsidR="00314798">
        <w:t xml:space="preserve"> </w:t>
      </w:r>
      <w:r w:rsidR="00014471">
        <w:t xml:space="preserve">Decision of the President of </w:t>
      </w:r>
      <w:proofErr w:type="spellStart"/>
      <w:r w:rsidR="00014471">
        <w:t>UOKiK</w:t>
      </w:r>
      <w:proofErr w:type="spellEnd"/>
      <w:r w:rsidR="00014471">
        <w:t xml:space="preserve"> from 2 November 2021</w:t>
      </w:r>
      <w:r w:rsidR="000A4394">
        <w:t xml:space="preserve">, no. </w:t>
      </w:r>
      <w:r w:rsidR="000A4394" w:rsidRPr="000A4394">
        <w:t>RBG -11/2020</w:t>
      </w:r>
      <w:r w:rsidR="00716804">
        <w:t>.</w:t>
      </w:r>
      <w:r w:rsidR="000A4394">
        <w:t xml:space="preserve"> Decision of the President of </w:t>
      </w:r>
      <w:proofErr w:type="spellStart"/>
      <w:r w:rsidR="000A4394">
        <w:t>UOKiK</w:t>
      </w:r>
      <w:proofErr w:type="spellEnd"/>
      <w:r w:rsidR="000A4394">
        <w:t xml:space="preserve"> from</w:t>
      </w:r>
      <w:r w:rsidR="00EF3F35">
        <w:t xml:space="preserve"> 20 December 2021</w:t>
      </w:r>
      <w:r w:rsidR="00041361">
        <w:t xml:space="preserve">, no. </w:t>
      </w:r>
      <w:r w:rsidR="00041361" w:rsidRPr="00041361">
        <w:t>RPZ –7/2021</w:t>
      </w:r>
      <w:r w:rsidR="00041361">
        <w:t xml:space="preserve">. </w:t>
      </w:r>
      <w:r w:rsidR="00014471">
        <w:t xml:space="preserve"> </w:t>
      </w:r>
    </w:p>
  </w:footnote>
  <w:footnote w:id="37">
    <w:p w14:paraId="3A275799" w14:textId="3BBF3E9E" w:rsidR="001A67BE" w:rsidRPr="006C29DF" w:rsidRDefault="001A67BE">
      <w:pPr>
        <w:pStyle w:val="Tekstprzypisudolnego"/>
        <w:rPr>
          <w:lang w:val="en-US"/>
        </w:rPr>
      </w:pPr>
      <w:r>
        <w:rPr>
          <w:rStyle w:val="Odwoanieprzypisudolnego"/>
        </w:rPr>
        <w:footnoteRef/>
      </w:r>
      <w:r>
        <w:t xml:space="preserve"> </w:t>
      </w:r>
      <w:r w:rsidRPr="006C29DF">
        <w:rPr>
          <w:lang w:val="en-US"/>
        </w:rPr>
        <w:t xml:space="preserve">See for example </w:t>
      </w:r>
      <w:r w:rsidR="006C29DF">
        <w:t xml:space="preserve">decision of the President of </w:t>
      </w:r>
      <w:proofErr w:type="spellStart"/>
      <w:r w:rsidR="006C29DF">
        <w:t>UOKiK</w:t>
      </w:r>
      <w:proofErr w:type="spellEnd"/>
      <w:r w:rsidR="006C29DF">
        <w:t xml:space="preserve"> </w:t>
      </w:r>
      <w:r w:rsidR="00C94406">
        <w:t xml:space="preserve">from 2 November 2020, no. </w:t>
      </w:r>
      <w:r w:rsidR="00C94406" w:rsidRPr="00386540">
        <w:t>RBG - 1</w:t>
      </w:r>
      <w:r w:rsidR="00C94406">
        <w:t>1</w:t>
      </w:r>
      <w:r w:rsidR="00C94406" w:rsidRPr="00386540">
        <w:t>/2020</w:t>
      </w:r>
      <w:r w:rsidR="006C29DF">
        <w:t xml:space="preserve">, </w:t>
      </w:r>
      <w:r w:rsidR="00D14F1E">
        <w:t>para</w:t>
      </w:r>
      <w:r w:rsidR="005A2936">
        <w:t xml:space="preserve"> 65</w:t>
      </w:r>
      <w:r w:rsidR="004A65D8">
        <w:t xml:space="preserve">, decision of the President of </w:t>
      </w:r>
      <w:proofErr w:type="spellStart"/>
      <w:r w:rsidR="004A65D8">
        <w:t>UOKiK</w:t>
      </w:r>
      <w:proofErr w:type="spellEnd"/>
      <w:r w:rsidR="004A65D8">
        <w:t xml:space="preserve"> from</w:t>
      </w:r>
      <w:r w:rsidR="002D61F4">
        <w:t xml:space="preserve"> 26 April 2019, no. RBG – 7/2019,</w:t>
      </w:r>
      <w:r w:rsidR="004A65D8">
        <w:t xml:space="preserve"> p. 27</w:t>
      </w:r>
      <w:r w:rsidR="005A2936">
        <w:t>.</w:t>
      </w:r>
    </w:p>
  </w:footnote>
  <w:footnote w:id="38">
    <w:p w14:paraId="6E314D8B" w14:textId="1624A7DA" w:rsidR="00745E6C" w:rsidRPr="006863CC" w:rsidRDefault="00745E6C" w:rsidP="00EE2AD8">
      <w:pPr>
        <w:pStyle w:val="Tekstprzypisudolnego"/>
        <w:rPr>
          <w:rFonts w:cs="Times New Roman"/>
          <w:lang w:val="pl-PL"/>
        </w:rPr>
      </w:pPr>
      <w:r>
        <w:rPr>
          <w:rStyle w:val="Odwoanieprzypisudolnego"/>
        </w:rPr>
        <w:footnoteRef/>
      </w:r>
      <w:r>
        <w:t xml:space="preserve"> </w:t>
      </w:r>
      <w:r w:rsidR="00EE2AD8">
        <w:t xml:space="preserve">Decision of the President of </w:t>
      </w:r>
      <w:proofErr w:type="spellStart"/>
      <w:r w:rsidR="00EE2AD8">
        <w:t>UOKiK</w:t>
      </w:r>
      <w:proofErr w:type="spellEnd"/>
      <w:r w:rsidR="00EE2AD8">
        <w:t xml:space="preserve"> from 17 May 2022, no. </w:t>
      </w:r>
      <w:r w:rsidR="00EE2AD8" w:rsidRPr="00C14F0D">
        <w:rPr>
          <w:rFonts w:cs="Times New Roman"/>
        </w:rPr>
        <w:t>RBG - 2/2022</w:t>
      </w:r>
      <w:r w:rsidR="00EE2AD8">
        <w:rPr>
          <w:rFonts w:cs="Times New Roman"/>
        </w:rPr>
        <w:t xml:space="preserve">, para. 80, </w:t>
      </w:r>
      <w:r w:rsidR="00EE2AD8">
        <w:t xml:space="preserve">decision of the President of </w:t>
      </w:r>
      <w:proofErr w:type="spellStart"/>
      <w:r w:rsidR="00EE2AD8">
        <w:t>UOKiK</w:t>
      </w:r>
      <w:proofErr w:type="spellEnd"/>
      <w:r w:rsidR="00EE2AD8">
        <w:t xml:space="preserve"> from 1 August 2022, no. </w:t>
      </w:r>
      <w:r w:rsidR="00EE2AD8" w:rsidRPr="006863CC">
        <w:rPr>
          <w:rFonts w:cs="Times New Roman"/>
          <w:lang w:val="pl-PL"/>
        </w:rPr>
        <w:t>RBG - 9/2022,</w:t>
      </w:r>
      <w:r w:rsidR="002C7939" w:rsidRPr="006863CC">
        <w:rPr>
          <w:rFonts w:cs="Times New Roman"/>
          <w:lang w:val="pl-PL"/>
        </w:rPr>
        <w:t xml:space="preserve"> para. 81. </w:t>
      </w:r>
      <w:r w:rsidR="00EE2AD8" w:rsidRPr="006863CC">
        <w:rPr>
          <w:rFonts w:cs="Times New Roman"/>
          <w:lang w:val="pl-PL"/>
        </w:rPr>
        <w:t xml:space="preserve"> </w:t>
      </w:r>
    </w:p>
  </w:footnote>
  <w:footnote w:id="39">
    <w:p w14:paraId="5A1E0F79" w14:textId="44F1A64A" w:rsidR="00D1063C" w:rsidRPr="00BD6219" w:rsidRDefault="00D1063C" w:rsidP="006863CC">
      <w:pPr>
        <w:pStyle w:val="Tekstprzypisudolnego"/>
        <w:jc w:val="left"/>
        <w:rPr>
          <w:lang w:val="pl-PL"/>
        </w:rPr>
      </w:pPr>
      <w:r>
        <w:rPr>
          <w:rStyle w:val="Odwoanieprzypisudolnego"/>
        </w:rPr>
        <w:footnoteRef/>
      </w:r>
      <w:r w:rsidRPr="006863CC">
        <w:rPr>
          <w:lang w:val="pl-PL"/>
        </w:rPr>
        <w:t xml:space="preserve"> </w:t>
      </w:r>
      <w:r w:rsidR="00F561ED" w:rsidRPr="006863CC">
        <w:rPr>
          <w:lang w:val="pl-PL"/>
        </w:rPr>
        <w:t>Rabaty handlowe. Raport podsumowujący prowadzone przez Prezesa UOKiK postępowania wyjaśniające dotyczące rabatów handlowych stosowanych w relacjach sieci handlowych z dostawcami produktów rolnych lub spożywczych.</w:t>
      </w:r>
      <w:r w:rsidR="00F561ED">
        <w:rPr>
          <w:lang w:val="pl-PL"/>
        </w:rPr>
        <w:t xml:space="preserve"> </w:t>
      </w:r>
      <w:r w:rsidR="00344C8F" w:rsidRPr="00BD6219">
        <w:rPr>
          <w:lang w:val="pl-PL"/>
        </w:rPr>
        <w:t>Departament Przewagi Kontraktowej UOKiK kwiecień 2021 r.</w:t>
      </w:r>
      <w:r w:rsidR="002B36A1" w:rsidRPr="0050592D">
        <w:rPr>
          <w:lang w:val="pl-PL"/>
        </w:rPr>
        <w:t xml:space="preserve"> </w:t>
      </w:r>
      <w:proofErr w:type="spellStart"/>
      <w:r w:rsidR="002B36A1" w:rsidRPr="00BD6219">
        <w:rPr>
          <w:lang w:val="de-CH"/>
        </w:rPr>
        <w:t>available</w:t>
      </w:r>
      <w:proofErr w:type="spellEnd"/>
      <w:r w:rsidR="002B36A1" w:rsidRPr="00BD6219">
        <w:rPr>
          <w:lang w:val="de-CH"/>
        </w:rPr>
        <w:t xml:space="preserve"> at</w:t>
      </w:r>
      <w:r w:rsidR="00344C8F" w:rsidRPr="00BD6219">
        <w:rPr>
          <w:sz w:val="16"/>
          <w:szCs w:val="16"/>
          <w:lang w:val="pl-PL"/>
        </w:rPr>
        <w:t xml:space="preserve"> </w:t>
      </w:r>
      <w:hyperlink r:id="rId4" w:history="1">
        <w:r w:rsidR="002B36A1" w:rsidRPr="0050592D">
          <w:rPr>
            <w:rStyle w:val="Hipercze"/>
            <w:lang w:val="pl-PL"/>
          </w:rPr>
          <w:t>https://www.uokik.gov.pl/download.php?plik=25434</w:t>
        </w:r>
      </w:hyperlink>
      <w:r w:rsidR="005E1F87" w:rsidRPr="0050592D">
        <w:rPr>
          <w:lang w:val="pl-PL"/>
        </w:rPr>
        <w:t xml:space="preserve"> </w:t>
      </w:r>
      <w:proofErr w:type="spellStart"/>
      <w:r w:rsidR="005E1F87" w:rsidRPr="00BD6219">
        <w:rPr>
          <w:lang w:val="pl-PL"/>
        </w:rPr>
        <w:t>Accessed</w:t>
      </w:r>
      <w:proofErr w:type="spellEnd"/>
      <w:r w:rsidR="005E1F87" w:rsidRPr="00BD6219">
        <w:rPr>
          <w:lang w:val="pl-PL"/>
        </w:rPr>
        <w:t xml:space="preserve"> 10 </w:t>
      </w:r>
      <w:proofErr w:type="spellStart"/>
      <w:r w:rsidR="005E1F87" w:rsidRPr="00BD6219">
        <w:rPr>
          <w:lang w:val="pl-PL"/>
        </w:rPr>
        <w:t>July</w:t>
      </w:r>
      <w:proofErr w:type="spellEnd"/>
      <w:r w:rsidR="005E1F87" w:rsidRPr="00BD6219">
        <w:rPr>
          <w:lang w:val="pl-PL"/>
        </w:rPr>
        <w:t xml:space="preserve"> 2025</w:t>
      </w:r>
      <w:r w:rsidR="002B36A1" w:rsidRPr="0050592D">
        <w:rPr>
          <w:lang w:val="pl-PL"/>
        </w:rPr>
        <w:t xml:space="preserve">. </w:t>
      </w:r>
    </w:p>
  </w:footnote>
  <w:footnote w:id="40">
    <w:p w14:paraId="45E298B4" w14:textId="5456FB6E" w:rsidR="00921BAA" w:rsidRPr="00BD6219" w:rsidRDefault="00921BAA">
      <w:pPr>
        <w:pStyle w:val="Tekstprzypisudolnego"/>
        <w:rPr>
          <w:lang w:val="en-US"/>
        </w:rPr>
      </w:pPr>
      <w:r>
        <w:rPr>
          <w:rStyle w:val="Odwoanieprzypisudolnego"/>
        </w:rPr>
        <w:footnoteRef/>
      </w:r>
      <w:r w:rsidRPr="00BD6219">
        <w:rPr>
          <w:lang w:val="pl-PL"/>
        </w:rPr>
        <w:t xml:space="preserve"> </w:t>
      </w:r>
      <w:r>
        <w:rPr>
          <w:lang w:val="pl-PL"/>
        </w:rPr>
        <w:t xml:space="preserve">Opłaty </w:t>
      </w:r>
      <w:proofErr w:type="spellStart"/>
      <w:r w:rsidR="00EB0CC4">
        <w:rPr>
          <w:lang w:val="pl-PL"/>
        </w:rPr>
        <w:t>okołosprzedażowe</w:t>
      </w:r>
      <w:proofErr w:type="spellEnd"/>
      <w:r>
        <w:rPr>
          <w:lang w:val="pl-PL"/>
        </w:rPr>
        <w:t xml:space="preserve">. </w:t>
      </w:r>
      <w:r w:rsidRPr="00BD6219">
        <w:rPr>
          <w:lang w:val="pl-PL"/>
        </w:rPr>
        <w:t>Raport podsumowujący badanie rynku przeprowadzone przez Prezesa UOKiK</w:t>
      </w:r>
      <w:r w:rsidR="00EB0CC4">
        <w:rPr>
          <w:lang w:val="pl-PL"/>
        </w:rPr>
        <w:t xml:space="preserve">. </w:t>
      </w:r>
      <w:r w:rsidR="00EB0CC4" w:rsidRPr="00BD6219">
        <w:rPr>
          <w:lang w:val="pl-PL"/>
        </w:rPr>
        <w:t>Urząd Ochrony Konkurencji i Konsumentów listopad 2022</w:t>
      </w:r>
      <w:r w:rsidR="00D816E4">
        <w:rPr>
          <w:lang w:val="pl-PL"/>
        </w:rPr>
        <w:t xml:space="preserve">, </w:t>
      </w:r>
      <w:proofErr w:type="spellStart"/>
      <w:r w:rsidR="00D816E4" w:rsidRPr="00BD6219">
        <w:rPr>
          <w:lang w:val="de-CH"/>
        </w:rPr>
        <w:t>available</w:t>
      </w:r>
      <w:proofErr w:type="spellEnd"/>
      <w:r w:rsidR="00D816E4" w:rsidRPr="00BD6219">
        <w:rPr>
          <w:lang w:val="de-CH"/>
        </w:rPr>
        <w:t xml:space="preserve"> at</w:t>
      </w:r>
      <w:r w:rsidR="00EB0CC4" w:rsidRPr="00BD6219">
        <w:rPr>
          <w:sz w:val="16"/>
          <w:szCs w:val="16"/>
          <w:lang w:val="pl-PL"/>
        </w:rPr>
        <w:t xml:space="preserve"> </w:t>
      </w:r>
      <w:hyperlink r:id="rId5" w:history="1">
        <w:r w:rsidR="00EB0CC4" w:rsidRPr="00BD6219">
          <w:rPr>
            <w:rStyle w:val="Hipercze"/>
            <w:lang w:val="pl-PL"/>
          </w:rPr>
          <w:t>https://uokik.gov.pl/Download/879</w:t>
        </w:r>
      </w:hyperlink>
      <w:r w:rsidR="00D816E4">
        <w:rPr>
          <w:lang w:val="pl-PL"/>
        </w:rPr>
        <w:t xml:space="preserve">. </w:t>
      </w:r>
      <w:r w:rsidR="00D816E4">
        <w:rPr>
          <w:lang w:val="en-US"/>
        </w:rPr>
        <w:t xml:space="preserve">Accessed 10 July 2025. </w:t>
      </w:r>
      <w:r w:rsidR="00D816E4" w:rsidRPr="00BD6219">
        <w:rPr>
          <w:lang w:val="en-US"/>
        </w:rPr>
        <w:t xml:space="preserve"> </w:t>
      </w:r>
      <w:r w:rsidR="00EB0CC4" w:rsidRPr="00BD6219">
        <w:rPr>
          <w:lang w:val="en-US"/>
        </w:rPr>
        <w:t xml:space="preserve"> </w:t>
      </w:r>
    </w:p>
  </w:footnote>
  <w:footnote w:id="41">
    <w:p w14:paraId="41CD3B7A" w14:textId="59E8572D" w:rsidR="002C7939" w:rsidRPr="002C7939" w:rsidRDefault="002C7939">
      <w:pPr>
        <w:pStyle w:val="Tekstprzypisudolnego"/>
        <w:rPr>
          <w:lang w:val="en-US"/>
        </w:rPr>
      </w:pPr>
      <w:r>
        <w:rPr>
          <w:rStyle w:val="Odwoanieprzypisudolnego"/>
        </w:rPr>
        <w:footnoteRef/>
      </w:r>
      <w:r>
        <w:t xml:space="preserve"> </w:t>
      </w:r>
      <w:r w:rsidRPr="002C7939">
        <w:rPr>
          <w:lang w:val="en-US"/>
        </w:rPr>
        <w:t>These documents can be found o</w:t>
      </w:r>
      <w:r>
        <w:rPr>
          <w:lang w:val="en-US"/>
        </w:rPr>
        <w:t xml:space="preserve">n </w:t>
      </w:r>
      <w:proofErr w:type="spellStart"/>
      <w:r>
        <w:rPr>
          <w:lang w:val="en-US"/>
        </w:rPr>
        <w:t>UOKiK’s</w:t>
      </w:r>
      <w:proofErr w:type="spellEnd"/>
      <w:r>
        <w:rPr>
          <w:lang w:val="en-US"/>
        </w:rPr>
        <w:t xml:space="preserve"> webpage </w:t>
      </w:r>
      <w:hyperlink r:id="rId6" w:history="1">
        <w:r w:rsidR="00F561ED" w:rsidRPr="00F561ED">
          <w:rPr>
            <w:rStyle w:val="Hipercze"/>
            <w:lang w:val="en-US"/>
          </w:rPr>
          <w:t>https://uokik.gov.pl/przewaga-kontraktowa-przydatne-dokumenty</w:t>
        </w:r>
      </w:hyperlink>
      <w:r w:rsidR="009C6B48">
        <w:rPr>
          <w:lang w:val="en-US"/>
        </w:rPr>
        <w:t xml:space="preserve">. Accessed 10 July 2025. </w:t>
      </w:r>
    </w:p>
  </w:footnote>
  <w:footnote w:id="42">
    <w:p w14:paraId="202F42EF" w14:textId="4190370E" w:rsidR="001B4DA3" w:rsidRPr="006863CC" w:rsidRDefault="001B4DA3">
      <w:pPr>
        <w:pStyle w:val="Tekstprzypisudolnego"/>
        <w:rPr>
          <w:lang w:val="en"/>
        </w:rPr>
      </w:pPr>
      <w:r>
        <w:rPr>
          <w:rStyle w:val="Odwoanieprzypisudolnego"/>
        </w:rPr>
        <w:footnoteRef/>
      </w:r>
      <w:r>
        <w:t xml:space="preserve"> </w:t>
      </w:r>
      <w:r w:rsidR="006C1E3A" w:rsidRPr="006863CC">
        <w:t xml:space="preserve">Proposal for a </w:t>
      </w:r>
      <w:r w:rsidR="00BD6219">
        <w:t xml:space="preserve">Regulation of the European Parliament and of the Council </w:t>
      </w:r>
      <w:r w:rsidR="006C1E3A" w:rsidRPr="006863CC">
        <w:t>on cooperation among enforcement authorities responsible for the enforcement of Directive (EU) 2019/633 on unfair trading practices in business-to-business relationships in the agricultural and food supply chain</w:t>
      </w:r>
      <w:r w:rsidR="009F6359">
        <w:rPr>
          <w:lang w:val="en-US"/>
        </w:rPr>
        <w:t xml:space="preserve"> (</w:t>
      </w:r>
      <w:r w:rsidR="009F6359" w:rsidRPr="009F6359">
        <w:rPr>
          <w:lang w:val="en"/>
        </w:rPr>
        <w:t>COM/2024/576 final</w:t>
      </w:r>
      <w:r w:rsidR="009F6359">
        <w:rPr>
          <w:lang w:val="en"/>
        </w:rPr>
        <w:t>)</w:t>
      </w:r>
      <w:r w:rsidR="00E95B1D">
        <w:rPr>
          <w:lang w:val="en"/>
        </w:rPr>
        <w:t xml:space="preserve">, </w:t>
      </w:r>
      <w:proofErr w:type="spellStart"/>
      <w:r w:rsidR="00E95B1D" w:rsidRPr="006863CC">
        <w:rPr>
          <w:lang w:val="de-CH"/>
        </w:rPr>
        <w:t>available</w:t>
      </w:r>
      <w:proofErr w:type="spellEnd"/>
      <w:r w:rsidR="00E95B1D" w:rsidRPr="006863CC">
        <w:rPr>
          <w:lang w:val="de-CH"/>
        </w:rPr>
        <w:t xml:space="preserve"> at</w:t>
      </w:r>
      <w:r w:rsidRPr="006863CC">
        <w:rPr>
          <w:sz w:val="16"/>
          <w:szCs w:val="16"/>
          <w:lang w:val="en-US"/>
        </w:rPr>
        <w:t xml:space="preserve"> </w:t>
      </w:r>
      <w:hyperlink r:id="rId7" w:anchor="footnote2" w:history="1">
        <w:r w:rsidR="000854AB" w:rsidRPr="006863CC">
          <w:rPr>
            <w:rStyle w:val="Hipercze"/>
            <w:lang w:val="en-US"/>
          </w:rPr>
          <w:t>https://eur-lex.europa.eu/legal-content/EN/TXT/?uri=celex:52024PC0576#footnote2</w:t>
        </w:r>
      </w:hyperlink>
      <w:r w:rsidR="00E95B1D">
        <w:rPr>
          <w:lang w:val="en-US"/>
        </w:rPr>
        <w:t xml:space="preserve">. </w:t>
      </w:r>
      <w:r w:rsidR="00796AC2" w:rsidRPr="006863CC">
        <w:t>Accessed</w:t>
      </w:r>
      <w:r w:rsidR="00796AC2" w:rsidRPr="006863CC">
        <w:rPr>
          <w:sz w:val="16"/>
          <w:szCs w:val="16"/>
          <w:lang w:val="en-US"/>
        </w:rPr>
        <w:t xml:space="preserve"> </w:t>
      </w:r>
      <w:r w:rsidR="000854AB">
        <w:rPr>
          <w:lang w:val="en-US"/>
        </w:rPr>
        <w:t>10 July 2025</w:t>
      </w:r>
      <w:r w:rsidR="008A45E5">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313"/>
    <w:multiLevelType w:val="multilevel"/>
    <w:tmpl w:val="45543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353E5"/>
    <w:multiLevelType w:val="multilevel"/>
    <w:tmpl w:val="61B28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B5E45"/>
    <w:multiLevelType w:val="multilevel"/>
    <w:tmpl w:val="7D7C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C2E53"/>
    <w:multiLevelType w:val="multilevel"/>
    <w:tmpl w:val="C3DE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60C1E"/>
    <w:multiLevelType w:val="multilevel"/>
    <w:tmpl w:val="3DBEE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A6913"/>
    <w:multiLevelType w:val="multilevel"/>
    <w:tmpl w:val="978E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10533"/>
    <w:multiLevelType w:val="multilevel"/>
    <w:tmpl w:val="58F2C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A7785"/>
    <w:multiLevelType w:val="multilevel"/>
    <w:tmpl w:val="181E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16207A"/>
    <w:multiLevelType w:val="multilevel"/>
    <w:tmpl w:val="47FE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8F0E59"/>
    <w:multiLevelType w:val="multilevel"/>
    <w:tmpl w:val="58A88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90293"/>
    <w:multiLevelType w:val="multilevel"/>
    <w:tmpl w:val="DF44B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207AF"/>
    <w:multiLevelType w:val="multilevel"/>
    <w:tmpl w:val="0F8A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83639"/>
    <w:multiLevelType w:val="multilevel"/>
    <w:tmpl w:val="BCE8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5B126E"/>
    <w:multiLevelType w:val="multilevel"/>
    <w:tmpl w:val="7D7E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05044F"/>
    <w:multiLevelType w:val="multilevel"/>
    <w:tmpl w:val="0606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CD3897"/>
    <w:multiLevelType w:val="multilevel"/>
    <w:tmpl w:val="1DF82B48"/>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6" w15:restartNumberingAfterBreak="0">
    <w:nsid w:val="584047B1"/>
    <w:multiLevelType w:val="multilevel"/>
    <w:tmpl w:val="26EE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F2D11"/>
    <w:multiLevelType w:val="multilevel"/>
    <w:tmpl w:val="33969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9051FB"/>
    <w:multiLevelType w:val="multilevel"/>
    <w:tmpl w:val="99E8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6A4B04"/>
    <w:multiLevelType w:val="multilevel"/>
    <w:tmpl w:val="240E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E773A0"/>
    <w:multiLevelType w:val="multilevel"/>
    <w:tmpl w:val="14EA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94499"/>
    <w:multiLevelType w:val="multilevel"/>
    <w:tmpl w:val="DBAC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7666E9"/>
    <w:multiLevelType w:val="multilevel"/>
    <w:tmpl w:val="A60A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A1442F"/>
    <w:multiLevelType w:val="multilevel"/>
    <w:tmpl w:val="F5EE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B66BBC"/>
    <w:multiLevelType w:val="multilevel"/>
    <w:tmpl w:val="B074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664810"/>
    <w:multiLevelType w:val="multilevel"/>
    <w:tmpl w:val="A182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391503">
    <w:abstractNumId w:val="1"/>
  </w:num>
  <w:num w:numId="2" w16cid:durableId="1395816394">
    <w:abstractNumId w:val="0"/>
  </w:num>
  <w:num w:numId="3" w16cid:durableId="963077495">
    <w:abstractNumId w:val="16"/>
  </w:num>
  <w:num w:numId="4" w16cid:durableId="878935120">
    <w:abstractNumId w:val="12"/>
  </w:num>
  <w:num w:numId="5" w16cid:durableId="1363093798">
    <w:abstractNumId w:val="24"/>
  </w:num>
  <w:num w:numId="6" w16cid:durableId="1484543767">
    <w:abstractNumId w:val="21"/>
  </w:num>
  <w:num w:numId="7" w16cid:durableId="2020889907">
    <w:abstractNumId w:val="11"/>
  </w:num>
  <w:num w:numId="8" w16cid:durableId="1579484347">
    <w:abstractNumId w:val="8"/>
  </w:num>
  <w:num w:numId="9" w16cid:durableId="633366494">
    <w:abstractNumId w:val="6"/>
  </w:num>
  <w:num w:numId="10" w16cid:durableId="563566780">
    <w:abstractNumId w:val="22"/>
  </w:num>
  <w:num w:numId="11" w16cid:durableId="1098063362">
    <w:abstractNumId w:val="23"/>
  </w:num>
  <w:num w:numId="12" w16cid:durableId="1737630970">
    <w:abstractNumId w:val="25"/>
  </w:num>
  <w:num w:numId="13" w16cid:durableId="1280911945">
    <w:abstractNumId w:val="9"/>
  </w:num>
  <w:num w:numId="14" w16cid:durableId="1013412396">
    <w:abstractNumId w:val="18"/>
  </w:num>
  <w:num w:numId="15" w16cid:durableId="1174609306">
    <w:abstractNumId w:val="17"/>
  </w:num>
  <w:num w:numId="16" w16cid:durableId="992679067">
    <w:abstractNumId w:val="14"/>
  </w:num>
  <w:num w:numId="17" w16cid:durableId="35082654">
    <w:abstractNumId w:val="7"/>
  </w:num>
  <w:num w:numId="18" w16cid:durableId="1920749447">
    <w:abstractNumId w:val="20"/>
  </w:num>
  <w:num w:numId="19" w16cid:durableId="280847595">
    <w:abstractNumId w:val="4"/>
  </w:num>
  <w:num w:numId="20" w16cid:durableId="1879968207">
    <w:abstractNumId w:val="19"/>
  </w:num>
  <w:num w:numId="21" w16cid:durableId="1233390626">
    <w:abstractNumId w:val="2"/>
  </w:num>
  <w:num w:numId="22" w16cid:durableId="1030573983">
    <w:abstractNumId w:val="5"/>
  </w:num>
  <w:num w:numId="23" w16cid:durableId="420612634">
    <w:abstractNumId w:val="13"/>
  </w:num>
  <w:num w:numId="24" w16cid:durableId="1898471881">
    <w:abstractNumId w:val="10"/>
  </w:num>
  <w:num w:numId="25" w16cid:durableId="1116371201">
    <w:abstractNumId w:val="3"/>
  </w:num>
  <w:num w:numId="26" w16cid:durableId="1833837889">
    <w:abstractNumId w:val="15"/>
  </w:num>
  <w:num w:numId="27" w16cid:durableId="1295138024">
    <w:abstractNumId w:val="15"/>
  </w:num>
  <w:num w:numId="28" w16cid:durableId="766270302">
    <w:abstractNumId w:val="15"/>
  </w:num>
  <w:num w:numId="29" w16cid:durableId="436601357">
    <w:abstractNumId w:val="15"/>
  </w:num>
  <w:num w:numId="30" w16cid:durableId="1542208160">
    <w:abstractNumId w:val="15"/>
  </w:num>
  <w:num w:numId="31" w16cid:durableId="13783141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82"/>
    <w:rsid w:val="00006ACA"/>
    <w:rsid w:val="0001005B"/>
    <w:rsid w:val="00011E33"/>
    <w:rsid w:val="000122FE"/>
    <w:rsid w:val="00014471"/>
    <w:rsid w:val="000153B9"/>
    <w:rsid w:val="0001620D"/>
    <w:rsid w:val="00016425"/>
    <w:rsid w:val="0001667A"/>
    <w:rsid w:val="00021449"/>
    <w:rsid w:val="00023463"/>
    <w:rsid w:val="00023510"/>
    <w:rsid w:val="00025357"/>
    <w:rsid w:val="00025732"/>
    <w:rsid w:val="00025AD2"/>
    <w:rsid w:val="00031D0C"/>
    <w:rsid w:val="000328B8"/>
    <w:rsid w:val="00032E41"/>
    <w:rsid w:val="00041361"/>
    <w:rsid w:val="000432F1"/>
    <w:rsid w:val="00044349"/>
    <w:rsid w:val="00045415"/>
    <w:rsid w:val="0004550A"/>
    <w:rsid w:val="00046326"/>
    <w:rsid w:val="0005281E"/>
    <w:rsid w:val="0005766A"/>
    <w:rsid w:val="00060A5D"/>
    <w:rsid w:val="00060C61"/>
    <w:rsid w:val="00062EB0"/>
    <w:rsid w:val="00066970"/>
    <w:rsid w:val="000733F2"/>
    <w:rsid w:val="00074E3F"/>
    <w:rsid w:val="0007552B"/>
    <w:rsid w:val="00082AC9"/>
    <w:rsid w:val="00083D1F"/>
    <w:rsid w:val="000854AB"/>
    <w:rsid w:val="00093AEA"/>
    <w:rsid w:val="00094EAC"/>
    <w:rsid w:val="00095DB6"/>
    <w:rsid w:val="000A0532"/>
    <w:rsid w:val="000A3962"/>
    <w:rsid w:val="000A4394"/>
    <w:rsid w:val="000A6E97"/>
    <w:rsid w:val="000B052A"/>
    <w:rsid w:val="000B4B00"/>
    <w:rsid w:val="000B4B3D"/>
    <w:rsid w:val="000B7E6C"/>
    <w:rsid w:val="000C04A7"/>
    <w:rsid w:val="000C5615"/>
    <w:rsid w:val="000D2832"/>
    <w:rsid w:val="000D50F5"/>
    <w:rsid w:val="000E0B69"/>
    <w:rsid w:val="000E1505"/>
    <w:rsid w:val="000E2DEA"/>
    <w:rsid w:val="000E4375"/>
    <w:rsid w:val="000F2291"/>
    <w:rsid w:val="000F3E3E"/>
    <w:rsid w:val="000F4044"/>
    <w:rsid w:val="000F43CA"/>
    <w:rsid w:val="000F5F47"/>
    <w:rsid w:val="000F7E05"/>
    <w:rsid w:val="0010069F"/>
    <w:rsid w:val="0010124F"/>
    <w:rsid w:val="00116958"/>
    <w:rsid w:val="0012153F"/>
    <w:rsid w:val="00121D84"/>
    <w:rsid w:val="0012210D"/>
    <w:rsid w:val="001245D6"/>
    <w:rsid w:val="00124885"/>
    <w:rsid w:val="0013475F"/>
    <w:rsid w:val="001349FB"/>
    <w:rsid w:val="001360AA"/>
    <w:rsid w:val="00136475"/>
    <w:rsid w:val="00136C64"/>
    <w:rsid w:val="00147FFE"/>
    <w:rsid w:val="0015309E"/>
    <w:rsid w:val="00156E16"/>
    <w:rsid w:val="00163758"/>
    <w:rsid w:val="00165FF0"/>
    <w:rsid w:val="0016754E"/>
    <w:rsid w:val="00173481"/>
    <w:rsid w:val="00173D67"/>
    <w:rsid w:val="001764AB"/>
    <w:rsid w:val="00176784"/>
    <w:rsid w:val="001827F6"/>
    <w:rsid w:val="001849E1"/>
    <w:rsid w:val="00184FF5"/>
    <w:rsid w:val="0018698D"/>
    <w:rsid w:val="00193E33"/>
    <w:rsid w:val="00195FD6"/>
    <w:rsid w:val="001A046C"/>
    <w:rsid w:val="001A08BD"/>
    <w:rsid w:val="001A67BE"/>
    <w:rsid w:val="001A6890"/>
    <w:rsid w:val="001A6EAF"/>
    <w:rsid w:val="001B2037"/>
    <w:rsid w:val="001B22FA"/>
    <w:rsid w:val="001B4DA3"/>
    <w:rsid w:val="001B55AA"/>
    <w:rsid w:val="001C33FC"/>
    <w:rsid w:val="001C4391"/>
    <w:rsid w:val="001C4F9E"/>
    <w:rsid w:val="001C6955"/>
    <w:rsid w:val="001C76AE"/>
    <w:rsid w:val="001D256B"/>
    <w:rsid w:val="001D5A36"/>
    <w:rsid w:val="001D6863"/>
    <w:rsid w:val="001D68F0"/>
    <w:rsid w:val="001D7C39"/>
    <w:rsid w:val="001E3F67"/>
    <w:rsid w:val="001F770D"/>
    <w:rsid w:val="00201EC6"/>
    <w:rsid w:val="00205379"/>
    <w:rsid w:val="0020648A"/>
    <w:rsid w:val="00213383"/>
    <w:rsid w:val="00214230"/>
    <w:rsid w:val="002143AE"/>
    <w:rsid w:val="00215E3D"/>
    <w:rsid w:val="002243E3"/>
    <w:rsid w:val="00224661"/>
    <w:rsid w:val="0022633A"/>
    <w:rsid w:val="00232184"/>
    <w:rsid w:val="0024432B"/>
    <w:rsid w:val="00244CB2"/>
    <w:rsid w:val="002452AB"/>
    <w:rsid w:val="00253D43"/>
    <w:rsid w:val="00254076"/>
    <w:rsid w:val="00256819"/>
    <w:rsid w:val="00264F85"/>
    <w:rsid w:val="002679ED"/>
    <w:rsid w:val="002710BA"/>
    <w:rsid w:val="00271396"/>
    <w:rsid w:val="00274E13"/>
    <w:rsid w:val="0027509A"/>
    <w:rsid w:val="00276918"/>
    <w:rsid w:val="00277106"/>
    <w:rsid w:val="00281787"/>
    <w:rsid w:val="002846CD"/>
    <w:rsid w:val="002909FB"/>
    <w:rsid w:val="00291CE7"/>
    <w:rsid w:val="00294216"/>
    <w:rsid w:val="00294A05"/>
    <w:rsid w:val="002968D3"/>
    <w:rsid w:val="002A03A5"/>
    <w:rsid w:val="002A0DCB"/>
    <w:rsid w:val="002A199D"/>
    <w:rsid w:val="002A2908"/>
    <w:rsid w:val="002B23F4"/>
    <w:rsid w:val="002B36A1"/>
    <w:rsid w:val="002B43C1"/>
    <w:rsid w:val="002B5622"/>
    <w:rsid w:val="002B6051"/>
    <w:rsid w:val="002B69BC"/>
    <w:rsid w:val="002B7C93"/>
    <w:rsid w:val="002C04BE"/>
    <w:rsid w:val="002C0BA0"/>
    <w:rsid w:val="002C5345"/>
    <w:rsid w:val="002C5466"/>
    <w:rsid w:val="002C7939"/>
    <w:rsid w:val="002D5EAB"/>
    <w:rsid w:val="002D61F4"/>
    <w:rsid w:val="002D710B"/>
    <w:rsid w:val="002E3431"/>
    <w:rsid w:val="002E5CD2"/>
    <w:rsid w:val="002F205F"/>
    <w:rsid w:val="003003DD"/>
    <w:rsid w:val="00302415"/>
    <w:rsid w:val="00302645"/>
    <w:rsid w:val="003038AB"/>
    <w:rsid w:val="00303945"/>
    <w:rsid w:val="00303F0A"/>
    <w:rsid w:val="003046E5"/>
    <w:rsid w:val="00305467"/>
    <w:rsid w:val="003075DC"/>
    <w:rsid w:val="00310C47"/>
    <w:rsid w:val="0031259E"/>
    <w:rsid w:val="003128B2"/>
    <w:rsid w:val="00314798"/>
    <w:rsid w:val="003222D5"/>
    <w:rsid w:val="0033188A"/>
    <w:rsid w:val="00335448"/>
    <w:rsid w:val="00341D1B"/>
    <w:rsid w:val="003429A0"/>
    <w:rsid w:val="00344C8F"/>
    <w:rsid w:val="00346C44"/>
    <w:rsid w:val="003478FB"/>
    <w:rsid w:val="00351F21"/>
    <w:rsid w:val="00352F19"/>
    <w:rsid w:val="00353FF4"/>
    <w:rsid w:val="00361126"/>
    <w:rsid w:val="003759CD"/>
    <w:rsid w:val="003760EB"/>
    <w:rsid w:val="003812F4"/>
    <w:rsid w:val="00381389"/>
    <w:rsid w:val="0038293B"/>
    <w:rsid w:val="00382AC4"/>
    <w:rsid w:val="003848D1"/>
    <w:rsid w:val="00386540"/>
    <w:rsid w:val="00392608"/>
    <w:rsid w:val="00392A9A"/>
    <w:rsid w:val="00393E01"/>
    <w:rsid w:val="00394744"/>
    <w:rsid w:val="00395AD5"/>
    <w:rsid w:val="00395CE8"/>
    <w:rsid w:val="003A0F2F"/>
    <w:rsid w:val="003A3EA4"/>
    <w:rsid w:val="003A6C20"/>
    <w:rsid w:val="003B66D4"/>
    <w:rsid w:val="003C45B0"/>
    <w:rsid w:val="003C6213"/>
    <w:rsid w:val="003D268C"/>
    <w:rsid w:val="003D51B3"/>
    <w:rsid w:val="003E263B"/>
    <w:rsid w:val="003E36BE"/>
    <w:rsid w:val="003F430C"/>
    <w:rsid w:val="003F5864"/>
    <w:rsid w:val="0040268E"/>
    <w:rsid w:val="004046EF"/>
    <w:rsid w:val="004066D8"/>
    <w:rsid w:val="00411EDC"/>
    <w:rsid w:val="00413E5B"/>
    <w:rsid w:val="0041415D"/>
    <w:rsid w:val="00416B5F"/>
    <w:rsid w:val="004219A5"/>
    <w:rsid w:val="00421E9D"/>
    <w:rsid w:val="00423ACE"/>
    <w:rsid w:val="00423BE3"/>
    <w:rsid w:val="0043743F"/>
    <w:rsid w:val="0044548E"/>
    <w:rsid w:val="00447BEE"/>
    <w:rsid w:val="0045079A"/>
    <w:rsid w:val="004531A4"/>
    <w:rsid w:val="00454D0F"/>
    <w:rsid w:val="00455D41"/>
    <w:rsid w:val="00460EA3"/>
    <w:rsid w:val="004657D0"/>
    <w:rsid w:val="00470B69"/>
    <w:rsid w:val="00471E55"/>
    <w:rsid w:val="004741F0"/>
    <w:rsid w:val="00480933"/>
    <w:rsid w:val="004823C1"/>
    <w:rsid w:val="004829EA"/>
    <w:rsid w:val="00482A34"/>
    <w:rsid w:val="00483F36"/>
    <w:rsid w:val="00485E02"/>
    <w:rsid w:val="00485F13"/>
    <w:rsid w:val="00492372"/>
    <w:rsid w:val="00493AFF"/>
    <w:rsid w:val="00494120"/>
    <w:rsid w:val="00495E24"/>
    <w:rsid w:val="004A38EF"/>
    <w:rsid w:val="004A42DF"/>
    <w:rsid w:val="004A52BC"/>
    <w:rsid w:val="004A64B5"/>
    <w:rsid w:val="004A64DA"/>
    <w:rsid w:val="004A65D8"/>
    <w:rsid w:val="004B1410"/>
    <w:rsid w:val="004B2F32"/>
    <w:rsid w:val="004B42D6"/>
    <w:rsid w:val="004B791F"/>
    <w:rsid w:val="004C0E82"/>
    <w:rsid w:val="004C60DB"/>
    <w:rsid w:val="004C7F3A"/>
    <w:rsid w:val="004D68C2"/>
    <w:rsid w:val="004E41BC"/>
    <w:rsid w:val="004F0A1B"/>
    <w:rsid w:val="004F2D34"/>
    <w:rsid w:val="004F5AAB"/>
    <w:rsid w:val="0050073F"/>
    <w:rsid w:val="00500B35"/>
    <w:rsid w:val="005041E3"/>
    <w:rsid w:val="00504CBE"/>
    <w:rsid w:val="005051DA"/>
    <w:rsid w:val="0050592D"/>
    <w:rsid w:val="005140A9"/>
    <w:rsid w:val="0052089C"/>
    <w:rsid w:val="00522B9F"/>
    <w:rsid w:val="00523188"/>
    <w:rsid w:val="00530660"/>
    <w:rsid w:val="0053774E"/>
    <w:rsid w:val="005432CC"/>
    <w:rsid w:val="00545205"/>
    <w:rsid w:val="00545D07"/>
    <w:rsid w:val="005461AC"/>
    <w:rsid w:val="00550D91"/>
    <w:rsid w:val="00551ACD"/>
    <w:rsid w:val="00552FF4"/>
    <w:rsid w:val="00553856"/>
    <w:rsid w:val="00556C2D"/>
    <w:rsid w:val="00557BB3"/>
    <w:rsid w:val="00561BAD"/>
    <w:rsid w:val="00566F24"/>
    <w:rsid w:val="005720D3"/>
    <w:rsid w:val="00573D4E"/>
    <w:rsid w:val="00591B1B"/>
    <w:rsid w:val="00592ABC"/>
    <w:rsid w:val="005937A0"/>
    <w:rsid w:val="0059460B"/>
    <w:rsid w:val="00596D5A"/>
    <w:rsid w:val="005A2936"/>
    <w:rsid w:val="005A4615"/>
    <w:rsid w:val="005B22A4"/>
    <w:rsid w:val="005B3F7B"/>
    <w:rsid w:val="005B53B6"/>
    <w:rsid w:val="005B579D"/>
    <w:rsid w:val="005B7CDE"/>
    <w:rsid w:val="005C0657"/>
    <w:rsid w:val="005D7E03"/>
    <w:rsid w:val="005E17D1"/>
    <w:rsid w:val="005E1F87"/>
    <w:rsid w:val="005E2920"/>
    <w:rsid w:val="005F3299"/>
    <w:rsid w:val="005F4BB4"/>
    <w:rsid w:val="005F601C"/>
    <w:rsid w:val="0060464C"/>
    <w:rsid w:val="00611F8C"/>
    <w:rsid w:val="00616335"/>
    <w:rsid w:val="00621E20"/>
    <w:rsid w:val="00623FF0"/>
    <w:rsid w:val="00624397"/>
    <w:rsid w:val="00624DB8"/>
    <w:rsid w:val="00637558"/>
    <w:rsid w:val="00640AD0"/>
    <w:rsid w:val="00643D65"/>
    <w:rsid w:val="00651A0C"/>
    <w:rsid w:val="006527F2"/>
    <w:rsid w:val="00653574"/>
    <w:rsid w:val="00654894"/>
    <w:rsid w:val="00654C05"/>
    <w:rsid w:val="00655C21"/>
    <w:rsid w:val="00655F1F"/>
    <w:rsid w:val="00666AB7"/>
    <w:rsid w:val="00674EFA"/>
    <w:rsid w:val="00675228"/>
    <w:rsid w:val="00677370"/>
    <w:rsid w:val="006815E1"/>
    <w:rsid w:val="00682268"/>
    <w:rsid w:val="00683E5D"/>
    <w:rsid w:val="006863CC"/>
    <w:rsid w:val="006864BA"/>
    <w:rsid w:val="00691222"/>
    <w:rsid w:val="006924B7"/>
    <w:rsid w:val="0069302C"/>
    <w:rsid w:val="0069381B"/>
    <w:rsid w:val="006948E5"/>
    <w:rsid w:val="006A043B"/>
    <w:rsid w:val="006A7443"/>
    <w:rsid w:val="006B0971"/>
    <w:rsid w:val="006B3A9F"/>
    <w:rsid w:val="006C1E3A"/>
    <w:rsid w:val="006C29DF"/>
    <w:rsid w:val="006D1778"/>
    <w:rsid w:val="006D2351"/>
    <w:rsid w:val="006D45B1"/>
    <w:rsid w:val="006D6882"/>
    <w:rsid w:val="006D7103"/>
    <w:rsid w:val="006D7F59"/>
    <w:rsid w:val="006E0F2D"/>
    <w:rsid w:val="006E6AAD"/>
    <w:rsid w:val="006F0384"/>
    <w:rsid w:val="006F2159"/>
    <w:rsid w:val="006F2D9A"/>
    <w:rsid w:val="006F6F08"/>
    <w:rsid w:val="00700BC7"/>
    <w:rsid w:val="00701D63"/>
    <w:rsid w:val="0070224C"/>
    <w:rsid w:val="00702F3E"/>
    <w:rsid w:val="00703A99"/>
    <w:rsid w:val="007066C6"/>
    <w:rsid w:val="00710976"/>
    <w:rsid w:val="00711003"/>
    <w:rsid w:val="00716095"/>
    <w:rsid w:val="007161F8"/>
    <w:rsid w:val="00716804"/>
    <w:rsid w:val="00716C53"/>
    <w:rsid w:val="00725CEC"/>
    <w:rsid w:val="00730167"/>
    <w:rsid w:val="0073175E"/>
    <w:rsid w:val="00741870"/>
    <w:rsid w:val="007435B4"/>
    <w:rsid w:val="00743825"/>
    <w:rsid w:val="00745E6C"/>
    <w:rsid w:val="00755AA3"/>
    <w:rsid w:val="00762C6E"/>
    <w:rsid w:val="00765BFF"/>
    <w:rsid w:val="0076660C"/>
    <w:rsid w:val="00766D30"/>
    <w:rsid w:val="007715A6"/>
    <w:rsid w:val="00771765"/>
    <w:rsid w:val="007816C3"/>
    <w:rsid w:val="00781DB9"/>
    <w:rsid w:val="00783945"/>
    <w:rsid w:val="00786102"/>
    <w:rsid w:val="007911B9"/>
    <w:rsid w:val="007922D8"/>
    <w:rsid w:val="0079435B"/>
    <w:rsid w:val="00796AC2"/>
    <w:rsid w:val="007A4B78"/>
    <w:rsid w:val="007A7313"/>
    <w:rsid w:val="007B0188"/>
    <w:rsid w:val="007B09AE"/>
    <w:rsid w:val="007B6B05"/>
    <w:rsid w:val="007B7260"/>
    <w:rsid w:val="007C73A0"/>
    <w:rsid w:val="007D17EF"/>
    <w:rsid w:val="007D2A4E"/>
    <w:rsid w:val="007D374C"/>
    <w:rsid w:val="007D7333"/>
    <w:rsid w:val="007E0296"/>
    <w:rsid w:val="007E4692"/>
    <w:rsid w:val="007E71D7"/>
    <w:rsid w:val="007E7AC4"/>
    <w:rsid w:val="007F19EF"/>
    <w:rsid w:val="007F525B"/>
    <w:rsid w:val="007F78F9"/>
    <w:rsid w:val="00801FC0"/>
    <w:rsid w:val="008032E5"/>
    <w:rsid w:val="008044F2"/>
    <w:rsid w:val="008053F0"/>
    <w:rsid w:val="008116C8"/>
    <w:rsid w:val="0081209E"/>
    <w:rsid w:val="00812584"/>
    <w:rsid w:val="008134F6"/>
    <w:rsid w:val="0081447C"/>
    <w:rsid w:val="0082187E"/>
    <w:rsid w:val="008261CD"/>
    <w:rsid w:val="00826D58"/>
    <w:rsid w:val="00827208"/>
    <w:rsid w:val="00832E41"/>
    <w:rsid w:val="00834B78"/>
    <w:rsid w:val="00836607"/>
    <w:rsid w:val="00843D5A"/>
    <w:rsid w:val="00843E7A"/>
    <w:rsid w:val="00844E50"/>
    <w:rsid w:val="0084574D"/>
    <w:rsid w:val="008457C1"/>
    <w:rsid w:val="00846794"/>
    <w:rsid w:val="00852702"/>
    <w:rsid w:val="008533F5"/>
    <w:rsid w:val="008544C7"/>
    <w:rsid w:val="00857E73"/>
    <w:rsid w:val="008623C4"/>
    <w:rsid w:val="00862701"/>
    <w:rsid w:val="00863A6E"/>
    <w:rsid w:val="00863E84"/>
    <w:rsid w:val="00864415"/>
    <w:rsid w:val="00867874"/>
    <w:rsid w:val="00867C18"/>
    <w:rsid w:val="008702F8"/>
    <w:rsid w:val="00870900"/>
    <w:rsid w:val="00870C44"/>
    <w:rsid w:val="00870C5D"/>
    <w:rsid w:val="00872132"/>
    <w:rsid w:val="00890DBC"/>
    <w:rsid w:val="008A0CAA"/>
    <w:rsid w:val="008A2FC8"/>
    <w:rsid w:val="008A45E5"/>
    <w:rsid w:val="008A47B3"/>
    <w:rsid w:val="008A6E72"/>
    <w:rsid w:val="008B043A"/>
    <w:rsid w:val="008B1B81"/>
    <w:rsid w:val="008B2277"/>
    <w:rsid w:val="008B39A7"/>
    <w:rsid w:val="008B5377"/>
    <w:rsid w:val="008B5802"/>
    <w:rsid w:val="008B6AC5"/>
    <w:rsid w:val="008B7E08"/>
    <w:rsid w:val="008C139F"/>
    <w:rsid w:val="008C2C86"/>
    <w:rsid w:val="008C46BA"/>
    <w:rsid w:val="008C632D"/>
    <w:rsid w:val="008D73C1"/>
    <w:rsid w:val="008E031A"/>
    <w:rsid w:val="008E2425"/>
    <w:rsid w:val="008E24BD"/>
    <w:rsid w:val="008E29E6"/>
    <w:rsid w:val="008E488E"/>
    <w:rsid w:val="008E5C17"/>
    <w:rsid w:val="008F08AC"/>
    <w:rsid w:val="008F6767"/>
    <w:rsid w:val="00902958"/>
    <w:rsid w:val="00905040"/>
    <w:rsid w:val="00906123"/>
    <w:rsid w:val="00913E7E"/>
    <w:rsid w:val="00915771"/>
    <w:rsid w:val="0091726E"/>
    <w:rsid w:val="00917FB1"/>
    <w:rsid w:val="0092119C"/>
    <w:rsid w:val="00921BAA"/>
    <w:rsid w:val="009220F6"/>
    <w:rsid w:val="00926C12"/>
    <w:rsid w:val="00930180"/>
    <w:rsid w:val="009307FA"/>
    <w:rsid w:val="00933BEB"/>
    <w:rsid w:val="0093597B"/>
    <w:rsid w:val="00936CB5"/>
    <w:rsid w:val="009410A8"/>
    <w:rsid w:val="00941BD0"/>
    <w:rsid w:val="00943660"/>
    <w:rsid w:val="009450CD"/>
    <w:rsid w:val="0094520B"/>
    <w:rsid w:val="00945DF5"/>
    <w:rsid w:val="00947797"/>
    <w:rsid w:val="00952B10"/>
    <w:rsid w:val="00952F78"/>
    <w:rsid w:val="009650D5"/>
    <w:rsid w:val="0097190A"/>
    <w:rsid w:val="00975259"/>
    <w:rsid w:val="00977E89"/>
    <w:rsid w:val="009800AF"/>
    <w:rsid w:val="00980EDD"/>
    <w:rsid w:val="0098335A"/>
    <w:rsid w:val="009835DE"/>
    <w:rsid w:val="00983ABD"/>
    <w:rsid w:val="0098488B"/>
    <w:rsid w:val="00984C53"/>
    <w:rsid w:val="00985B9C"/>
    <w:rsid w:val="00991023"/>
    <w:rsid w:val="00994DC5"/>
    <w:rsid w:val="009A2A44"/>
    <w:rsid w:val="009A59FE"/>
    <w:rsid w:val="009A6A2C"/>
    <w:rsid w:val="009B1E0A"/>
    <w:rsid w:val="009B3115"/>
    <w:rsid w:val="009C2C80"/>
    <w:rsid w:val="009C4010"/>
    <w:rsid w:val="009C4FE6"/>
    <w:rsid w:val="009C5D13"/>
    <w:rsid w:val="009C67D1"/>
    <w:rsid w:val="009C6B48"/>
    <w:rsid w:val="009C71A5"/>
    <w:rsid w:val="009C78AD"/>
    <w:rsid w:val="009D36CC"/>
    <w:rsid w:val="009E2C91"/>
    <w:rsid w:val="009F6359"/>
    <w:rsid w:val="009F7BC5"/>
    <w:rsid w:val="00A03517"/>
    <w:rsid w:val="00A077A0"/>
    <w:rsid w:val="00A10B97"/>
    <w:rsid w:val="00A13270"/>
    <w:rsid w:val="00A1346C"/>
    <w:rsid w:val="00A1712C"/>
    <w:rsid w:val="00A210DF"/>
    <w:rsid w:val="00A23204"/>
    <w:rsid w:val="00A2764C"/>
    <w:rsid w:val="00A3467E"/>
    <w:rsid w:val="00A37C04"/>
    <w:rsid w:val="00A40AA1"/>
    <w:rsid w:val="00A52E82"/>
    <w:rsid w:val="00A55C4E"/>
    <w:rsid w:val="00A5618C"/>
    <w:rsid w:val="00A57517"/>
    <w:rsid w:val="00A57946"/>
    <w:rsid w:val="00A63DF5"/>
    <w:rsid w:val="00A65AB4"/>
    <w:rsid w:val="00A70FCE"/>
    <w:rsid w:val="00A76154"/>
    <w:rsid w:val="00A83251"/>
    <w:rsid w:val="00A84EE5"/>
    <w:rsid w:val="00A85C5E"/>
    <w:rsid w:val="00A8732F"/>
    <w:rsid w:val="00AA0588"/>
    <w:rsid w:val="00AA4B00"/>
    <w:rsid w:val="00AB00E1"/>
    <w:rsid w:val="00AB416C"/>
    <w:rsid w:val="00AC0E6B"/>
    <w:rsid w:val="00AC4E9D"/>
    <w:rsid w:val="00AC6C9B"/>
    <w:rsid w:val="00AC779D"/>
    <w:rsid w:val="00AD01B7"/>
    <w:rsid w:val="00AD0CFB"/>
    <w:rsid w:val="00AD5777"/>
    <w:rsid w:val="00AD59CA"/>
    <w:rsid w:val="00AD728D"/>
    <w:rsid w:val="00AD73EA"/>
    <w:rsid w:val="00AD7E82"/>
    <w:rsid w:val="00AE0AB5"/>
    <w:rsid w:val="00AE3B83"/>
    <w:rsid w:val="00AE3C25"/>
    <w:rsid w:val="00AF34FD"/>
    <w:rsid w:val="00AF350E"/>
    <w:rsid w:val="00AF7BCA"/>
    <w:rsid w:val="00B01B37"/>
    <w:rsid w:val="00B02153"/>
    <w:rsid w:val="00B02D65"/>
    <w:rsid w:val="00B03213"/>
    <w:rsid w:val="00B05A7D"/>
    <w:rsid w:val="00B1160B"/>
    <w:rsid w:val="00B12D79"/>
    <w:rsid w:val="00B27ADA"/>
    <w:rsid w:val="00B31B18"/>
    <w:rsid w:val="00B326D6"/>
    <w:rsid w:val="00B34685"/>
    <w:rsid w:val="00B36FFB"/>
    <w:rsid w:val="00B4125D"/>
    <w:rsid w:val="00B41DFA"/>
    <w:rsid w:val="00B42BDD"/>
    <w:rsid w:val="00B42EF7"/>
    <w:rsid w:val="00B44CBB"/>
    <w:rsid w:val="00B45AEE"/>
    <w:rsid w:val="00B518E7"/>
    <w:rsid w:val="00B51BF0"/>
    <w:rsid w:val="00B5405E"/>
    <w:rsid w:val="00B557B6"/>
    <w:rsid w:val="00B558E1"/>
    <w:rsid w:val="00B55F7C"/>
    <w:rsid w:val="00B6249C"/>
    <w:rsid w:val="00B624D9"/>
    <w:rsid w:val="00B632A3"/>
    <w:rsid w:val="00B65A1F"/>
    <w:rsid w:val="00B66530"/>
    <w:rsid w:val="00B75775"/>
    <w:rsid w:val="00B8043F"/>
    <w:rsid w:val="00B80FFC"/>
    <w:rsid w:val="00B8154E"/>
    <w:rsid w:val="00B94CF1"/>
    <w:rsid w:val="00B95271"/>
    <w:rsid w:val="00B95CFC"/>
    <w:rsid w:val="00BA02B7"/>
    <w:rsid w:val="00BA0C22"/>
    <w:rsid w:val="00BA1CBA"/>
    <w:rsid w:val="00BA53B3"/>
    <w:rsid w:val="00BA65E3"/>
    <w:rsid w:val="00BB13C5"/>
    <w:rsid w:val="00BB47C0"/>
    <w:rsid w:val="00BC174A"/>
    <w:rsid w:val="00BC52F4"/>
    <w:rsid w:val="00BC660E"/>
    <w:rsid w:val="00BD3522"/>
    <w:rsid w:val="00BD60A3"/>
    <w:rsid w:val="00BD6219"/>
    <w:rsid w:val="00BE1855"/>
    <w:rsid w:val="00BE37F9"/>
    <w:rsid w:val="00BE6771"/>
    <w:rsid w:val="00BE6EFF"/>
    <w:rsid w:val="00BF3E22"/>
    <w:rsid w:val="00BF513D"/>
    <w:rsid w:val="00BF5DAC"/>
    <w:rsid w:val="00C00DEF"/>
    <w:rsid w:val="00C036CA"/>
    <w:rsid w:val="00C062FC"/>
    <w:rsid w:val="00C07CCA"/>
    <w:rsid w:val="00C102AD"/>
    <w:rsid w:val="00C1268F"/>
    <w:rsid w:val="00C13B4E"/>
    <w:rsid w:val="00C14F0D"/>
    <w:rsid w:val="00C1710D"/>
    <w:rsid w:val="00C264F3"/>
    <w:rsid w:val="00C3211D"/>
    <w:rsid w:val="00C32444"/>
    <w:rsid w:val="00C46A39"/>
    <w:rsid w:val="00C47FB9"/>
    <w:rsid w:val="00C50385"/>
    <w:rsid w:val="00C54FB7"/>
    <w:rsid w:val="00C55AD1"/>
    <w:rsid w:val="00C64A9E"/>
    <w:rsid w:val="00C65C65"/>
    <w:rsid w:val="00C74306"/>
    <w:rsid w:val="00C77EC2"/>
    <w:rsid w:val="00C8309B"/>
    <w:rsid w:val="00C86288"/>
    <w:rsid w:val="00C872E9"/>
    <w:rsid w:val="00C904BF"/>
    <w:rsid w:val="00C90515"/>
    <w:rsid w:val="00C92845"/>
    <w:rsid w:val="00C92ADA"/>
    <w:rsid w:val="00C94406"/>
    <w:rsid w:val="00C96B4F"/>
    <w:rsid w:val="00CA13A8"/>
    <w:rsid w:val="00CA2991"/>
    <w:rsid w:val="00CA2A5A"/>
    <w:rsid w:val="00CA7612"/>
    <w:rsid w:val="00CB0D6C"/>
    <w:rsid w:val="00CB37A4"/>
    <w:rsid w:val="00CB7412"/>
    <w:rsid w:val="00CC078D"/>
    <w:rsid w:val="00CD714E"/>
    <w:rsid w:val="00CE0110"/>
    <w:rsid w:val="00CE3028"/>
    <w:rsid w:val="00CE4C3E"/>
    <w:rsid w:val="00CE69CD"/>
    <w:rsid w:val="00CF043D"/>
    <w:rsid w:val="00CF456E"/>
    <w:rsid w:val="00D01F67"/>
    <w:rsid w:val="00D0376A"/>
    <w:rsid w:val="00D04516"/>
    <w:rsid w:val="00D04919"/>
    <w:rsid w:val="00D063E5"/>
    <w:rsid w:val="00D1063C"/>
    <w:rsid w:val="00D1364E"/>
    <w:rsid w:val="00D13C37"/>
    <w:rsid w:val="00D14F1E"/>
    <w:rsid w:val="00D157B2"/>
    <w:rsid w:val="00D21AF1"/>
    <w:rsid w:val="00D34E23"/>
    <w:rsid w:val="00D35017"/>
    <w:rsid w:val="00D36CE9"/>
    <w:rsid w:val="00D428F8"/>
    <w:rsid w:val="00D45670"/>
    <w:rsid w:val="00D464AF"/>
    <w:rsid w:val="00D4779B"/>
    <w:rsid w:val="00D55B78"/>
    <w:rsid w:val="00D565F3"/>
    <w:rsid w:val="00D64223"/>
    <w:rsid w:val="00D67710"/>
    <w:rsid w:val="00D704B2"/>
    <w:rsid w:val="00D71673"/>
    <w:rsid w:val="00D71BA3"/>
    <w:rsid w:val="00D7399F"/>
    <w:rsid w:val="00D765FE"/>
    <w:rsid w:val="00D816E4"/>
    <w:rsid w:val="00D83C2E"/>
    <w:rsid w:val="00D8409D"/>
    <w:rsid w:val="00D86A84"/>
    <w:rsid w:val="00D87BA3"/>
    <w:rsid w:val="00D916F0"/>
    <w:rsid w:val="00D96C01"/>
    <w:rsid w:val="00D979E1"/>
    <w:rsid w:val="00DA1499"/>
    <w:rsid w:val="00DA205A"/>
    <w:rsid w:val="00DA4093"/>
    <w:rsid w:val="00DA4DE1"/>
    <w:rsid w:val="00DB49C6"/>
    <w:rsid w:val="00DB4C90"/>
    <w:rsid w:val="00DB712B"/>
    <w:rsid w:val="00DC0873"/>
    <w:rsid w:val="00DD6D12"/>
    <w:rsid w:val="00DE1CB8"/>
    <w:rsid w:val="00DE716D"/>
    <w:rsid w:val="00DF3456"/>
    <w:rsid w:val="00DF3ED2"/>
    <w:rsid w:val="00E01750"/>
    <w:rsid w:val="00E0385E"/>
    <w:rsid w:val="00E041CB"/>
    <w:rsid w:val="00E05A61"/>
    <w:rsid w:val="00E05B27"/>
    <w:rsid w:val="00E0734A"/>
    <w:rsid w:val="00E11E05"/>
    <w:rsid w:val="00E14314"/>
    <w:rsid w:val="00E179BD"/>
    <w:rsid w:val="00E24442"/>
    <w:rsid w:val="00E266B1"/>
    <w:rsid w:val="00E31A0B"/>
    <w:rsid w:val="00E31BE7"/>
    <w:rsid w:val="00E42069"/>
    <w:rsid w:val="00E42CAA"/>
    <w:rsid w:val="00E47DB2"/>
    <w:rsid w:val="00E50BDB"/>
    <w:rsid w:val="00E51B9D"/>
    <w:rsid w:val="00E63A9F"/>
    <w:rsid w:val="00E7720C"/>
    <w:rsid w:val="00E844F0"/>
    <w:rsid w:val="00E8724B"/>
    <w:rsid w:val="00E91647"/>
    <w:rsid w:val="00E92CE5"/>
    <w:rsid w:val="00E95351"/>
    <w:rsid w:val="00E95B1D"/>
    <w:rsid w:val="00EA3289"/>
    <w:rsid w:val="00EB0CC4"/>
    <w:rsid w:val="00EB0E7C"/>
    <w:rsid w:val="00EB198D"/>
    <w:rsid w:val="00EB1DF0"/>
    <w:rsid w:val="00EB3812"/>
    <w:rsid w:val="00EB527A"/>
    <w:rsid w:val="00EB6436"/>
    <w:rsid w:val="00EB7DD6"/>
    <w:rsid w:val="00EC2042"/>
    <w:rsid w:val="00EC3267"/>
    <w:rsid w:val="00EC4460"/>
    <w:rsid w:val="00EC527B"/>
    <w:rsid w:val="00ED10A5"/>
    <w:rsid w:val="00ED176A"/>
    <w:rsid w:val="00ED1974"/>
    <w:rsid w:val="00ED57D0"/>
    <w:rsid w:val="00EE238F"/>
    <w:rsid w:val="00EE2AD8"/>
    <w:rsid w:val="00EE6B61"/>
    <w:rsid w:val="00EF210A"/>
    <w:rsid w:val="00EF3E33"/>
    <w:rsid w:val="00EF3F35"/>
    <w:rsid w:val="00EF5FF7"/>
    <w:rsid w:val="00EF60BE"/>
    <w:rsid w:val="00EF7F7A"/>
    <w:rsid w:val="00F11817"/>
    <w:rsid w:val="00F1482D"/>
    <w:rsid w:val="00F150C8"/>
    <w:rsid w:val="00F15139"/>
    <w:rsid w:val="00F15C42"/>
    <w:rsid w:val="00F2114A"/>
    <w:rsid w:val="00F21B9B"/>
    <w:rsid w:val="00F2532E"/>
    <w:rsid w:val="00F26928"/>
    <w:rsid w:val="00F277EF"/>
    <w:rsid w:val="00F36F53"/>
    <w:rsid w:val="00F37A93"/>
    <w:rsid w:val="00F41BD3"/>
    <w:rsid w:val="00F4506B"/>
    <w:rsid w:val="00F47EFB"/>
    <w:rsid w:val="00F5131B"/>
    <w:rsid w:val="00F539BC"/>
    <w:rsid w:val="00F5579F"/>
    <w:rsid w:val="00F561ED"/>
    <w:rsid w:val="00F605B1"/>
    <w:rsid w:val="00F60B7E"/>
    <w:rsid w:val="00F6157A"/>
    <w:rsid w:val="00F638F4"/>
    <w:rsid w:val="00F6769B"/>
    <w:rsid w:val="00F717E6"/>
    <w:rsid w:val="00F7570C"/>
    <w:rsid w:val="00F81057"/>
    <w:rsid w:val="00F82A5A"/>
    <w:rsid w:val="00F82E0B"/>
    <w:rsid w:val="00F864F9"/>
    <w:rsid w:val="00F90F86"/>
    <w:rsid w:val="00F91842"/>
    <w:rsid w:val="00F92398"/>
    <w:rsid w:val="00F97616"/>
    <w:rsid w:val="00F97679"/>
    <w:rsid w:val="00FA0EEB"/>
    <w:rsid w:val="00FA27E4"/>
    <w:rsid w:val="00FA2FB6"/>
    <w:rsid w:val="00FA3754"/>
    <w:rsid w:val="00FA4D0F"/>
    <w:rsid w:val="00FB2C50"/>
    <w:rsid w:val="00FB6577"/>
    <w:rsid w:val="00FC401E"/>
    <w:rsid w:val="00FD144C"/>
    <w:rsid w:val="00FD18A0"/>
    <w:rsid w:val="00FD1D3A"/>
    <w:rsid w:val="00FE45F4"/>
    <w:rsid w:val="00FF45A7"/>
    <w:rsid w:val="00FF6517"/>
    <w:rsid w:val="00FF6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0931"/>
  <w15:chartTrackingRefBased/>
  <w15:docId w15:val="{BAF67A6A-00DE-4C3F-A6AB-4C1E1BD0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16C8"/>
    <w:pPr>
      <w:spacing w:line="360" w:lineRule="auto"/>
      <w:jc w:val="both"/>
    </w:pPr>
    <w:rPr>
      <w:rFonts w:ascii="Times New Roman" w:hAnsi="Times New Roman"/>
      <w:sz w:val="20"/>
      <w:lang w:val="en-GB"/>
    </w:rPr>
  </w:style>
  <w:style w:type="paragraph" w:styleId="Nagwek1">
    <w:name w:val="heading 1"/>
    <w:basedOn w:val="Normalny"/>
    <w:next w:val="Normalny"/>
    <w:link w:val="Nagwek1Znak"/>
    <w:uiPriority w:val="9"/>
    <w:qFormat/>
    <w:rsid w:val="00913E7E"/>
    <w:pPr>
      <w:keepNext/>
      <w:keepLines/>
      <w:numPr>
        <w:numId w:val="26"/>
      </w:numPr>
      <w:spacing w:before="360" w:after="80"/>
      <w:outlineLvl w:val="0"/>
    </w:pPr>
    <w:rPr>
      <w:rFonts w:eastAsiaTheme="majorEastAsia" w:cstheme="majorBidi"/>
      <w:b/>
      <w:szCs w:val="40"/>
    </w:rPr>
  </w:style>
  <w:style w:type="paragraph" w:styleId="Nagwek2">
    <w:name w:val="heading 2"/>
    <w:basedOn w:val="Normalny"/>
    <w:next w:val="Normalny"/>
    <w:link w:val="Nagwek2Znak"/>
    <w:uiPriority w:val="9"/>
    <w:unhideWhenUsed/>
    <w:qFormat/>
    <w:rsid w:val="009800AF"/>
    <w:pPr>
      <w:keepNext/>
      <w:keepLines/>
      <w:numPr>
        <w:ilvl w:val="1"/>
        <w:numId w:val="26"/>
      </w:numPr>
      <w:spacing w:before="160" w:after="80"/>
      <w:outlineLvl w:val="1"/>
    </w:pPr>
    <w:rPr>
      <w:rFonts w:eastAsiaTheme="majorEastAsia" w:cstheme="majorBidi"/>
      <w:b/>
      <w:szCs w:val="32"/>
    </w:rPr>
  </w:style>
  <w:style w:type="paragraph" w:styleId="Nagwek3">
    <w:name w:val="heading 3"/>
    <w:basedOn w:val="Normalny"/>
    <w:next w:val="Normalny"/>
    <w:link w:val="Nagwek3Znak"/>
    <w:uiPriority w:val="9"/>
    <w:semiHidden/>
    <w:unhideWhenUsed/>
    <w:qFormat/>
    <w:rsid w:val="00A52E82"/>
    <w:pPr>
      <w:keepNext/>
      <w:keepLines/>
      <w:numPr>
        <w:ilvl w:val="2"/>
        <w:numId w:val="26"/>
      </w:numPr>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52E82"/>
    <w:pPr>
      <w:keepNext/>
      <w:keepLines/>
      <w:numPr>
        <w:ilvl w:val="3"/>
        <w:numId w:val="26"/>
      </w:numPr>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52E82"/>
    <w:pPr>
      <w:keepNext/>
      <w:keepLines/>
      <w:numPr>
        <w:ilvl w:val="4"/>
        <w:numId w:val="26"/>
      </w:numPr>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52E82"/>
    <w:pPr>
      <w:keepNext/>
      <w:keepLines/>
      <w:numPr>
        <w:ilvl w:val="5"/>
        <w:numId w:val="26"/>
      </w:numPr>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2E82"/>
    <w:pPr>
      <w:keepNext/>
      <w:keepLines/>
      <w:numPr>
        <w:ilvl w:val="6"/>
        <w:numId w:val="26"/>
      </w:numPr>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2E82"/>
    <w:pPr>
      <w:keepNext/>
      <w:keepLines/>
      <w:numPr>
        <w:ilvl w:val="7"/>
        <w:numId w:val="26"/>
      </w:numPr>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2E82"/>
    <w:pPr>
      <w:keepNext/>
      <w:keepLines/>
      <w:numPr>
        <w:ilvl w:val="8"/>
        <w:numId w:val="26"/>
      </w:numPr>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3E7E"/>
    <w:rPr>
      <w:rFonts w:ascii="Times New Roman" w:eastAsiaTheme="majorEastAsia" w:hAnsi="Times New Roman" w:cstheme="majorBidi"/>
      <w:b/>
      <w:sz w:val="20"/>
      <w:szCs w:val="40"/>
      <w:lang w:val="en-GB"/>
    </w:rPr>
  </w:style>
  <w:style w:type="character" w:customStyle="1" w:styleId="Nagwek2Znak">
    <w:name w:val="Nagłówek 2 Znak"/>
    <w:basedOn w:val="Domylnaczcionkaakapitu"/>
    <w:link w:val="Nagwek2"/>
    <w:uiPriority w:val="9"/>
    <w:rsid w:val="009800AF"/>
    <w:rPr>
      <w:rFonts w:ascii="Times New Roman" w:eastAsiaTheme="majorEastAsia" w:hAnsi="Times New Roman" w:cstheme="majorBidi"/>
      <w:b/>
      <w:sz w:val="20"/>
      <w:szCs w:val="32"/>
      <w:lang w:val="en-GB"/>
    </w:rPr>
  </w:style>
  <w:style w:type="character" w:customStyle="1" w:styleId="Nagwek3Znak">
    <w:name w:val="Nagłówek 3 Znak"/>
    <w:basedOn w:val="Domylnaczcionkaakapitu"/>
    <w:link w:val="Nagwek3"/>
    <w:uiPriority w:val="9"/>
    <w:semiHidden/>
    <w:rsid w:val="00A52E8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52E8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52E8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52E8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2E8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2E8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2E82"/>
    <w:rPr>
      <w:rFonts w:eastAsiaTheme="majorEastAsia" w:cstheme="majorBidi"/>
      <w:color w:val="272727" w:themeColor="text1" w:themeTint="D8"/>
    </w:rPr>
  </w:style>
  <w:style w:type="paragraph" w:styleId="Tytu">
    <w:name w:val="Title"/>
    <w:basedOn w:val="Normalny"/>
    <w:next w:val="Normalny"/>
    <w:link w:val="TytuZnak"/>
    <w:uiPriority w:val="10"/>
    <w:qFormat/>
    <w:rsid w:val="00A52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2E8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2E8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2E8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2E82"/>
    <w:pPr>
      <w:spacing w:before="160"/>
      <w:jc w:val="center"/>
    </w:pPr>
    <w:rPr>
      <w:i/>
      <w:iCs/>
      <w:color w:val="404040" w:themeColor="text1" w:themeTint="BF"/>
    </w:rPr>
  </w:style>
  <w:style w:type="character" w:customStyle="1" w:styleId="CytatZnak">
    <w:name w:val="Cytat Znak"/>
    <w:basedOn w:val="Domylnaczcionkaakapitu"/>
    <w:link w:val="Cytat"/>
    <w:uiPriority w:val="29"/>
    <w:rsid w:val="00A52E82"/>
    <w:rPr>
      <w:i/>
      <w:iCs/>
      <w:color w:val="404040" w:themeColor="text1" w:themeTint="BF"/>
    </w:rPr>
  </w:style>
  <w:style w:type="paragraph" w:styleId="Akapitzlist">
    <w:name w:val="List Paragraph"/>
    <w:basedOn w:val="Normalny"/>
    <w:uiPriority w:val="34"/>
    <w:qFormat/>
    <w:rsid w:val="00A52E82"/>
    <w:pPr>
      <w:ind w:left="720"/>
      <w:contextualSpacing/>
    </w:pPr>
  </w:style>
  <w:style w:type="character" w:styleId="Wyrnienieintensywne">
    <w:name w:val="Intense Emphasis"/>
    <w:basedOn w:val="Domylnaczcionkaakapitu"/>
    <w:uiPriority w:val="21"/>
    <w:qFormat/>
    <w:rsid w:val="00A52E82"/>
    <w:rPr>
      <w:i/>
      <w:iCs/>
      <w:color w:val="0F4761" w:themeColor="accent1" w:themeShade="BF"/>
    </w:rPr>
  </w:style>
  <w:style w:type="paragraph" w:styleId="Cytatintensywny">
    <w:name w:val="Intense Quote"/>
    <w:basedOn w:val="Normalny"/>
    <w:next w:val="Normalny"/>
    <w:link w:val="CytatintensywnyZnak"/>
    <w:uiPriority w:val="30"/>
    <w:qFormat/>
    <w:rsid w:val="00A52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52E82"/>
    <w:rPr>
      <w:i/>
      <w:iCs/>
      <w:color w:val="0F4761" w:themeColor="accent1" w:themeShade="BF"/>
    </w:rPr>
  </w:style>
  <w:style w:type="character" w:styleId="Odwoanieintensywne">
    <w:name w:val="Intense Reference"/>
    <w:basedOn w:val="Domylnaczcionkaakapitu"/>
    <w:uiPriority w:val="32"/>
    <w:qFormat/>
    <w:rsid w:val="00A52E82"/>
    <w:rPr>
      <w:b/>
      <w:bCs/>
      <w:smallCaps/>
      <w:color w:val="0F4761" w:themeColor="accent1" w:themeShade="BF"/>
      <w:spacing w:val="5"/>
    </w:rPr>
  </w:style>
  <w:style w:type="character" w:styleId="Hipercze">
    <w:name w:val="Hyperlink"/>
    <w:basedOn w:val="Domylnaczcionkaakapitu"/>
    <w:uiPriority w:val="99"/>
    <w:unhideWhenUsed/>
    <w:rsid w:val="0024432B"/>
    <w:rPr>
      <w:color w:val="467886" w:themeColor="hyperlink"/>
      <w:u w:val="single"/>
    </w:rPr>
  </w:style>
  <w:style w:type="character" w:styleId="Nierozpoznanawzmianka">
    <w:name w:val="Unresolved Mention"/>
    <w:basedOn w:val="Domylnaczcionkaakapitu"/>
    <w:uiPriority w:val="99"/>
    <w:semiHidden/>
    <w:unhideWhenUsed/>
    <w:rsid w:val="0024432B"/>
    <w:rPr>
      <w:color w:val="605E5C"/>
      <w:shd w:val="clear" w:color="auto" w:fill="E1DFDD"/>
    </w:rPr>
  </w:style>
  <w:style w:type="paragraph" w:styleId="NormalnyWeb">
    <w:name w:val="Normal (Web)"/>
    <w:basedOn w:val="Normalny"/>
    <w:uiPriority w:val="99"/>
    <w:semiHidden/>
    <w:unhideWhenUsed/>
    <w:rsid w:val="00184FF5"/>
    <w:pPr>
      <w:spacing w:before="100" w:beforeAutospacing="1" w:after="100" w:afterAutospacing="1" w:line="240" w:lineRule="auto"/>
    </w:pPr>
    <w:rPr>
      <w:rFonts w:eastAsia="Times New Roman" w:cs="Times New Roman"/>
      <w:kern w:val="0"/>
      <w:sz w:val="24"/>
      <w:szCs w:val="24"/>
      <w:lang w:val="pl-PL" w:eastAsia="pl-PL"/>
      <w14:ligatures w14:val="none"/>
    </w:rPr>
  </w:style>
  <w:style w:type="paragraph" w:styleId="Tekstprzypisudolnego">
    <w:name w:val="footnote text"/>
    <w:basedOn w:val="Normalny"/>
    <w:link w:val="TekstprzypisudolnegoZnak"/>
    <w:uiPriority w:val="99"/>
    <w:semiHidden/>
    <w:unhideWhenUsed/>
    <w:rsid w:val="000F5F47"/>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0F5F47"/>
    <w:rPr>
      <w:rFonts w:ascii="Times New Roman" w:hAnsi="Times New Roman"/>
      <w:sz w:val="20"/>
      <w:szCs w:val="20"/>
      <w:lang w:val="en-GB"/>
    </w:rPr>
  </w:style>
  <w:style w:type="character" w:styleId="Odwoanieprzypisudolnego">
    <w:name w:val="footnote reference"/>
    <w:basedOn w:val="Domylnaczcionkaakapitu"/>
    <w:uiPriority w:val="99"/>
    <w:semiHidden/>
    <w:unhideWhenUsed/>
    <w:rsid w:val="000F5F47"/>
    <w:rPr>
      <w:vertAlign w:val="superscript"/>
    </w:rPr>
  </w:style>
  <w:style w:type="paragraph" w:styleId="Poprawka">
    <w:name w:val="Revision"/>
    <w:hidden/>
    <w:uiPriority w:val="99"/>
    <w:semiHidden/>
    <w:rsid w:val="00CA2991"/>
    <w:pPr>
      <w:spacing w:after="0" w:line="240" w:lineRule="auto"/>
    </w:pPr>
    <w:rPr>
      <w:rFonts w:ascii="Times New Roman" w:hAnsi="Times New Roman"/>
      <w:sz w:val="20"/>
      <w:lang w:val="en-GB"/>
    </w:rPr>
  </w:style>
  <w:style w:type="character" w:styleId="UyteHipercze">
    <w:name w:val="FollowedHyperlink"/>
    <w:basedOn w:val="Domylnaczcionkaakapitu"/>
    <w:uiPriority w:val="99"/>
    <w:semiHidden/>
    <w:unhideWhenUsed/>
    <w:rsid w:val="00D1063C"/>
    <w:rPr>
      <w:color w:val="96607D" w:themeColor="followedHyperlink"/>
      <w:u w:val="single"/>
    </w:rPr>
  </w:style>
  <w:style w:type="paragraph" w:styleId="Nagwek">
    <w:name w:val="header"/>
    <w:basedOn w:val="Normalny"/>
    <w:link w:val="NagwekZnak"/>
    <w:uiPriority w:val="99"/>
    <w:semiHidden/>
    <w:unhideWhenUsed/>
    <w:rsid w:val="00D36CE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36CE9"/>
    <w:rPr>
      <w:rFonts w:ascii="Times New Roman" w:hAnsi="Times New Roman"/>
      <w:sz w:val="20"/>
      <w:lang w:val="en-GB"/>
    </w:rPr>
  </w:style>
  <w:style w:type="paragraph" w:styleId="Stopka">
    <w:name w:val="footer"/>
    <w:basedOn w:val="Normalny"/>
    <w:link w:val="StopkaZnak"/>
    <w:uiPriority w:val="99"/>
    <w:semiHidden/>
    <w:unhideWhenUsed/>
    <w:rsid w:val="00D36CE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36CE9"/>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2419">
      <w:bodyDiv w:val="1"/>
      <w:marLeft w:val="0"/>
      <w:marRight w:val="0"/>
      <w:marTop w:val="0"/>
      <w:marBottom w:val="0"/>
      <w:divBdr>
        <w:top w:val="none" w:sz="0" w:space="0" w:color="auto"/>
        <w:left w:val="none" w:sz="0" w:space="0" w:color="auto"/>
        <w:bottom w:val="none" w:sz="0" w:space="0" w:color="auto"/>
        <w:right w:val="none" w:sz="0" w:space="0" w:color="auto"/>
      </w:divBdr>
    </w:div>
    <w:div w:id="317226428">
      <w:bodyDiv w:val="1"/>
      <w:marLeft w:val="0"/>
      <w:marRight w:val="0"/>
      <w:marTop w:val="0"/>
      <w:marBottom w:val="0"/>
      <w:divBdr>
        <w:top w:val="none" w:sz="0" w:space="0" w:color="auto"/>
        <w:left w:val="none" w:sz="0" w:space="0" w:color="auto"/>
        <w:bottom w:val="none" w:sz="0" w:space="0" w:color="auto"/>
        <w:right w:val="none" w:sz="0" w:space="0" w:color="auto"/>
      </w:divBdr>
    </w:div>
    <w:div w:id="351300092">
      <w:bodyDiv w:val="1"/>
      <w:marLeft w:val="0"/>
      <w:marRight w:val="0"/>
      <w:marTop w:val="0"/>
      <w:marBottom w:val="0"/>
      <w:divBdr>
        <w:top w:val="none" w:sz="0" w:space="0" w:color="auto"/>
        <w:left w:val="none" w:sz="0" w:space="0" w:color="auto"/>
        <w:bottom w:val="none" w:sz="0" w:space="0" w:color="auto"/>
        <w:right w:val="none" w:sz="0" w:space="0" w:color="auto"/>
      </w:divBdr>
    </w:div>
    <w:div w:id="375471926">
      <w:bodyDiv w:val="1"/>
      <w:marLeft w:val="0"/>
      <w:marRight w:val="0"/>
      <w:marTop w:val="0"/>
      <w:marBottom w:val="0"/>
      <w:divBdr>
        <w:top w:val="none" w:sz="0" w:space="0" w:color="auto"/>
        <w:left w:val="none" w:sz="0" w:space="0" w:color="auto"/>
        <w:bottom w:val="none" w:sz="0" w:space="0" w:color="auto"/>
        <w:right w:val="none" w:sz="0" w:space="0" w:color="auto"/>
      </w:divBdr>
      <w:divsChild>
        <w:div w:id="405961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815093">
      <w:bodyDiv w:val="1"/>
      <w:marLeft w:val="0"/>
      <w:marRight w:val="0"/>
      <w:marTop w:val="0"/>
      <w:marBottom w:val="0"/>
      <w:divBdr>
        <w:top w:val="none" w:sz="0" w:space="0" w:color="auto"/>
        <w:left w:val="none" w:sz="0" w:space="0" w:color="auto"/>
        <w:bottom w:val="none" w:sz="0" w:space="0" w:color="auto"/>
        <w:right w:val="none" w:sz="0" w:space="0" w:color="auto"/>
      </w:divBdr>
    </w:div>
    <w:div w:id="454447666">
      <w:bodyDiv w:val="1"/>
      <w:marLeft w:val="0"/>
      <w:marRight w:val="0"/>
      <w:marTop w:val="0"/>
      <w:marBottom w:val="0"/>
      <w:divBdr>
        <w:top w:val="none" w:sz="0" w:space="0" w:color="auto"/>
        <w:left w:val="none" w:sz="0" w:space="0" w:color="auto"/>
        <w:bottom w:val="none" w:sz="0" w:space="0" w:color="auto"/>
        <w:right w:val="none" w:sz="0" w:space="0" w:color="auto"/>
      </w:divBdr>
      <w:divsChild>
        <w:div w:id="1173642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016915">
      <w:bodyDiv w:val="1"/>
      <w:marLeft w:val="0"/>
      <w:marRight w:val="0"/>
      <w:marTop w:val="0"/>
      <w:marBottom w:val="0"/>
      <w:divBdr>
        <w:top w:val="none" w:sz="0" w:space="0" w:color="auto"/>
        <w:left w:val="none" w:sz="0" w:space="0" w:color="auto"/>
        <w:bottom w:val="none" w:sz="0" w:space="0" w:color="auto"/>
        <w:right w:val="none" w:sz="0" w:space="0" w:color="auto"/>
      </w:divBdr>
      <w:divsChild>
        <w:div w:id="932206669">
          <w:marLeft w:val="547"/>
          <w:marRight w:val="0"/>
          <w:marTop w:val="0"/>
          <w:marBottom w:val="0"/>
          <w:divBdr>
            <w:top w:val="none" w:sz="0" w:space="0" w:color="auto"/>
            <w:left w:val="none" w:sz="0" w:space="0" w:color="auto"/>
            <w:bottom w:val="none" w:sz="0" w:space="0" w:color="auto"/>
            <w:right w:val="none" w:sz="0" w:space="0" w:color="auto"/>
          </w:divBdr>
        </w:div>
      </w:divsChild>
    </w:div>
    <w:div w:id="756248615">
      <w:bodyDiv w:val="1"/>
      <w:marLeft w:val="0"/>
      <w:marRight w:val="0"/>
      <w:marTop w:val="0"/>
      <w:marBottom w:val="0"/>
      <w:divBdr>
        <w:top w:val="none" w:sz="0" w:space="0" w:color="auto"/>
        <w:left w:val="none" w:sz="0" w:space="0" w:color="auto"/>
        <w:bottom w:val="none" w:sz="0" w:space="0" w:color="auto"/>
        <w:right w:val="none" w:sz="0" w:space="0" w:color="auto"/>
      </w:divBdr>
    </w:div>
    <w:div w:id="777289579">
      <w:bodyDiv w:val="1"/>
      <w:marLeft w:val="0"/>
      <w:marRight w:val="0"/>
      <w:marTop w:val="0"/>
      <w:marBottom w:val="0"/>
      <w:divBdr>
        <w:top w:val="none" w:sz="0" w:space="0" w:color="auto"/>
        <w:left w:val="none" w:sz="0" w:space="0" w:color="auto"/>
        <w:bottom w:val="none" w:sz="0" w:space="0" w:color="auto"/>
        <w:right w:val="none" w:sz="0" w:space="0" w:color="auto"/>
      </w:divBdr>
    </w:div>
    <w:div w:id="941955538">
      <w:bodyDiv w:val="1"/>
      <w:marLeft w:val="0"/>
      <w:marRight w:val="0"/>
      <w:marTop w:val="0"/>
      <w:marBottom w:val="0"/>
      <w:divBdr>
        <w:top w:val="none" w:sz="0" w:space="0" w:color="auto"/>
        <w:left w:val="none" w:sz="0" w:space="0" w:color="auto"/>
        <w:bottom w:val="none" w:sz="0" w:space="0" w:color="auto"/>
        <w:right w:val="none" w:sz="0" w:space="0" w:color="auto"/>
      </w:divBdr>
    </w:div>
    <w:div w:id="1128430795">
      <w:bodyDiv w:val="1"/>
      <w:marLeft w:val="0"/>
      <w:marRight w:val="0"/>
      <w:marTop w:val="0"/>
      <w:marBottom w:val="0"/>
      <w:divBdr>
        <w:top w:val="none" w:sz="0" w:space="0" w:color="auto"/>
        <w:left w:val="none" w:sz="0" w:space="0" w:color="auto"/>
        <w:bottom w:val="none" w:sz="0" w:space="0" w:color="auto"/>
        <w:right w:val="none" w:sz="0" w:space="0" w:color="auto"/>
      </w:divBdr>
    </w:div>
    <w:div w:id="1215846856">
      <w:bodyDiv w:val="1"/>
      <w:marLeft w:val="0"/>
      <w:marRight w:val="0"/>
      <w:marTop w:val="0"/>
      <w:marBottom w:val="0"/>
      <w:divBdr>
        <w:top w:val="none" w:sz="0" w:space="0" w:color="auto"/>
        <w:left w:val="none" w:sz="0" w:space="0" w:color="auto"/>
        <w:bottom w:val="none" w:sz="0" w:space="0" w:color="auto"/>
        <w:right w:val="none" w:sz="0" w:space="0" w:color="auto"/>
      </w:divBdr>
    </w:div>
    <w:div w:id="1531143908">
      <w:bodyDiv w:val="1"/>
      <w:marLeft w:val="0"/>
      <w:marRight w:val="0"/>
      <w:marTop w:val="0"/>
      <w:marBottom w:val="0"/>
      <w:divBdr>
        <w:top w:val="none" w:sz="0" w:space="0" w:color="auto"/>
        <w:left w:val="none" w:sz="0" w:space="0" w:color="auto"/>
        <w:bottom w:val="none" w:sz="0" w:space="0" w:color="auto"/>
        <w:right w:val="none" w:sz="0" w:space="0" w:color="auto"/>
      </w:divBdr>
    </w:div>
    <w:div w:id="1615014936">
      <w:bodyDiv w:val="1"/>
      <w:marLeft w:val="0"/>
      <w:marRight w:val="0"/>
      <w:marTop w:val="0"/>
      <w:marBottom w:val="0"/>
      <w:divBdr>
        <w:top w:val="none" w:sz="0" w:space="0" w:color="auto"/>
        <w:left w:val="none" w:sz="0" w:space="0" w:color="auto"/>
        <w:bottom w:val="none" w:sz="0" w:space="0" w:color="auto"/>
        <w:right w:val="none" w:sz="0" w:space="0" w:color="auto"/>
      </w:divBdr>
    </w:div>
    <w:div w:id="1806460082">
      <w:bodyDiv w:val="1"/>
      <w:marLeft w:val="0"/>
      <w:marRight w:val="0"/>
      <w:marTop w:val="0"/>
      <w:marBottom w:val="0"/>
      <w:divBdr>
        <w:top w:val="none" w:sz="0" w:space="0" w:color="auto"/>
        <w:left w:val="none" w:sz="0" w:space="0" w:color="auto"/>
        <w:bottom w:val="none" w:sz="0" w:space="0" w:color="auto"/>
        <w:right w:val="none" w:sz="0" w:space="0" w:color="auto"/>
      </w:divBdr>
    </w:div>
    <w:div w:id="1845630207">
      <w:bodyDiv w:val="1"/>
      <w:marLeft w:val="0"/>
      <w:marRight w:val="0"/>
      <w:marTop w:val="0"/>
      <w:marBottom w:val="0"/>
      <w:divBdr>
        <w:top w:val="none" w:sz="0" w:space="0" w:color="auto"/>
        <w:left w:val="none" w:sz="0" w:space="0" w:color="auto"/>
        <w:bottom w:val="none" w:sz="0" w:space="0" w:color="auto"/>
        <w:right w:val="none" w:sz="0" w:space="0" w:color="auto"/>
      </w:divBdr>
    </w:div>
    <w:div w:id="1944727295">
      <w:bodyDiv w:val="1"/>
      <w:marLeft w:val="0"/>
      <w:marRight w:val="0"/>
      <w:marTop w:val="0"/>
      <w:marBottom w:val="0"/>
      <w:divBdr>
        <w:top w:val="none" w:sz="0" w:space="0" w:color="auto"/>
        <w:left w:val="none" w:sz="0" w:space="0" w:color="auto"/>
        <w:bottom w:val="none" w:sz="0" w:space="0" w:color="auto"/>
        <w:right w:val="none" w:sz="0" w:space="0" w:color="auto"/>
      </w:divBdr>
      <w:divsChild>
        <w:div w:id="2133400687">
          <w:marLeft w:val="0"/>
          <w:marRight w:val="0"/>
          <w:marTop w:val="0"/>
          <w:marBottom w:val="0"/>
          <w:divBdr>
            <w:top w:val="none" w:sz="0" w:space="0" w:color="auto"/>
            <w:left w:val="none" w:sz="0" w:space="0" w:color="auto"/>
            <w:bottom w:val="none" w:sz="0" w:space="0" w:color="auto"/>
            <w:right w:val="none" w:sz="0" w:space="0" w:color="auto"/>
          </w:divBdr>
          <w:divsChild>
            <w:div w:id="8801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6186">
      <w:bodyDiv w:val="1"/>
      <w:marLeft w:val="0"/>
      <w:marRight w:val="0"/>
      <w:marTop w:val="0"/>
      <w:marBottom w:val="0"/>
      <w:divBdr>
        <w:top w:val="none" w:sz="0" w:space="0" w:color="auto"/>
        <w:left w:val="none" w:sz="0" w:space="0" w:color="auto"/>
        <w:bottom w:val="none" w:sz="0" w:space="0" w:color="auto"/>
        <w:right w:val="none" w:sz="0" w:space="0" w:color="auto"/>
      </w:divBdr>
    </w:div>
    <w:div w:id="2021661727">
      <w:bodyDiv w:val="1"/>
      <w:marLeft w:val="0"/>
      <w:marRight w:val="0"/>
      <w:marTop w:val="0"/>
      <w:marBottom w:val="0"/>
      <w:divBdr>
        <w:top w:val="none" w:sz="0" w:space="0" w:color="auto"/>
        <w:left w:val="none" w:sz="0" w:space="0" w:color="auto"/>
        <w:bottom w:val="none" w:sz="0" w:space="0" w:color="auto"/>
        <w:right w:val="none" w:sz="0" w:space="0" w:color="auto"/>
      </w:divBdr>
      <w:divsChild>
        <w:div w:id="1125582426">
          <w:marLeft w:val="0"/>
          <w:marRight w:val="0"/>
          <w:marTop w:val="0"/>
          <w:marBottom w:val="0"/>
          <w:divBdr>
            <w:top w:val="none" w:sz="0" w:space="0" w:color="auto"/>
            <w:left w:val="none" w:sz="0" w:space="0" w:color="auto"/>
            <w:bottom w:val="none" w:sz="0" w:space="0" w:color="auto"/>
            <w:right w:val="none" w:sz="0" w:space="0" w:color="auto"/>
          </w:divBdr>
          <w:divsChild>
            <w:div w:id="1185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ub.sadurski@affr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ejm.gov.pl/sejm9.nsf/agent.xsp?symbol=RPL&amp;Id=RM-0610-92-21" TargetMode="External"/><Relationship Id="rId7" Type="http://schemas.openxmlformats.org/officeDocument/2006/relationships/hyperlink" Target="https://eur-lex.europa.eu/legal-content/EN/TXT/?uri=celex:52024PC0576" TargetMode="External"/><Relationship Id="rId2" Type="http://schemas.openxmlformats.org/officeDocument/2006/relationships/hyperlink" Target="https://legislacja.rcl.gov.pl/projekt/12343513/katalog/12764977" TargetMode="External"/><Relationship Id="rId1" Type="http://schemas.openxmlformats.org/officeDocument/2006/relationships/hyperlink" Target="https://uokik.gov.pl/en/reports" TargetMode="External"/><Relationship Id="rId6" Type="http://schemas.openxmlformats.org/officeDocument/2006/relationships/hyperlink" Target="https://uokik.gov.pl/przewaga-kontraktowa-przydatne-dokumenty" TargetMode="External"/><Relationship Id="rId5" Type="http://schemas.openxmlformats.org/officeDocument/2006/relationships/hyperlink" Target="https://uokik.gov.pl/Download/879" TargetMode="External"/><Relationship Id="rId4" Type="http://schemas.openxmlformats.org/officeDocument/2006/relationships/hyperlink" Target="https://www.uokik.gov.pl/download.php?plik=2543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A95AD-AE6A-437C-ABE3-7D13ED8F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10</Pages>
  <Words>3999</Words>
  <Characters>23997</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dc:creator>
  <cp:keywords/>
  <dc:description/>
  <cp:lastModifiedBy>Kancelaria</cp:lastModifiedBy>
  <cp:revision>260</cp:revision>
  <dcterms:created xsi:type="dcterms:W3CDTF">2025-07-10T01:10:00Z</dcterms:created>
  <dcterms:modified xsi:type="dcterms:W3CDTF">2025-07-10T17:18:00Z</dcterms:modified>
</cp:coreProperties>
</file>